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3D" w:rsidRDefault="008A37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A90AFE" w:rsidRDefault="008A37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DISTRIBUTABLE (30)</w:t>
      </w:r>
    </w:p>
    <w:p w:rsidR="008A373D" w:rsidRPr="008A373D" w:rsidRDefault="008A37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4C3B" w:rsidRPr="0030156B" w:rsidRDefault="007E0CB5" w:rsidP="00A90AFE">
      <w:pPr>
        <w:pStyle w:val="Subtitle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56B">
        <w:rPr>
          <w:rFonts w:ascii="Times New Roman" w:hAnsi="Times New Roman" w:cs="Times New Roman"/>
          <w:b/>
          <w:sz w:val="24"/>
          <w:szCs w:val="24"/>
        </w:rPr>
        <w:t xml:space="preserve">SHORAI </w:t>
      </w:r>
      <w:r w:rsidR="005A656F" w:rsidRPr="0030156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23FF8" w:rsidRPr="0030156B">
        <w:rPr>
          <w:rFonts w:ascii="Times New Roman" w:hAnsi="Times New Roman" w:cs="Times New Roman"/>
          <w:b/>
          <w:sz w:val="24"/>
          <w:szCs w:val="24"/>
        </w:rPr>
        <w:t xml:space="preserve">KUDZAI     </w:t>
      </w:r>
      <w:r w:rsidRPr="0030156B">
        <w:rPr>
          <w:rFonts w:ascii="Times New Roman" w:hAnsi="Times New Roman" w:cs="Times New Roman"/>
          <w:b/>
          <w:sz w:val="24"/>
          <w:szCs w:val="24"/>
        </w:rPr>
        <w:t>MUCHEMWA</w:t>
      </w:r>
    </w:p>
    <w:p w:rsidR="007E0CB5" w:rsidRPr="0030156B" w:rsidRDefault="00A90AFE" w:rsidP="00A90A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>v</w:t>
      </w:r>
    </w:p>
    <w:p w:rsidR="007E0CB5" w:rsidRPr="0030156B" w:rsidRDefault="007E0CB5" w:rsidP="00A90A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56B">
        <w:rPr>
          <w:rFonts w:ascii="Times New Roman" w:hAnsi="Times New Roman" w:cs="Times New Roman"/>
          <w:b/>
          <w:sz w:val="24"/>
          <w:szCs w:val="24"/>
        </w:rPr>
        <w:t xml:space="preserve">CM </w:t>
      </w:r>
      <w:r w:rsidR="005A656F" w:rsidRPr="0030156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0156B">
        <w:rPr>
          <w:rFonts w:ascii="Times New Roman" w:hAnsi="Times New Roman" w:cs="Times New Roman"/>
          <w:b/>
          <w:sz w:val="24"/>
          <w:szCs w:val="24"/>
        </w:rPr>
        <w:t>GROBBLER</w:t>
      </w:r>
    </w:p>
    <w:p w:rsidR="00A90AFE" w:rsidRPr="0030156B" w:rsidRDefault="00A90AFE" w:rsidP="00A90A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0AFE" w:rsidRPr="0030156B" w:rsidRDefault="00A90AFE" w:rsidP="00A90A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0AFE" w:rsidRPr="0030156B" w:rsidRDefault="00A90AFE" w:rsidP="00A90A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0AFE" w:rsidRPr="0030156B" w:rsidRDefault="00A90AFE" w:rsidP="00A90A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156B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7E0CB5" w:rsidRPr="0030156B" w:rsidRDefault="007E0CB5" w:rsidP="00A90AF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56B">
        <w:rPr>
          <w:rFonts w:ascii="Times New Roman" w:hAnsi="Times New Roman" w:cs="Times New Roman"/>
          <w:b/>
          <w:sz w:val="24"/>
          <w:szCs w:val="24"/>
        </w:rPr>
        <w:t>ZIYAMBI JA, GWAUNZA JA &amp; MAVANGIRA JA</w:t>
      </w:r>
    </w:p>
    <w:p w:rsidR="00A90AFE" w:rsidRPr="0030156B" w:rsidRDefault="00A90AFE" w:rsidP="00A90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b/>
          <w:sz w:val="24"/>
          <w:szCs w:val="24"/>
        </w:rPr>
        <w:t xml:space="preserve">HARARE, </w:t>
      </w:r>
      <w:r w:rsidR="00A87D91">
        <w:rPr>
          <w:rFonts w:ascii="Times New Roman" w:hAnsi="Times New Roman" w:cs="Times New Roman"/>
          <w:sz w:val="24"/>
          <w:szCs w:val="24"/>
        </w:rPr>
        <w:t>NOVEMBER 21, 2016 &amp; MAY 15, 2017</w:t>
      </w:r>
    </w:p>
    <w:p w:rsidR="007E0CB5" w:rsidRPr="0030156B" w:rsidRDefault="007E0CB5" w:rsidP="00A90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0AFE" w:rsidRPr="0030156B" w:rsidRDefault="00A90AFE" w:rsidP="00A90A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0AFE" w:rsidRPr="0030156B" w:rsidRDefault="00724DAE" w:rsidP="00A90AFE">
      <w:pPr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i/>
          <w:sz w:val="24"/>
          <w:szCs w:val="24"/>
        </w:rPr>
        <w:t>S M Hashiti</w:t>
      </w:r>
      <w:r w:rsidR="00A90AFE" w:rsidRPr="0030156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90AFE" w:rsidRPr="0030156B">
        <w:rPr>
          <w:rFonts w:ascii="Times New Roman" w:hAnsi="Times New Roman" w:cs="Times New Roman"/>
          <w:sz w:val="24"/>
          <w:szCs w:val="24"/>
        </w:rPr>
        <w:t>for the appellant</w:t>
      </w:r>
    </w:p>
    <w:p w:rsidR="00A90AFE" w:rsidRPr="0030156B" w:rsidRDefault="00724DAE" w:rsidP="00A90A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56B">
        <w:rPr>
          <w:rFonts w:ascii="Times New Roman" w:hAnsi="Times New Roman" w:cs="Times New Roman"/>
          <w:i/>
          <w:sz w:val="24"/>
          <w:szCs w:val="24"/>
        </w:rPr>
        <w:t>T Magwaliba</w:t>
      </w:r>
      <w:r w:rsidR="00A90AFE" w:rsidRPr="0030156B">
        <w:rPr>
          <w:rFonts w:ascii="Times New Roman" w:hAnsi="Times New Roman" w:cs="Times New Roman"/>
          <w:sz w:val="24"/>
          <w:szCs w:val="24"/>
        </w:rPr>
        <w:t>, for the respondent</w:t>
      </w:r>
    </w:p>
    <w:p w:rsidR="00A90AFE" w:rsidRPr="0030156B" w:rsidRDefault="00A90AFE" w:rsidP="00A90A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DAE" w:rsidRPr="0030156B" w:rsidRDefault="005D7FC5" w:rsidP="00A90AFE">
      <w:pPr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b/>
          <w:sz w:val="24"/>
          <w:szCs w:val="24"/>
        </w:rPr>
        <w:t>ZIYAMBI JA</w:t>
      </w:r>
      <w:r w:rsidR="007E0CB5" w:rsidRPr="0030156B">
        <w:rPr>
          <w:rFonts w:ascii="Times New Roman" w:hAnsi="Times New Roman" w:cs="Times New Roman"/>
          <w:sz w:val="24"/>
          <w:szCs w:val="24"/>
        </w:rPr>
        <w:t>:</w:t>
      </w:r>
    </w:p>
    <w:p w:rsidR="007E0CB5" w:rsidRPr="0030156B" w:rsidRDefault="009C5BFB" w:rsidP="005E5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[1] </w:t>
      </w:r>
      <w:r w:rsidR="007E0CB5" w:rsidRPr="0030156B">
        <w:rPr>
          <w:rFonts w:ascii="Times New Roman" w:hAnsi="Times New Roman" w:cs="Times New Roman"/>
          <w:sz w:val="24"/>
          <w:szCs w:val="24"/>
        </w:rPr>
        <w:t>This is an appeal against an order of the High Court interdicting the appellant from evicting the respondent from certain property known as Lot 1 of Buena Vista Farm, Goromonzi.</w:t>
      </w:r>
    </w:p>
    <w:p w:rsidR="008555E1" w:rsidRPr="0030156B" w:rsidRDefault="009C5BFB" w:rsidP="005E594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[2] </w:t>
      </w:r>
      <w:r w:rsidR="007E0CB5" w:rsidRPr="0030156B">
        <w:rPr>
          <w:rFonts w:ascii="Times New Roman" w:hAnsi="Times New Roman" w:cs="Times New Roman"/>
          <w:sz w:val="24"/>
          <w:szCs w:val="24"/>
        </w:rPr>
        <w:t>The farm was gazetted in 2003 and the respondent</w:t>
      </w:r>
      <w:r w:rsidR="00D659E7" w:rsidRPr="0030156B">
        <w:rPr>
          <w:rFonts w:ascii="Times New Roman" w:hAnsi="Times New Roman" w:cs="Times New Roman"/>
          <w:sz w:val="24"/>
          <w:szCs w:val="24"/>
        </w:rPr>
        <w:t>,</w:t>
      </w:r>
      <w:r w:rsidR="007E0CB5" w:rsidRPr="0030156B">
        <w:rPr>
          <w:rFonts w:ascii="Times New Roman" w:hAnsi="Times New Roman" w:cs="Times New Roman"/>
          <w:sz w:val="24"/>
          <w:szCs w:val="24"/>
        </w:rPr>
        <w:t xml:space="preserve"> being the former owner or occupier of the farm</w:t>
      </w:r>
      <w:r w:rsidR="00D659E7" w:rsidRPr="0030156B">
        <w:rPr>
          <w:rFonts w:ascii="Times New Roman" w:hAnsi="Times New Roman" w:cs="Times New Roman"/>
          <w:sz w:val="24"/>
          <w:szCs w:val="24"/>
        </w:rPr>
        <w:t>,</w:t>
      </w:r>
      <w:r w:rsidR="007E0CB5" w:rsidRPr="0030156B">
        <w:rPr>
          <w:rFonts w:ascii="Times New Roman" w:hAnsi="Times New Roman" w:cs="Times New Roman"/>
          <w:sz w:val="24"/>
          <w:szCs w:val="24"/>
        </w:rPr>
        <w:t xml:space="preserve"> did not vacate it within the 90 days prescribed by s</w:t>
      </w:r>
      <w:r w:rsidR="00C245E6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7E0CB5" w:rsidRPr="0030156B">
        <w:rPr>
          <w:rFonts w:ascii="Times New Roman" w:hAnsi="Times New Roman" w:cs="Times New Roman"/>
          <w:sz w:val="24"/>
          <w:szCs w:val="24"/>
        </w:rPr>
        <w:t>3 of the Gazetted Land (Consequential Provisions) Act, [</w:t>
      </w:r>
      <w:r w:rsidR="007E0CB5" w:rsidRPr="0030156B">
        <w:rPr>
          <w:rFonts w:ascii="Times New Roman" w:hAnsi="Times New Roman" w:cs="Times New Roman"/>
          <w:i/>
          <w:sz w:val="24"/>
          <w:szCs w:val="24"/>
        </w:rPr>
        <w:t>Chapter 20:28</w:t>
      </w:r>
      <w:r w:rsidR="007E0CB5" w:rsidRPr="0030156B">
        <w:rPr>
          <w:rFonts w:ascii="Times New Roman" w:hAnsi="Times New Roman" w:cs="Times New Roman"/>
          <w:sz w:val="24"/>
          <w:szCs w:val="24"/>
        </w:rPr>
        <w:t>]</w:t>
      </w:r>
      <w:r w:rsidR="00D659E7" w:rsidRPr="0030156B">
        <w:rPr>
          <w:rFonts w:ascii="Times New Roman" w:hAnsi="Times New Roman" w:cs="Times New Roman"/>
          <w:sz w:val="24"/>
          <w:szCs w:val="24"/>
        </w:rPr>
        <w:t xml:space="preserve"> (“the Act”)</w:t>
      </w:r>
      <w:r w:rsidR="007E0CB5" w:rsidRPr="0030156B">
        <w:rPr>
          <w:rFonts w:ascii="Times New Roman" w:hAnsi="Times New Roman" w:cs="Times New Roman"/>
          <w:sz w:val="24"/>
          <w:szCs w:val="24"/>
        </w:rPr>
        <w:t xml:space="preserve">. </w:t>
      </w:r>
      <w:r w:rsidR="00C245E6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8555E1" w:rsidRPr="0030156B">
        <w:rPr>
          <w:rFonts w:ascii="Times New Roman" w:hAnsi="Times New Roman" w:cs="Times New Roman"/>
          <w:sz w:val="24"/>
          <w:szCs w:val="24"/>
        </w:rPr>
        <w:t>Section 3 provides as follows:</w:t>
      </w:r>
    </w:p>
    <w:p w:rsidR="008555E1" w:rsidRPr="0030156B" w:rsidRDefault="008555E1" w:rsidP="005E59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b/>
          <w:bCs/>
          <w:sz w:val="24"/>
          <w:szCs w:val="24"/>
        </w:rPr>
        <w:t>“3.  Occupation of Gazetted land without lawful authority</w:t>
      </w:r>
    </w:p>
    <w:p w:rsidR="00420C99" w:rsidRPr="0030156B" w:rsidRDefault="00420C99" w:rsidP="00A90A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C99" w:rsidRPr="0030156B" w:rsidRDefault="00420C99" w:rsidP="005E59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Subject to this section, no person may hold, use </w:t>
      </w:r>
      <w:r w:rsidR="005E594D" w:rsidRPr="0030156B">
        <w:rPr>
          <w:rFonts w:ascii="Times New Roman" w:hAnsi="Times New Roman" w:cs="Times New Roman"/>
          <w:sz w:val="24"/>
          <w:szCs w:val="24"/>
        </w:rPr>
        <w:t>or occupy</w:t>
      </w:r>
      <w:r w:rsidRPr="0030156B">
        <w:rPr>
          <w:rFonts w:ascii="Times New Roman" w:hAnsi="Times New Roman" w:cs="Times New Roman"/>
          <w:sz w:val="24"/>
          <w:szCs w:val="24"/>
        </w:rPr>
        <w:t xml:space="preserve"> Gazetted land without lawful authority.</w:t>
      </w:r>
    </w:p>
    <w:p w:rsidR="005E594D" w:rsidRPr="0030156B" w:rsidRDefault="005E594D" w:rsidP="005E594D">
      <w:pPr>
        <w:pStyle w:val="ListParagraph"/>
        <w:autoSpaceDE w:val="0"/>
        <w:autoSpaceDN w:val="0"/>
        <w:adjustRightInd w:val="0"/>
        <w:spacing w:after="0" w:line="24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420C99" w:rsidRPr="0030156B" w:rsidRDefault="00420C99" w:rsidP="009C5BF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(2) </w:t>
      </w:r>
      <w:r w:rsidR="005E594D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Every former owner or occupier of Gazetted land—</w:t>
      </w:r>
    </w:p>
    <w:p w:rsidR="00420C99" w:rsidRPr="0030156B" w:rsidRDefault="00420C99" w:rsidP="009C5BF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>(</w:t>
      </w:r>
      <w:r w:rsidRPr="0030156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0156B">
        <w:rPr>
          <w:rFonts w:ascii="Times New Roman" w:hAnsi="Times New Roman" w:cs="Times New Roman"/>
          <w:sz w:val="24"/>
          <w:szCs w:val="24"/>
        </w:rPr>
        <w:t>) referred to in paragraph (</w:t>
      </w:r>
      <w:r w:rsidRPr="0030156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0156B">
        <w:rPr>
          <w:rFonts w:ascii="Times New Roman" w:hAnsi="Times New Roman" w:cs="Times New Roman"/>
          <w:sz w:val="24"/>
          <w:szCs w:val="24"/>
        </w:rPr>
        <w:t xml:space="preserve">) of the definition of “Gazetted land” in section 2(1), shall cease to </w:t>
      </w:r>
      <w:r w:rsidR="009C5BFB" w:rsidRPr="0030156B">
        <w:rPr>
          <w:rFonts w:ascii="Times New Roman" w:hAnsi="Times New Roman" w:cs="Times New Roman"/>
          <w:sz w:val="24"/>
          <w:szCs w:val="24"/>
        </w:rPr>
        <w:t>occupy, hold</w:t>
      </w:r>
      <w:r w:rsidRPr="0030156B">
        <w:rPr>
          <w:rFonts w:ascii="Times New Roman" w:hAnsi="Times New Roman" w:cs="Times New Roman"/>
          <w:sz w:val="24"/>
          <w:szCs w:val="24"/>
        </w:rPr>
        <w:t xml:space="preserve"> or use that land forty-five days after the fixed date, unless the owner or occupier is lawfully</w:t>
      </w:r>
      <w:r w:rsidR="009C5BF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authorised to occupy, hold or use that land;(</w:t>
      </w:r>
      <w:r w:rsidRPr="0030156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0156B">
        <w:rPr>
          <w:rFonts w:ascii="Times New Roman" w:hAnsi="Times New Roman" w:cs="Times New Roman"/>
          <w:sz w:val="24"/>
          <w:szCs w:val="24"/>
        </w:rPr>
        <w:t>) referred to in paragraph (</w:t>
      </w:r>
      <w:r w:rsidRPr="0030156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0156B">
        <w:rPr>
          <w:rFonts w:ascii="Times New Roman" w:hAnsi="Times New Roman" w:cs="Times New Roman"/>
          <w:sz w:val="24"/>
          <w:szCs w:val="24"/>
        </w:rPr>
        <w:t>) of the definition of “Gazetted land” in section 2(1), shall cease to occupy,</w:t>
      </w:r>
      <w:r w:rsidR="009C5BF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hold or use that land forty-five days after the date when the land is identified in accordance with section</w:t>
      </w:r>
      <w:r w:rsidR="009C5BF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16B(2)(</w:t>
      </w:r>
      <w:r w:rsidRPr="0030156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0156B">
        <w:rPr>
          <w:rFonts w:ascii="Times New Roman" w:hAnsi="Times New Roman" w:cs="Times New Roman"/>
          <w:sz w:val="24"/>
          <w:szCs w:val="24"/>
        </w:rPr>
        <w:t>)(iii) of the Constitution, unless the owner or occupier is lawfully authorised to occupy, hold or</w:t>
      </w:r>
      <w:r w:rsidR="009C5BF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use that land:</w:t>
      </w:r>
    </w:p>
    <w:p w:rsidR="009C5BFB" w:rsidRPr="0030156B" w:rsidRDefault="009C5BFB" w:rsidP="00A90A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C99" w:rsidRPr="0030156B" w:rsidRDefault="00420C99" w:rsidP="009C5BF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lastRenderedPageBreak/>
        <w:t>Provided that—</w:t>
      </w:r>
    </w:p>
    <w:p w:rsidR="00420C99" w:rsidRPr="0030156B" w:rsidRDefault="00420C99" w:rsidP="009C5BFB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>(i) the owner or occupier of that land referred to in paragraph (</w:t>
      </w:r>
      <w:r w:rsidRPr="0030156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0156B">
        <w:rPr>
          <w:rFonts w:ascii="Times New Roman" w:hAnsi="Times New Roman" w:cs="Times New Roman"/>
          <w:sz w:val="24"/>
          <w:szCs w:val="24"/>
        </w:rPr>
        <w:t>) may remain in occupation of his or her</w:t>
      </w:r>
      <w:r w:rsidR="009C5BF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living quarters on that land for a period of not more than ninety days after the date when the land is</w:t>
      </w:r>
      <w:r w:rsidR="009C5BF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identified;(ii) the owner or occupier shall cease to occupy his or her living quarters after the period referred to in</w:t>
      </w:r>
    </w:p>
    <w:p w:rsidR="00420C99" w:rsidRPr="0030156B" w:rsidRDefault="00420C99" w:rsidP="009C5BF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i/>
          <w:sz w:val="24"/>
          <w:szCs w:val="24"/>
        </w:rPr>
        <w:t>proviso</w:t>
      </w:r>
      <w:r w:rsidRPr="0030156B">
        <w:rPr>
          <w:rFonts w:ascii="Times New Roman" w:hAnsi="Times New Roman" w:cs="Times New Roman"/>
          <w:sz w:val="24"/>
          <w:szCs w:val="24"/>
        </w:rPr>
        <w:t xml:space="preserve"> (i).</w:t>
      </w:r>
    </w:p>
    <w:p w:rsidR="005E594D" w:rsidRPr="0030156B" w:rsidRDefault="005E594D" w:rsidP="009C5BF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20C99" w:rsidRPr="0030156B" w:rsidRDefault="00420C99" w:rsidP="005E59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>If a former owner or occupier of Gazetted land who is not lawfully authorised to occupy, hold or use that</w:t>
      </w:r>
      <w:r w:rsidR="008448A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land does not cease to occupy, hold or use that land after the expiry of the appropriate period referred to in</w:t>
      </w:r>
      <w:r w:rsidR="008448A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subsection (2)(</w:t>
      </w:r>
      <w:r w:rsidRPr="0030156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0156B">
        <w:rPr>
          <w:rFonts w:ascii="Times New Roman" w:hAnsi="Times New Roman" w:cs="Times New Roman"/>
          <w:sz w:val="24"/>
          <w:szCs w:val="24"/>
        </w:rPr>
        <w:t>) or (</w:t>
      </w:r>
      <w:r w:rsidRPr="0030156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0156B">
        <w:rPr>
          <w:rFonts w:ascii="Times New Roman" w:hAnsi="Times New Roman" w:cs="Times New Roman"/>
          <w:sz w:val="24"/>
          <w:szCs w:val="24"/>
        </w:rPr>
        <w:t>), or, in the case of a former owner or occupier referred to in section 2(</w:t>
      </w:r>
      <w:r w:rsidRPr="0030156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0156B">
        <w:rPr>
          <w:rFonts w:ascii="Times New Roman" w:hAnsi="Times New Roman" w:cs="Times New Roman"/>
          <w:sz w:val="24"/>
          <w:szCs w:val="24"/>
        </w:rPr>
        <w:t>), does not cease to</w:t>
      </w:r>
      <w:r w:rsidR="008448A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occupy his or her living quarters in contravention of proviso (ii) to section 2(</w:t>
      </w:r>
      <w:r w:rsidRPr="0030156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0156B">
        <w:rPr>
          <w:rFonts w:ascii="Times New Roman" w:hAnsi="Times New Roman" w:cs="Times New Roman"/>
          <w:sz w:val="24"/>
          <w:szCs w:val="24"/>
        </w:rPr>
        <w:t>), he or she shall be guilty of an</w:t>
      </w:r>
      <w:r w:rsidR="008448A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offence and liable to a fine not exceeding level seven or to imprisonment for a period not exceeding two years or</w:t>
      </w:r>
      <w:r w:rsidR="008448A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to both such fine and such imprisonment.</w:t>
      </w:r>
    </w:p>
    <w:p w:rsidR="005E594D" w:rsidRPr="0030156B" w:rsidRDefault="005E594D" w:rsidP="005E594D">
      <w:pPr>
        <w:pStyle w:val="ListParagraph"/>
        <w:autoSpaceDE w:val="0"/>
        <w:autoSpaceDN w:val="0"/>
        <w:adjustRightInd w:val="0"/>
        <w:spacing w:after="0" w:line="24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420C99" w:rsidRPr="0030156B" w:rsidRDefault="00420C99" w:rsidP="005E59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>Any person, other than a person referred to in subsection (2), who contravenes subsection (1), shall be</w:t>
      </w:r>
      <w:r w:rsidR="005E594D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guilty of an offence and liable to a fine not exceeding level seven or imprisonment for a period not exceeding two</w:t>
      </w:r>
      <w:r w:rsidR="008448A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years or to both such fine and such imprisonment.</w:t>
      </w:r>
    </w:p>
    <w:p w:rsidR="005E594D" w:rsidRPr="0030156B" w:rsidRDefault="005E594D" w:rsidP="005E59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20C99" w:rsidRPr="0030156B" w:rsidRDefault="00420C99" w:rsidP="005E59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A court which has convicted a person of an offence </w:t>
      </w:r>
      <w:r w:rsidR="005E594D" w:rsidRPr="0030156B">
        <w:rPr>
          <w:rFonts w:ascii="Times New Roman" w:hAnsi="Times New Roman" w:cs="Times New Roman"/>
          <w:sz w:val="24"/>
          <w:szCs w:val="24"/>
        </w:rPr>
        <w:t>in terms</w:t>
      </w:r>
      <w:r w:rsidRPr="0030156B">
        <w:rPr>
          <w:rFonts w:ascii="Times New Roman" w:hAnsi="Times New Roman" w:cs="Times New Roman"/>
          <w:sz w:val="24"/>
          <w:szCs w:val="24"/>
        </w:rPr>
        <w:t xml:space="preserve"> of subsection (3) or (4) shall issue an order</w:t>
      </w:r>
      <w:r w:rsidR="005E594D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Pr="0030156B">
        <w:rPr>
          <w:rFonts w:ascii="Times New Roman" w:hAnsi="Times New Roman" w:cs="Times New Roman"/>
          <w:sz w:val="24"/>
          <w:szCs w:val="24"/>
        </w:rPr>
        <w:t>to evict the person convicted from the land to which the offence relates</w:t>
      </w:r>
    </w:p>
    <w:p w:rsidR="005E594D" w:rsidRPr="0030156B" w:rsidRDefault="005E594D" w:rsidP="005E5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48AB" w:rsidRPr="0030156B" w:rsidRDefault="008448AB" w:rsidP="00A90A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48AB" w:rsidRPr="0030156B" w:rsidRDefault="009C5BFB" w:rsidP="005E59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[3] </w:t>
      </w:r>
      <w:r w:rsidR="008448AB" w:rsidRPr="0030156B">
        <w:rPr>
          <w:rFonts w:ascii="Times New Roman" w:hAnsi="Times New Roman" w:cs="Times New Roman"/>
          <w:sz w:val="24"/>
          <w:szCs w:val="24"/>
        </w:rPr>
        <w:t>The respondent</w:t>
      </w:r>
      <w:r w:rsidR="007E0CB5" w:rsidRPr="0030156B">
        <w:rPr>
          <w:rFonts w:ascii="Times New Roman" w:hAnsi="Times New Roman" w:cs="Times New Roman"/>
          <w:sz w:val="24"/>
          <w:szCs w:val="24"/>
        </w:rPr>
        <w:t xml:space="preserve"> was charged with, a</w:t>
      </w:r>
      <w:r w:rsidR="00F45383" w:rsidRPr="0030156B">
        <w:rPr>
          <w:rFonts w:ascii="Times New Roman" w:hAnsi="Times New Roman" w:cs="Times New Roman"/>
          <w:sz w:val="24"/>
          <w:szCs w:val="24"/>
        </w:rPr>
        <w:t>nd convicted of, contravening s</w:t>
      </w:r>
      <w:r w:rsidR="00C245E6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8448AB" w:rsidRPr="0030156B">
        <w:rPr>
          <w:rFonts w:ascii="Times New Roman" w:hAnsi="Times New Roman" w:cs="Times New Roman"/>
          <w:sz w:val="24"/>
          <w:szCs w:val="24"/>
        </w:rPr>
        <w:t>3 of the Act</w:t>
      </w:r>
      <w:r w:rsidR="00F45383" w:rsidRPr="0030156B">
        <w:rPr>
          <w:rFonts w:ascii="Times New Roman" w:hAnsi="Times New Roman" w:cs="Times New Roman"/>
          <w:sz w:val="24"/>
          <w:szCs w:val="24"/>
        </w:rPr>
        <w:t>.</w:t>
      </w:r>
      <w:r w:rsidR="008448A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C245E6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8448AB" w:rsidRPr="0030156B">
        <w:rPr>
          <w:rFonts w:ascii="Times New Roman" w:hAnsi="Times New Roman" w:cs="Times New Roman"/>
          <w:sz w:val="24"/>
          <w:szCs w:val="24"/>
        </w:rPr>
        <w:t>H</w:t>
      </w:r>
      <w:r w:rsidR="00F45383" w:rsidRPr="0030156B">
        <w:rPr>
          <w:rFonts w:ascii="Times New Roman" w:hAnsi="Times New Roman" w:cs="Times New Roman"/>
          <w:sz w:val="24"/>
          <w:szCs w:val="24"/>
        </w:rPr>
        <w:t>e was sentenced to a fine of $100 and ordered to va</w:t>
      </w:r>
      <w:r w:rsidR="008448AB" w:rsidRPr="0030156B">
        <w:rPr>
          <w:rFonts w:ascii="Times New Roman" w:hAnsi="Times New Roman" w:cs="Times New Roman"/>
          <w:sz w:val="24"/>
          <w:szCs w:val="24"/>
        </w:rPr>
        <w:t>cate the farm by November 6 2013</w:t>
      </w:r>
      <w:r w:rsidR="00F45383" w:rsidRPr="0030156B">
        <w:rPr>
          <w:rFonts w:ascii="Times New Roman" w:hAnsi="Times New Roman" w:cs="Times New Roman"/>
          <w:sz w:val="24"/>
          <w:szCs w:val="24"/>
        </w:rPr>
        <w:t>.</w:t>
      </w:r>
      <w:r w:rsidR="008448AB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C245E6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8448AB" w:rsidRPr="0030156B">
        <w:rPr>
          <w:rFonts w:ascii="Times New Roman" w:hAnsi="Times New Roman" w:cs="Times New Roman"/>
          <w:sz w:val="24"/>
          <w:szCs w:val="24"/>
        </w:rPr>
        <w:t xml:space="preserve">He noted an appeal against both the conviction and the sentence. </w:t>
      </w:r>
      <w:r w:rsidR="00C245E6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8448AB" w:rsidRPr="0030156B">
        <w:rPr>
          <w:rFonts w:ascii="Times New Roman" w:hAnsi="Times New Roman" w:cs="Times New Roman"/>
          <w:sz w:val="24"/>
          <w:szCs w:val="24"/>
        </w:rPr>
        <w:t>Thereafter h</w:t>
      </w:r>
      <w:r w:rsidR="008C3109" w:rsidRPr="0030156B">
        <w:rPr>
          <w:rFonts w:ascii="Times New Roman" w:hAnsi="Times New Roman" w:cs="Times New Roman"/>
          <w:sz w:val="24"/>
          <w:szCs w:val="24"/>
        </w:rPr>
        <w:t>aving s</w:t>
      </w:r>
      <w:r w:rsidR="008448AB" w:rsidRPr="0030156B">
        <w:rPr>
          <w:rFonts w:ascii="Times New Roman" w:hAnsi="Times New Roman" w:cs="Times New Roman"/>
          <w:sz w:val="24"/>
          <w:szCs w:val="24"/>
        </w:rPr>
        <w:t>ought, and obtained</w:t>
      </w:r>
      <w:r w:rsidR="008C3109" w:rsidRPr="0030156B">
        <w:rPr>
          <w:rFonts w:ascii="Times New Roman" w:hAnsi="Times New Roman" w:cs="Times New Roman"/>
          <w:sz w:val="24"/>
          <w:szCs w:val="24"/>
        </w:rPr>
        <w:t>,</w:t>
      </w:r>
      <w:r w:rsidR="008448AB" w:rsidRPr="0030156B">
        <w:rPr>
          <w:rFonts w:ascii="Times New Roman" w:hAnsi="Times New Roman" w:cs="Times New Roman"/>
          <w:sz w:val="24"/>
          <w:szCs w:val="24"/>
        </w:rPr>
        <w:t xml:space="preserve"> on the 24 December,</w:t>
      </w:r>
      <w:r w:rsidR="00D659E7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8448AB" w:rsidRPr="0030156B">
        <w:rPr>
          <w:rFonts w:ascii="Times New Roman" w:hAnsi="Times New Roman" w:cs="Times New Roman"/>
          <w:sz w:val="24"/>
          <w:szCs w:val="24"/>
        </w:rPr>
        <w:t xml:space="preserve">2013, an order </w:t>
      </w:r>
      <w:r w:rsidR="000C56E3" w:rsidRPr="0030156B">
        <w:rPr>
          <w:rFonts w:ascii="Times New Roman" w:hAnsi="Times New Roman" w:cs="Times New Roman"/>
          <w:sz w:val="24"/>
          <w:szCs w:val="24"/>
        </w:rPr>
        <w:t>staying execution of the judgment pending the determination of the appeal</w:t>
      </w:r>
      <w:r w:rsidR="008C3109" w:rsidRPr="0030156B">
        <w:rPr>
          <w:rFonts w:ascii="Times New Roman" w:hAnsi="Times New Roman" w:cs="Times New Roman"/>
          <w:sz w:val="24"/>
          <w:szCs w:val="24"/>
        </w:rPr>
        <w:t>,</w:t>
      </w:r>
      <w:r w:rsidR="000C56E3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8C3109" w:rsidRPr="0030156B">
        <w:rPr>
          <w:rFonts w:ascii="Times New Roman" w:hAnsi="Times New Roman" w:cs="Times New Roman"/>
          <w:sz w:val="24"/>
          <w:szCs w:val="24"/>
        </w:rPr>
        <w:t>he</w:t>
      </w:r>
      <w:r w:rsidR="000C56E3" w:rsidRPr="0030156B">
        <w:rPr>
          <w:rFonts w:ascii="Times New Roman" w:hAnsi="Times New Roman" w:cs="Times New Roman"/>
          <w:sz w:val="24"/>
          <w:szCs w:val="24"/>
        </w:rPr>
        <w:t xml:space="preserve"> continued to occupy the farm.</w:t>
      </w:r>
    </w:p>
    <w:p w:rsidR="00D018E4" w:rsidRPr="0030156B" w:rsidRDefault="00D018E4" w:rsidP="00310B9D">
      <w:pPr>
        <w:pStyle w:val="Subtitle"/>
        <w:rPr>
          <w:rFonts w:ascii="Times New Roman" w:hAnsi="Times New Roman" w:cs="Times New Roman"/>
        </w:rPr>
      </w:pPr>
    </w:p>
    <w:p w:rsidR="000C56E3" w:rsidRPr="0030156B" w:rsidRDefault="009C5BFB" w:rsidP="00D01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[4] </w:t>
      </w:r>
      <w:r w:rsidR="000C56E3" w:rsidRPr="0030156B">
        <w:rPr>
          <w:rFonts w:ascii="Times New Roman" w:hAnsi="Times New Roman" w:cs="Times New Roman"/>
          <w:sz w:val="24"/>
          <w:szCs w:val="24"/>
        </w:rPr>
        <w:t xml:space="preserve">On the 28 July 2015, the appellant was issued with an offer letter for part of the farm and sought to evict the respondent therefrom. </w:t>
      </w:r>
      <w:r w:rsidR="00C245E6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0C56E3" w:rsidRPr="0030156B">
        <w:rPr>
          <w:rFonts w:ascii="Times New Roman" w:hAnsi="Times New Roman" w:cs="Times New Roman"/>
          <w:sz w:val="24"/>
          <w:szCs w:val="24"/>
        </w:rPr>
        <w:t>This led to the filing by the respondent of an urgent application in the High Court for the order mentioned at the beginning of this judgment</w:t>
      </w:r>
      <w:r w:rsidR="003E7A7F" w:rsidRPr="0030156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0C56E3" w:rsidRPr="0030156B">
        <w:rPr>
          <w:rFonts w:ascii="Times New Roman" w:hAnsi="Times New Roman" w:cs="Times New Roman"/>
          <w:sz w:val="24"/>
          <w:szCs w:val="24"/>
        </w:rPr>
        <w:t xml:space="preserve">. </w:t>
      </w:r>
      <w:r w:rsidR="00C245E6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0C56E3" w:rsidRPr="0030156B">
        <w:rPr>
          <w:rFonts w:ascii="Times New Roman" w:hAnsi="Times New Roman" w:cs="Times New Roman"/>
          <w:sz w:val="24"/>
          <w:szCs w:val="24"/>
        </w:rPr>
        <w:lastRenderedPageBreak/>
        <w:t>Dissatisfied with the judgment of the High Court</w:t>
      </w:r>
      <w:r w:rsidR="00310B9D" w:rsidRPr="0030156B">
        <w:rPr>
          <w:rFonts w:ascii="Times New Roman" w:hAnsi="Times New Roman" w:cs="Times New Roman"/>
          <w:sz w:val="24"/>
          <w:szCs w:val="24"/>
        </w:rPr>
        <w:t>,</w:t>
      </w:r>
      <w:r w:rsidR="000C56E3" w:rsidRPr="0030156B">
        <w:rPr>
          <w:rFonts w:ascii="Times New Roman" w:hAnsi="Times New Roman" w:cs="Times New Roman"/>
          <w:sz w:val="24"/>
          <w:szCs w:val="24"/>
        </w:rPr>
        <w:t xml:space="preserve"> the appellant noted this appeal on the 10 November 2015. </w:t>
      </w:r>
    </w:p>
    <w:p w:rsidR="00D018E4" w:rsidRPr="0030156B" w:rsidRDefault="00D018E4" w:rsidP="00D018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56E3" w:rsidRPr="0030156B" w:rsidRDefault="009C5BFB" w:rsidP="00D01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>[5</w:t>
      </w:r>
      <w:r w:rsidR="00C245E6" w:rsidRPr="0030156B">
        <w:rPr>
          <w:rFonts w:ascii="Times New Roman" w:hAnsi="Times New Roman" w:cs="Times New Roman"/>
          <w:sz w:val="24"/>
          <w:szCs w:val="24"/>
        </w:rPr>
        <w:t>] At</w:t>
      </w:r>
      <w:r w:rsidR="000C56E3" w:rsidRPr="0030156B">
        <w:rPr>
          <w:rFonts w:ascii="Times New Roman" w:hAnsi="Times New Roman" w:cs="Times New Roman"/>
          <w:sz w:val="24"/>
          <w:szCs w:val="24"/>
        </w:rPr>
        <w:t xml:space="preserve"> the hearing, it came to the attention of the parties that the appeal filed by the respondent against the conviction and sentence imposed by the magistra</w:t>
      </w:r>
      <w:r w:rsidR="00D018E4" w:rsidRPr="0030156B">
        <w:rPr>
          <w:rFonts w:ascii="Times New Roman" w:hAnsi="Times New Roman" w:cs="Times New Roman"/>
          <w:sz w:val="24"/>
          <w:szCs w:val="24"/>
        </w:rPr>
        <w:t>te had been dismissed on the 10 </w:t>
      </w:r>
      <w:r w:rsidR="000C56E3" w:rsidRPr="0030156B">
        <w:rPr>
          <w:rFonts w:ascii="Times New Roman" w:hAnsi="Times New Roman" w:cs="Times New Roman"/>
          <w:sz w:val="24"/>
          <w:szCs w:val="24"/>
        </w:rPr>
        <w:t xml:space="preserve">August 2016. </w:t>
      </w:r>
    </w:p>
    <w:p w:rsidR="00D018E4" w:rsidRPr="0030156B" w:rsidRDefault="00D018E4" w:rsidP="00D018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9C3" w:rsidRPr="0030156B" w:rsidRDefault="009C5BFB" w:rsidP="00D018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[6] </w:t>
      </w:r>
      <w:r w:rsidR="0075078D" w:rsidRPr="0030156B">
        <w:rPr>
          <w:rFonts w:ascii="Times New Roman" w:hAnsi="Times New Roman" w:cs="Times New Roman"/>
          <w:sz w:val="24"/>
          <w:szCs w:val="24"/>
        </w:rPr>
        <w:t>While it is apparent to us that there is merit in the grounds of appeal raised by the appellant attacking</w:t>
      </w:r>
      <w:r w:rsidR="00D659E7" w:rsidRPr="0030156B">
        <w:rPr>
          <w:rFonts w:ascii="Times New Roman" w:hAnsi="Times New Roman" w:cs="Times New Roman"/>
          <w:sz w:val="24"/>
          <w:szCs w:val="24"/>
        </w:rPr>
        <w:t>,</w:t>
      </w:r>
      <w:r w:rsidR="0075078D" w:rsidRPr="0030156B">
        <w:rPr>
          <w:rFonts w:ascii="Times New Roman" w:hAnsi="Times New Roman" w:cs="Times New Roman"/>
          <w:sz w:val="24"/>
          <w:szCs w:val="24"/>
        </w:rPr>
        <w:t xml:space="preserve"> in particular</w:t>
      </w:r>
      <w:r w:rsidR="00D659E7" w:rsidRPr="0030156B">
        <w:rPr>
          <w:rFonts w:ascii="Times New Roman" w:hAnsi="Times New Roman" w:cs="Times New Roman"/>
          <w:sz w:val="24"/>
          <w:szCs w:val="24"/>
        </w:rPr>
        <w:t>,</w:t>
      </w:r>
      <w:r w:rsidR="0075078D" w:rsidRPr="0030156B">
        <w:rPr>
          <w:rFonts w:ascii="Times New Roman" w:hAnsi="Times New Roman" w:cs="Times New Roman"/>
          <w:sz w:val="24"/>
          <w:szCs w:val="24"/>
        </w:rPr>
        <w:t xml:space="preserve"> the propriety of the suspension </w:t>
      </w:r>
      <w:r w:rsidR="00D659E7" w:rsidRPr="0030156B">
        <w:rPr>
          <w:rFonts w:ascii="Times New Roman" w:hAnsi="Times New Roman" w:cs="Times New Roman"/>
          <w:sz w:val="24"/>
          <w:szCs w:val="24"/>
        </w:rPr>
        <w:t xml:space="preserve">by a </w:t>
      </w:r>
      <w:r w:rsidR="00C245E6" w:rsidRPr="0030156B">
        <w:rPr>
          <w:rFonts w:ascii="Times New Roman" w:hAnsi="Times New Roman" w:cs="Times New Roman"/>
          <w:sz w:val="24"/>
          <w:szCs w:val="24"/>
        </w:rPr>
        <w:t>j</w:t>
      </w:r>
      <w:r w:rsidR="00D659E7" w:rsidRPr="0030156B">
        <w:rPr>
          <w:rFonts w:ascii="Times New Roman" w:hAnsi="Times New Roman" w:cs="Times New Roman"/>
          <w:sz w:val="24"/>
          <w:szCs w:val="24"/>
        </w:rPr>
        <w:t xml:space="preserve">udge of the High Court </w:t>
      </w:r>
      <w:r w:rsidR="0075078D" w:rsidRPr="0030156B">
        <w:rPr>
          <w:rFonts w:ascii="Times New Roman" w:hAnsi="Times New Roman" w:cs="Times New Roman"/>
          <w:sz w:val="24"/>
          <w:szCs w:val="24"/>
        </w:rPr>
        <w:t>of the execution of the judgment of the magistrate, we are of the view that the dismissal of the appeal by the High Court i</w:t>
      </w:r>
      <w:r w:rsidR="00D659E7" w:rsidRPr="0030156B">
        <w:rPr>
          <w:rFonts w:ascii="Times New Roman" w:hAnsi="Times New Roman" w:cs="Times New Roman"/>
          <w:sz w:val="24"/>
          <w:szCs w:val="24"/>
        </w:rPr>
        <w:t>s dispositive of the appeal.</w:t>
      </w:r>
    </w:p>
    <w:p w:rsidR="0075078D" w:rsidRPr="0030156B" w:rsidRDefault="0075078D" w:rsidP="00C729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7F3" w:rsidRPr="0030156B" w:rsidRDefault="009C5BFB" w:rsidP="008E485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[7] </w:t>
      </w:r>
      <w:r w:rsidR="0075078D" w:rsidRPr="0030156B">
        <w:rPr>
          <w:rFonts w:ascii="Times New Roman" w:hAnsi="Times New Roman" w:cs="Times New Roman"/>
          <w:sz w:val="24"/>
          <w:szCs w:val="24"/>
        </w:rPr>
        <w:t>Having said this</w:t>
      </w:r>
      <w:r w:rsidR="003333FD" w:rsidRPr="0030156B">
        <w:rPr>
          <w:rFonts w:ascii="Times New Roman" w:hAnsi="Times New Roman" w:cs="Times New Roman"/>
          <w:sz w:val="24"/>
          <w:szCs w:val="24"/>
        </w:rPr>
        <w:t>,</w:t>
      </w:r>
      <w:r w:rsidR="0075078D" w:rsidRPr="0030156B">
        <w:rPr>
          <w:rFonts w:ascii="Times New Roman" w:hAnsi="Times New Roman" w:cs="Times New Roman"/>
          <w:sz w:val="24"/>
          <w:szCs w:val="24"/>
        </w:rPr>
        <w:t xml:space="preserve"> the Court expresses its disquiet</w:t>
      </w:r>
      <w:r w:rsidR="003333FD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75078D" w:rsidRPr="0030156B">
        <w:rPr>
          <w:rFonts w:ascii="Times New Roman" w:hAnsi="Times New Roman" w:cs="Times New Roman"/>
          <w:sz w:val="24"/>
          <w:szCs w:val="24"/>
        </w:rPr>
        <w:t>at the allegations that the appellant forcibly</w:t>
      </w:r>
      <w:r w:rsidR="003333FD" w:rsidRPr="0030156B">
        <w:rPr>
          <w:rFonts w:ascii="Times New Roman" w:hAnsi="Times New Roman" w:cs="Times New Roman"/>
          <w:sz w:val="24"/>
          <w:szCs w:val="24"/>
        </w:rPr>
        <w:t>,</w:t>
      </w:r>
      <w:r w:rsidR="0075078D" w:rsidRPr="0030156B">
        <w:rPr>
          <w:rFonts w:ascii="Times New Roman" w:hAnsi="Times New Roman" w:cs="Times New Roman"/>
          <w:sz w:val="24"/>
          <w:szCs w:val="24"/>
        </w:rPr>
        <w:t xml:space="preserve"> and without regard to due process of law</w:t>
      </w:r>
      <w:r w:rsidR="003333FD" w:rsidRPr="0030156B">
        <w:rPr>
          <w:rFonts w:ascii="Times New Roman" w:hAnsi="Times New Roman" w:cs="Times New Roman"/>
          <w:sz w:val="24"/>
          <w:szCs w:val="24"/>
        </w:rPr>
        <w:t>,</w:t>
      </w:r>
      <w:r w:rsidR="0075078D" w:rsidRPr="0030156B">
        <w:rPr>
          <w:rFonts w:ascii="Times New Roman" w:hAnsi="Times New Roman" w:cs="Times New Roman"/>
          <w:sz w:val="24"/>
          <w:szCs w:val="24"/>
        </w:rPr>
        <w:t xml:space="preserve"> attempted to evict the respondent</w:t>
      </w:r>
      <w:r w:rsidR="003333FD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8E485B" w:rsidRPr="0030156B">
        <w:rPr>
          <w:rFonts w:ascii="Times New Roman" w:hAnsi="Times New Roman" w:cs="Times New Roman"/>
          <w:sz w:val="24"/>
          <w:szCs w:val="24"/>
        </w:rPr>
        <w:t xml:space="preserve">and his family from the farm.  </w:t>
      </w:r>
      <w:r w:rsidR="003333FD" w:rsidRPr="0030156B">
        <w:rPr>
          <w:rFonts w:ascii="Times New Roman" w:hAnsi="Times New Roman" w:cs="Times New Roman"/>
          <w:sz w:val="24"/>
          <w:szCs w:val="24"/>
        </w:rPr>
        <w:t xml:space="preserve">Granted, this was an urgent application for an interim order and no affidavits were filed by the appellant in response to these allegations. </w:t>
      </w:r>
      <w:r w:rsidR="00C729C3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45638C" w:rsidRPr="0030156B">
        <w:rPr>
          <w:rFonts w:ascii="Times New Roman" w:hAnsi="Times New Roman" w:cs="Times New Roman"/>
          <w:sz w:val="24"/>
          <w:szCs w:val="24"/>
        </w:rPr>
        <w:t>However,</w:t>
      </w:r>
      <w:r w:rsidR="003333FD" w:rsidRPr="0030156B">
        <w:rPr>
          <w:rFonts w:ascii="Times New Roman" w:hAnsi="Times New Roman" w:cs="Times New Roman"/>
          <w:sz w:val="24"/>
          <w:szCs w:val="24"/>
        </w:rPr>
        <w:t xml:space="preserve"> litigants are reminded that our</w:t>
      </w:r>
      <w:r w:rsidR="0075078D" w:rsidRPr="0030156B">
        <w:rPr>
          <w:rFonts w:ascii="Times New Roman" w:hAnsi="Times New Roman" w:cs="Times New Roman"/>
          <w:sz w:val="24"/>
          <w:szCs w:val="24"/>
        </w:rPr>
        <w:t xml:space="preserve"> </w:t>
      </w:r>
      <w:r w:rsidR="003333FD" w:rsidRPr="0030156B">
        <w:rPr>
          <w:rFonts w:ascii="Times New Roman" w:hAnsi="Times New Roman" w:cs="Times New Roman"/>
          <w:sz w:val="24"/>
          <w:szCs w:val="24"/>
        </w:rPr>
        <w:t>c</w:t>
      </w:r>
      <w:r w:rsidR="0075078D" w:rsidRPr="0030156B">
        <w:rPr>
          <w:rFonts w:ascii="Times New Roman" w:hAnsi="Times New Roman" w:cs="Times New Roman"/>
          <w:sz w:val="24"/>
          <w:szCs w:val="24"/>
        </w:rPr>
        <w:t>ourt</w:t>
      </w:r>
      <w:r w:rsidR="003333FD" w:rsidRPr="0030156B">
        <w:rPr>
          <w:rFonts w:ascii="Times New Roman" w:hAnsi="Times New Roman" w:cs="Times New Roman"/>
          <w:sz w:val="24"/>
          <w:szCs w:val="24"/>
        </w:rPr>
        <w:t>s have</w:t>
      </w:r>
      <w:r w:rsidR="0075078D" w:rsidRPr="0030156B">
        <w:rPr>
          <w:rFonts w:ascii="Times New Roman" w:hAnsi="Times New Roman" w:cs="Times New Roman"/>
          <w:sz w:val="24"/>
          <w:szCs w:val="24"/>
        </w:rPr>
        <w:t xml:space="preserve"> stressed that due process must always be employed in asserting one’s rights</w:t>
      </w:r>
      <w:r w:rsidR="003333FD" w:rsidRPr="0030156B">
        <w:rPr>
          <w:rFonts w:ascii="Times New Roman" w:hAnsi="Times New Roman" w:cs="Times New Roman"/>
          <w:sz w:val="24"/>
          <w:szCs w:val="24"/>
        </w:rPr>
        <w:t xml:space="preserve"> and a litigant ignores this admonition at his peril.</w:t>
      </w:r>
    </w:p>
    <w:p w:rsidR="007E0CB5" w:rsidRPr="0030156B" w:rsidRDefault="00094601" w:rsidP="002577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3FD" w:rsidRPr="0030156B" w:rsidRDefault="009C5BFB" w:rsidP="00C245E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[8] </w:t>
      </w:r>
      <w:r w:rsidR="003333FD" w:rsidRPr="0030156B">
        <w:rPr>
          <w:rFonts w:ascii="Times New Roman" w:hAnsi="Times New Roman" w:cs="Times New Roman"/>
          <w:sz w:val="24"/>
          <w:szCs w:val="24"/>
        </w:rPr>
        <w:t>In the result</w:t>
      </w:r>
      <w:r w:rsidR="00D659E7" w:rsidRPr="0030156B">
        <w:rPr>
          <w:rFonts w:ascii="Times New Roman" w:hAnsi="Times New Roman" w:cs="Times New Roman"/>
          <w:sz w:val="24"/>
          <w:szCs w:val="24"/>
        </w:rPr>
        <w:t>,</w:t>
      </w:r>
      <w:r w:rsidR="003333FD" w:rsidRPr="0030156B">
        <w:rPr>
          <w:rFonts w:ascii="Times New Roman" w:hAnsi="Times New Roman" w:cs="Times New Roman"/>
          <w:sz w:val="24"/>
          <w:szCs w:val="24"/>
        </w:rPr>
        <w:t xml:space="preserve"> it is the unanimous decision of the Court that the appeal ought to be allowed.  Since no costs were sought in the notice of appeal, none </w:t>
      </w:r>
      <w:r w:rsidR="00293E4F" w:rsidRPr="0030156B">
        <w:rPr>
          <w:rFonts w:ascii="Times New Roman" w:hAnsi="Times New Roman" w:cs="Times New Roman"/>
          <w:sz w:val="24"/>
          <w:szCs w:val="24"/>
        </w:rPr>
        <w:t>is</w:t>
      </w:r>
      <w:r w:rsidR="003333FD" w:rsidRPr="0030156B">
        <w:rPr>
          <w:rFonts w:ascii="Times New Roman" w:hAnsi="Times New Roman" w:cs="Times New Roman"/>
          <w:sz w:val="24"/>
          <w:szCs w:val="24"/>
        </w:rPr>
        <w:t xml:space="preserve"> granted.  It</w:t>
      </w:r>
      <w:r w:rsidR="00D659E7" w:rsidRPr="0030156B">
        <w:rPr>
          <w:rFonts w:ascii="Times New Roman" w:hAnsi="Times New Roman" w:cs="Times New Roman"/>
          <w:sz w:val="24"/>
          <w:szCs w:val="24"/>
        </w:rPr>
        <w:t xml:space="preserve"> is</w:t>
      </w:r>
      <w:r w:rsidR="003333FD" w:rsidRPr="0030156B">
        <w:rPr>
          <w:rFonts w:ascii="Times New Roman" w:hAnsi="Times New Roman" w:cs="Times New Roman"/>
          <w:sz w:val="24"/>
          <w:szCs w:val="24"/>
        </w:rPr>
        <w:t xml:space="preserve"> therefore ordered as follows:</w:t>
      </w:r>
    </w:p>
    <w:p w:rsidR="003333FD" w:rsidRPr="0030156B" w:rsidRDefault="00D659E7" w:rsidP="00C245E6">
      <w:pPr>
        <w:spacing w:after="0"/>
        <w:ind w:left="1350" w:hanging="630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>1.  T</w:t>
      </w:r>
      <w:r w:rsidR="003333FD" w:rsidRPr="0030156B">
        <w:rPr>
          <w:rFonts w:ascii="Times New Roman" w:hAnsi="Times New Roman" w:cs="Times New Roman"/>
          <w:sz w:val="24"/>
          <w:szCs w:val="24"/>
        </w:rPr>
        <w:t>he appeal is allowed with each party bearing its own costs.</w:t>
      </w:r>
    </w:p>
    <w:p w:rsidR="003333FD" w:rsidRPr="0030156B" w:rsidRDefault="00C245E6" w:rsidP="00C245E6">
      <w:pPr>
        <w:ind w:left="1350" w:hanging="540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 xml:space="preserve">2. </w:t>
      </w:r>
      <w:r w:rsidR="00D659E7" w:rsidRPr="0030156B">
        <w:rPr>
          <w:rFonts w:ascii="Times New Roman" w:hAnsi="Times New Roman" w:cs="Times New Roman"/>
          <w:sz w:val="24"/>
          <w:szCs w:val="24"/>
        </w:rPr>
        <w:t xml:space="preserve">The judgment of the court </w:t>
      </w:r>
      <w:r w:rsidR="00D659E7" w:rsidRPr="0030156B">
        <w:rPr>
          <w:rFonts w:ascii="Times New Roman" w:hAnsi="Times New Roman" w:cs="Times New Roman"/>
          <w:i/>
          <w:sz w:val="24"/>
          <w:szCs w:val="24"/>
        </w:rPr>
        <w:t>a quo</w:t>
      </w:r>
      <w:r w:rsidR="00D659E7" w:rsidRPr="0030156B">
        <w:rPr>
          <w:rFonts w:ascii="Times New Roman" w:hAnsi="Times New Roman" w:cs="Times New Roman"/>
          <w:sz w:val="24"/>
          <w:szCs w:val="24"/>
        </w:rPr>
        <w:t xml:space="preserve"> is set aside and </w:t>
      </w:r>
      <w:r w:rsidRPr="0030156B">
        <w:rPr>
          <w:rFonts w:ascii="Times New Roman" w:hAnsi="Times New Roman" w:cs="Times New Roman"/>
          <w:sz w:val="24"/>
          <w:szCs w:val="24"/>
        </w:rPr>
        <w:t xml:space="preserve">  </w:t>
      </w:r>
      <w:r w:rsidR="00D659E7" w:rsidRPr="0030156B">
        <w:rPr>
          <w:rFonts w:ascii="Times New Roman" w:hAnsi="Times New Roman" w:cs="Times New Roman"/>
          <w:sz w:val="24"/>
          <w:szCs w:val="24"/>
        </w:rPr>
        <w:t xml:space="preserve">substituted with the </w:t>
      </w:r>
      <w:r w:rsidR="0045638C" w:rsidRPr="0030156B">
        <w:rPr>
          <w:rFonts w:ascii="Times New Roman" w:hAnsi="Times New Roman" w:cs="Times New Roman"/>
          <w:sz w:val="24"/>
          <w:szCs w:val="24"/>
        </w:rPr>
        <w:t>following: -</w:t>
      </w:r>
    </w:p>
    <w:p w:rsidR="00D659E7" w:rsidRPr="0030156B" w:rsidRDefault="00D659E7" w:rsidP="009C5BFB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sz w:val="24"/>
          <w:szCs w:val="24"/>
        </w:rPr>
        <w:t>“The application is dismissed with costs”</w:t>
      </w:r>
    </w:p>
    <w:p w:rsidR="003333FD" w:rsidRPr="0030156B" w:rsidRDefault="003333FD" w:rsidP="00A90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026" w:rsidRPr="0030156B" w:rsidRDefault="005E4026" w:rsidP="00A90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026" w:rsidRPr="0030156B" w:rsidRDefault="005E4026" w:rsidP="005E4026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b/>
          <w:sz w:val="24"/>
          <w:szCs w:val="24"/>
        </w:rPr>
        <w:t>GWAUNZA JA:</w:t>
      </w:r>
      <w:r w:rsidRPr="0030156B">
        <w:rPr>
          <w:rFonts w:ascii="Times New Roman" w:hAnsi="Times New Roman" w:cs="Times New Roman"/>
          <w:sz w:val="24"/>
          <w:szCs w:val="24"/>
        </w:rPr>
        <w:tab/>
      </w:r>
      <w:r w:rsidRPr="0030156B">
        <w:rPr>
          <w:rFonts w:ascii="Times New Roman" w:hAnsi="Times New Roman" w:cs="Times New Roman"/>
          <w:sz w:val="24"/>
          <w:szCs w:val="24"/>
        </w:rPr>
        <w:tab/>
      </w:r>
      <w:r w:rsidRPr="0030156B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5E4026" w:rsidRPr="0030156B" w:rsidRDefault="005E4026" w:rsidP="005E4026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b/>
          <w:sz w:val="24"/>
          <w:szCs w:val="24"/>
        </w:rPr>
        <w:lastRenderedPageBreak/>
        <w:t>MAVANGIRA JA:</w:t>
      </w:r>
      <w:r w:rsidRPr="0030156B">
        <w:rPr>
          <w:rFonts w:ascii="Times New Roman" w:hAnsi="Times New Roman" w:cs="Times New Roman"/>
          <w:b/>
          <w:sz w:val="24"/>
          <w:szCs w:val="24"/>
        </w:rPr>
        <w:tab/>
      </w:r>
      <w:r w:rsidRPr="0030156B">
        <w:rPr>
          <w:rFonts w:ascii="Times New Roman" w:hAnsi="Times New Roman" w:cs="Times New Roman"/>
          <w:sz w:val="24"/>
          <w:szCs w:val="24"/>
        </w:rPr>
        <w:tab/>
      </w:r>
      <w:r w:rsidRPr="0030156B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977ED7" w:rsidRPr="0030156B" w:rsidRDefault="00977ED7" w:rsidP="005E4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026" w:rsidRPr="0030156B" w:rsidRDefault="00977ED7" w:rsidP="005E4026">
      <w:pPr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i/>
          <w:sz w:val="24"/>
          <w:szCs w:val="24"/>
        </w:rPr>
        <w:t xml:space="preserve">Hussein Ranchod &amp; Co, </w:t>
      </w:r>
      <w:r w:rsidRPr="0030156B">
        <w:rPr>
          <w:rFonts w:ascii="Times New Roman" w:hAnsi="Times New Roman" w:cs="Times New Roman"/>
          <w:sz w:val="24"/>
          <w:szCs w:val="24"/>
        </w:rPr>
        <w:t>appellant’s legal practitioners</w:t>
      </w:r>
    </w:p>
    <w:p w:rsidR="005E4026" w:rsidRPr="0030156B" w:rsidRDefault="005E4026" w:rsidP="005E4026">
      <w:pPr>
        <w:jc w:val="both"/>
        <w:rPr>
          <w:rFonts w:ascii="Times New Roman" w:hAnsi="Times New Roman" w:cs="Times New Roman"/>
          <w:sz w:val="24"/>
          <w:szCs w:val="24"/>
        </w:rPr>
      </w:pPr>
      <w:r w:rsidRPr="0030156B">
        <w:rPr>
          <w:rFonts w:ascii="Times New Roman" w:hAnsi="Times New Roman" w:cs="Times New Roman"/>
          <w:i/>
          <w:sz w:val="24"/>
          <w:szCs w:val="24"/>
        </w:rPr>
        <w:t xml:space="preserve">Mugiya &amp; Macharaga Law Chambers, </w:t>
      </w:r>
      <w:r w:rsidR="00977ED7" w:rsidRPr="0030156B">
        <w:rPr>
          <w:rFonts w:ascii="Times New Roman" w:hAnsi="Times New Roman" w:cs="Times New Roman"/>
          <w:sz w:val="24"/>
          <w:szCs w:val="24"/>
        </w:rPr>
        <w:t>respondent’</w:t>
      </w:r>
      <w:r w:rsidRPr="0030156B">
        <w:rPr>
          <w:rFonts w:ascii="Times New Roman" w:hAnsi="Times New Roman" w:cs="Times New Roman"/>
          <w:sz w:val="24"/>
          <w:szCs w:val="24"/>
        </w:rPr>
        <w:t>s legal practitioners</w:t>
      </w:r>
    </w:p>
    <w:sectPr w:rsidR="005E4026" w:rsidRPr="003015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5F3" w:rsidRDefault="003E55F3" w:rsidP="00A90AFE">
      <w:pPr>
        <w:spacing w:after="0" w:line="240" w:lineRule="auto"/>
      </w:pPr>
      <w:r>
        <w:separator/>
      </w:r>
    </w:p>
  </w:endnote>
  <w:endnote w:type="continuationSeparator" w:id="0">
    <w:p w:rsidR="003E55F3" w:rsidRDefault="003E55F3" w:rsidP="00A9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5F3" w:rsidRDefault="003E55F3" w:rsidP="00A90AFE">
      <w:pPr>
        <w:spacing w:after="0" w:line="240" w:lineRule="auto"/>
      </w:pPr>
      <w:r>
        <w:separator/>
      </w:r>
    </w:p>
  </w:footnote>
  <w:footnote w:type="continuationSeparator" w:id="0">
    <w:p w:rsidR="003E55F3" w:rsidRDefault="003E55F3" w:rsidP="00A90AFE">
      <w:pPr>
        <w:spacing w:after="0" w:line="240" w:lineRule="auto"/>
      </w:pPr>
      <w:r>
        <w:continuationSeparator/>
      </w:r>
    </w:p>
  </w:footnote>
  <w:footnote w:id="1">
    <w:p w:rsidR="003E7A7F" w:rsidRPr="003E7A7F" w:rsidRDefault="003E7A7F">
      <w:pPr>
        <w:pStyle w:val="FootnoteText"/>
        <w:rPr>
          <w:i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[Para [1] </w:t>
      </w:r>
      <w:r>
        <w:rPr>
          <w:i/>
          <w:lang w:val="en-US"/>
        </w:rPr>
        <w:t>supra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AFE" w:rsidRDefault="00A90AF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0AFE" w:rsidRDefault="00A90AF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Judgment No. SC </w:t>
                          </w:r>
                          <w:r w:rsidR="0030156B">
                            <w:rPr>
                              <w:noProof/>
                            </w:rPr>
                            <w:t>32</w:t>
                          </w:r>
                          <w:r>
                            <w:rPr>
                              <w:noProof/>
                            </w:rPr>
                            <w:t>/2017</w:t>
                          </w:r>
                        </w:p>
                        <w:p w:rsidR="00A90AFE" w:rsidRDefault="00A90AF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Civil Appeal No. SC 620/15</w:t>
                          </w:r>
                        </w:p>
                        <w:p w:rsidR="00A90AFE" w:rsidRDefault="00A90AF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A90AFE" w:rsidRDefault="00A90AF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Judgment No. SC </w:t>
                    </w:r>
                    <w:r w:rsidR="0030156B">
                      <w:rPr>
                        <w:noProof/>
                      </w:rPr>
                      <w:t>32</w:t>
                    </w:r>
                    <w:r>
                      <w:rPr>
                        <w:noProof/>
                      </w:rPr>
                      <w:t>/2017</w:t>
                    </w:r>
                  </w:p>
                  <w:p w:rsidR="00A90AFE" w:rsidRDefault="00A90AF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Civil Appeal No. SC 620/15</w:t>
                    </w:r>
                  </w:p>
                  <w:p w:rsidR="00A90AFE" w:rsidRDefault="00A90AF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90AFE" w:rsidRDefault="00A90AF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33C5F" w:rsidRPr="00E33C5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A90AFE" w:rsidRDefault="00A90AF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33C5F" w:rsidRPr="00E33C5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3E52"/>
    <w:multiLevelType w:val="hybridMultilevel"/>
    <w:tmpl w:val="7C6C98EA"/>
    <w:lvl w:ilvl="0" w:tplc="AC98EDC6">
      <w:start w:val="1"/>
      <w:numFmt w:val="decimal"/>
      <w:lvlText w:val="(%1)"/>
      <w:lvlJc w:val="left"/>
      <w:pPr>
        <w:ind w:left="150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B5"/>
    <w:rsid w:val="00067020"/>
    <w:rsid w:val="00094601"/>
    <w:rsid w:val="000C56E3"/>
    <w:rsid w:val="001C26AE"/>
    <w:rsid w:val="00204DD7"/>
    <w:rsid w:val="002577F3"/>
    <w:rsid w:val="00293E4F"/>
    <w:rsid w:val="0030156B"/>
    <w:rsid w:val="00310B9D"/>
    <w:rsid w:val="003333FD"/>
    <w:rsid w:val="003E55F3"/>
    <w:rsid w:val="003E7A7F"/>
    <w:rsid w:val="00420C99"/>
    <w:rsid w:val="0045638C"/>
    <w:rsid w:val="005353C2"/>
    <w:rsid w:val="005733D0"/>
    <w:rsid w:val="005A656F"/>
    <w:rsid w:val="005D7FC5"/>
    <w:rsid w:val="005E4026"/>
    <w:rsid w:val="005E594D"/>
    <w:rsid w:val="006D4C3B"/>
    <w:rsid w:val="00724DAE"/>
    <w:rsid w:val="0075078D"/>
    <w:rsid w:val="007731D6"/>
    <w:rsid w:val="007E0CB5"/>
    <w:rsid w:val="008448AB"/>
    <w:rsid w:val="00847FCF"/>
    <w:rsid w:val="008555E1"/>
    <w:rsid w:val="008A373D"/>
    <w:rsid w:val="008C3109"/>
    <w:rsid w:val="008E485B"/>
    <w:rsid w:val="00977ED7"/>
    <w:rsid w:val="009A57AB"/>
    <w:rsid w:val="009C5BFB"/>
    <w:rsid w:val="00A87D91"/>
    <w:rsid w:val="00A90AFE"/>
    <w:rsid w:val="00BA2FE0"/>
    <w:rsid w:val="00C245E6"/>
    <w:rsid w:val="00C41A51"/>
    <w:rsid w:val="00C729C3"/>
    <w:rsid w:val="00D018E4"/>
    <w:rsid w:val="00D659E7"/>
    <w:rsid w:val="00E33C5F"/>
    <w:rsid w:val="00F23FF8"/>
    <w:rsid w:val="00F4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748FDC1-1503-4396-A3F9-8D7D023C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AFE"/>
  </w:style>
  <w:style w:type="paragraph" w:styleId="Footer">
    <w:name w:val="footer"/>
    <w:basedOn w:val="Normal"/>
    <w:link w:val="FooterChar"/>
    <w:uiPriority w:val="99"/>
    <w:unhideWhenUsed/>
    <w:rsid w:val="00A9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AFE"/>
  </w:style>
  <w:style w:type="paragraph" w:styleId="Subtitle">
    <w:name w:val="Subtitle"/>
    <w:basedOn w:val="Normal"/>
    <w:next w:val="Normal"/>
    <w:link w:val="SubtitleChar"/>
    <w:uiPriority w:val="11"/>
    <w:qFormat/>
    <w:rsid w:val="00A90A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0AF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E594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E7A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7A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7A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0B7FE-DF1E-4CEB-A009-2025ADD5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ziyambi</dc:creator>
  <cp:keywords/>
  <dc:description/>
  <cp:lastModifiedBy>JSC</cp:lastModifiedBy>
  <cp:revision>2</cp:revision>
  <dcterms:created xsi:type="dcterms:W3CDTF">2017-06-09T16:43:00Z</dcterms:created>
  <dcterms:modified xsi:type="dcterms:W3CDTF">2017-06-09T16:43:00Z</dcterms:modified>
</cp:coreProperties>
</file>