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D8A" w:rsidRPr="007C5A7F" w:rsidRDefault="007C5A7F" w:rsidP="007C695E">
      <w:pPr>
        <w:jc w:val="both"/>
        <w:rPr>
          <w:rFonts w:ascii="Times New Roman" w:hAnsi="Times New Roman" w:cs="Times New Roman"/>
          <w:sz w:val="24"/>
          <w:szCs w:val="24"/>
        </w:rPr>
      </w:pPr>
      <w:r w:rsidRPr="007C5A7F">
        <w:rPr>
          <w:rFonts w:ascii="Times New Roman" w:hAnsi="Times New Roman" w:cs="Times New Roman"/>
          <w:b/>
          <w:sz w:val="24"/>
          <w:szCs w:val="24"/>
          <w:u w:val="single"/>
        </w:rPr>
        <w:t>REPORTABLE</w:t>
      </w:r>
      <w:r w:rsidR="00F52F12">
        <w:rPr>
          <w:rFonts w:ascii="Times New Roman" w:hAnsi="Times New Roman" w:cs="Times New Roman"/>
          <w:b/>
          <w:sz w:val="24"/>
          <w:szCs w:val="24"/>
        </w:rPr>
        <w:tab/>
      </w:r>
      <w:r w:rsidR="00F52F12" w:rsidRPr="00F52F12">
        <w:rPr>
          <w:rFonts w:ascii="Times New Roman" w:hAnsi="Times New Roman" w:cs="Times New Roman"/>
          <w:b/>
          <w:sz w:val="24"/>
          <w:szCs w:val="24"/>
        </w:rPr>
        <w:t>(</w:t>
      </w:r>
      <w:r w:rsidRPr="00F52F12">
        <w:rPr>
          <w:rFonts w:ascii="Times New Roman" w:hAnsi="Times New Roman" w:cs="Times New Roman"/>
          <w:b/>
          <w:sz w:val="24"/>
          <w:szCs w:val="24"/>
        </w:rPr>
        <w:t>11</w:t>
      </w:r>
      <w:r w:rsidR="00F52F12" w:rsidRPr="00F52F12">
        <w:rPr>
          <w:rFonts w:ascii="Times New Roman" w:hAnsi="Times New Roman" w:cs="Times New Roman"/>
          <w:b/>
          <w:sz w:val="24"/>
          <w:szCs w:val="24"/>
        </w:rPr>
        <w:t>)</w:t>
      </w:r>
      <w:bookmarkStart w:id="0" w:name="_GoBack"/>
      <w:bookmarkEnd w:id="0"/>
      <w:r w:rsidR="007C695E" w:rsidRPr="007C5A7F">
        <w:rPr>
          <w:rFonts w:ascii="Times New Roman" w:hAnsi="Times New Roman" w:cs="Times New Roman"/>
          <w:sz w:val="24"/>
          <w:szCs w:val="24"/>
        </w:rPr>
        <w:t xml:space="preserve">                </w:t>
      </w:r>
    </w:p>
    <w:p w:rsidR="00C93D8A" w:rsidRPr="007C5A7F" w:rsidRDefault="00C93D8A" w:rsidP="00C93D8A">
      <w:pPr>
        <w:spacing w:after="0" w:line="240" w:lineRule="auto"/>
        <w:jc w:val="center"/>
        <w:rPr>
          <w:rFonts w:ascii="Times New Roman" w:hAnsi="Times New Roman" w:cs="Times New Roman"/>
          <w:b/>
          <w:sz w:val="24"/>
          <w:szCs w:val="24"/>
        </w:rPr>
      </w:pPr>
    </w:p>
    <w:p w:rsidR="001778BA" w:rsidRPr="007C5A7F" w:rsidRDefault="007C695E" w:rsidP="00C93D8A">
      <w:pPr>
        <w:spacing w:after="0" w:line="240" w:lineRule="auto"/>
        <w:jc w:val="center"/>
        <w:rPr>
          <w:rFonts w:ascii="Times New Roman" w:hAnsi="Times New Roman" w:cs="Times New Roman"/>
          <w:b/>
          <w:sz w:val="24"/>
          <w:szCs w:val="24"/>
        </w:rPr>
      </w:pPr>
      <w:r w:rsidRPr="007C5A7F">
        <w:rPr>
          <w:rFonts w:ascii="Times New Roman" w:hAnsi="Times New Roman" w:cs="Times New Roman"/>
          <w:b/>
          <w:sz w:val="24"/>
          <w:szCs w:val="24"/>
        </w:rPr>
        <w:t xml:space="preserve">FANUEL </w:t>
      </w:r>
      <w:r w:rsidR="00C93D8A" w:rsidRPr="007C5A7F">
        <w:rPr>
          <w:rFonts w:ascii="Times New Roman" w:hAnsi="Times New Roman" w:cs="Times New Roman"/>
          <w:b/>
          <w:sz w:val="24"/>
          <w:szCs w:val="24"/>
        </w:rPr>
        <w:t xml:space="preserve">    </w:t>
      </w:r>
      <w:r w:rsidRPr="007C5A7F">
        <w:rPr>
          <w:rFonts w:ascii="Times New Roman" w:hAnsi="Times New Roman" w:cs="Times New Roman"/>
          <w:b/>
          <w:sz w:val="24"/>
          <w:szCs w:val="24"/>
        </w:rPr>
        <w:t>MWAYERA</w:t>
      </w:r>
    </w:p>
    <w:p w:rsidR="007C695E" w:rsidRPr="007C5A7F" w:rsidRDefault="00C93D8A" w:rsidP="00C93D8A">
      <w:pPr>
        <w:spacing w:after="0" w:line="240" w:lineRule="auto"/>
        <w:jc w:val="center"/>
        <w:rPr>
          <w:rFonts w:ascii="Times New Roman" w:hAnsi="Times New Roman" w:cs="Times New Roman"/>
          <w:sz w:val="24"/>
          <w:szCs w:val="24"/>
        </w:rPr>
      </w:pPr>
      <w:proofErr w:type="gramStart"/>
      <w:r w:rsidRPr="007C5A7F">
        <w:rPr>
          <w:rFonts w:ascii="Times New Roman" w:hAnsi="Times New Roman" w:cs="Times New Roman"/>
          <w:sz w:val="24"/>
          <w:szCs w:val="24"/>
        </w:rPr>
        <w:t>v</w:t>
      </w:r>
      <w:proofErr w:type="gramEnd"/>
    </w:p>
    <w:p w:rsidR="007C695E" w:rsidRPr="007C5A7F" w:rsidRDefault="00C93D8A" w:rsidP="00C93D8A">
      <w:pPr>
        <w:pStyle w:val="ListParagraph"/>
        <w:numPr>
          <w:ilvl w:val="0"/>
          <w:numId w:val="1"/>
        </w:numPr>
        <w:spacing w:after="0" w:line="240" w:lineRule="auto"/>
        <w:jc w:val="center"/>
        <w:rPr>
          <w:rFonts w:ascii="Times New Roman" w:hAnsi="Times New Roman" w:cs="Times New Roman"/>
          <w:b/>
          <w:sz w:val="24"/>
          <w:szCs w:val="24"/>
        </w:rPr>
      </w:pPr>
      <w:r w:rsidRPr="007C5A7F">
        <w:rPr>
          <w:rFonts w:ascii="Times New Roman" w:hAnsi="Times New Roman" w:cs="Times New Roman"/>
          <w:b/>
          <w:sz w:val="24"/>
          <w:szCs w:val="24"/>
        </w:rPr>
        <w:t xml:space="preserve">    </w:t>
      </w:r>
      <w:r w:rsidR="007C695E" w:rsidRPr="007C5A7F">
        <w:rPr>
          <w:rFonts w:ascii="Times New Roman" w:hAnsi="Times New Roman" w:cs="Times New Roman"/>
          <w:b/>
          <w:sz w:val="24"/>
          <w:szCs w:val="24"/>
        </w:rPr>
        <w:t xml:space="preserve">MOLLY </w:t>
      </w:r>
      <w:r w:rsidR="00F2343E" w:rsidRPr="007C5A7F">
        <w:rPr>
          <w:rFonts w:ascii="Times New Roman" w:hAnsi="Times New Roman" w:cs="Times New Roman"/>
          <w:b/>
          <w:sz w:val="24"/>
          <w:szCs w:val="24"/>
        </w:rPr>
        <w:t xml:space="preserve">    </w:t>
      </w:r>
      <w:r w:rsidR="007C695E" w:rsidRPr="007C5A7F">
        <w:rPr>
          <w:rFonts w:ascii="Times New Roman" w:hAnsi="Times New Roman" w:cs="Times New Roman"/>
          <w:b/>
          <w:sz w:val="24"/>
          <w:szCs w:val="24"/>
        </w:rPr>
        <w:t xml:space="preserve">CHIVIZHE </w:t>
      </w:r>
      <w:r w:rsidRPr="007C5A7F">
        <w:rPr>
          <w:rFonts w:ascii="Times New Roman" w:hAnsi="Times New Roman" w:cs="Times New Roman"/>
          <w:b/>
          <w:sz w:val="24"/>
          <w:szCs w:val="24"/>
        </w:rPr>
        <w:t xml:space="preserve">    (2)    </w:t>
      </w:r>
      <w:r w:rsidR="007C695E" w:rsidRPr="007C5A7F">
        <w:rPr>
          <w:rFonts w:ascii="Times New Roman" w:hAnsi="Times New Roman" w:cs="Times New Roman"/>
          <w:b/>
          <w:sz w:val="24"/>
          <w:szCs w:val="24"/>
        </w:rPr>
        <w:t xml:space="preserve">STANLEY </w:t>
      </w:r>
      <w:r w:rsidRPr="007C5A7F">
        <w:rPr>
          <w:rFonts w:ascii="Times New Roman" w:hAnsi="Times New Roman" w:cs="Times New Roman"/>
          <w:b/>
          <w:sz w:val="24"/>
          <w:szCs w:val="24"/>
        </w:rPr>
        <w:t xml:space="preserve">    </w:t>
      </w:r>
      <w:r w:rsidR="007C695E" w:rsidRPr="007C5A7F">
        <w:rPr>
          <w:rFonts w:ascii="Times New Roman" w:hAnsi="Times New Roman" w:cs="Times New Roman"/>
          <w:b/>
          <w:sz w:val="24"/>
          <w:szCs w:val="24"/>
        </w:rPr>
        <w:t xml:space="preserve">CHIVIZHE </w:t>
      </w:r>
      <w:r w:rsidR="00F2343E" w:rsidRPr="007C5A7F">
        <w:rPr>
          <w:rFonts w:ascii="Times New Roman" w:hAnsi="Times New Roman" w:cs="Times New Roman"/>
          <w:b/>
          <w:sz w:val="24"/>
          <w:szCs w:val="24"/>
        </w:rPr>
        <w:t xml:space="preserve">    </w:t>
      </w:r>
      <w:r w:rsidRPr="007C5A7F">
        <w:rPr>
          <w:rFonts w:ascii="Times New Roman" w:hAnsi="Times New Roman" w:cs="Times New Roman"/>
          <w:b/>
          <w:sz w:val="24"/>
          <w:szCs w:val="24"/>
        </w:rPr>
        <w:t xml:space="preserve">(3)    </w:t>
      </w:r>
      <w:r w:rsidR="007C695E" w:rsidRPr="007C5A7F">
        <w:rPr>
          <w:rFonts w:ascii="Times New Roman" w:hAnsi="Times New Roman" w:cs="Times New Roman"/>
          <w:b/>
          <w:sz w:val="24"/>
          <w:szCs w:val="24"/>
        </w:rPr>
        <w:t xml:space="preserve">THE </w:t>
      </w:r>
      <w:r w:rsidRPr="007C5A7F">
        <w:rPr>
          <w:rFonts w:ascii="Times New Roman" w:hAnsi="Times New Roman" w:cs="Times New Roman"/>
          <w:b/>
          <w:sz w:val="24"/>
          <w:szCs w:val="24"/>
        </w:rPr>
        <w:t xml:space="preserve">    </w:t>
      </w:r>
      <w:r w:rsidR="007C695E" w:rsidRPr="007C5A7F">
        <w:rPr>
          <w:rFonts w:ascii="Times New Roman" w:hAnsi="Times New Roman" w:cs="Times New Roman"/>
          <w:b/>
          <w:sz w:val="24"/>
          <w:szCs w:val="24"/>
        </w:rPr>
        <w:t xml:space="preserve">REGISTRAR </w:t>
      </w:r>
      <w:r w:rsidRPr="007C5A7F">
        <w:rPr>
          <w:rFonts w:ascii="Times New Roman" w:hAnsi="Times New Roman" w:cs="Times New Roman"/>
          <w:b/>
          <w:sz w:val="24"/>
          <w:szCs w:val="24"/>
        </w:rPr>
        <w:t xml:space="preserve">    </w:t>
      </w:r>
      <w:r w:rsidR="007C695E" w:rsidRPr="007C5A7F">
        <w:rPr>
          <w:rFonts w:ascii="Times New Roman" w:hAnsi="Times New Roman" w:cs="Times New Roman"/>
          <w:b/>
          <w:sz w:val="24"/>
          <w:szCs w:val="24"/>
        </w:rPr>
        <w:t xml:space="preserve">OF </w:t>
      </w:r>
      <w:r w:rsidRPr="007C5A7F">
        <w:rPr>
          <w:rFonts w:ascii="Times New Roman" w:hAnsi="Times New Roman" w:cs="Times New Roman"/>
          <w:b/>
          <w:sz w:val="24"/>
          <w:szCs w:val="24"/>
        </w:rPr>
        <w:t xml:space="preserve">    </w:t>
      </w:r>
      <w:r w:rsidR="007C695E" w:rsidRPr="007C5A7F">
        <w:rPr>
          <w:rFonts w:ascii="Times New Roman" w:hAnsi="Times New Roman" w:cs="Times New Roman"/>
          <w:b/>
          <w:sz w:val="24"/>
          <w:szCs w:val="24"/>
        </w:rPr>
        <w:t xml:space="preserve">DEEDS </w:t>
      </w:r>
      <w:r w:rsidRPr="007C5A7F">
        <w:rPr>
          <w:rFonts w:ascii="Times New Roman" w:hAnsi="Times New Roman" w:cs="Times New Roman"/>
          <w:b/>
          <w:sz w:val="24"/>
          <w:szCs w:val="24"/>
        </w:rPr>
        <w:t xml:space="preserve">    (4)    </w:t>
      </w:r>
      <w:r w:rsidR="007C695E" w:rsidRPr="007C5A7F">
        <w:rPr>
          <w:rFonts w:ascii="Times New Roman" w:hAnsi="Times New Roman" w:cs="Times New Roman"/>
          <w:b/>
          <w:sz w:val="24"/>
          <w:szCs w:val="24"/>
        </w:rPr>
        <w:t>GILBERT</w:t>
      </w:r>
      <w:r w:rsidR="00F2343E" w:rsidRPr="007C5A7F">
        <w:rPr>
          <w:rFonts w:ascii="Times New Roman" w:hAnsi="Times New Roman" w:cs="Times New Roman"/>
          <w:b/>
          <w:sz w:val="24"/>
          <w:szCs w:val="24"/>
        </w:rPr>
        <w:t xml:space="preserve">    </w:t>
      </w:r>
      <w:r w:rsidR="007C695E" w:rsidRPr="007C5A7F">
        <w:rPr>
          <w:rFonts w:ascii="Times New Roman" w:hAnsi="Times New Roman" w:cs="Times New Roman"/>
          <w:b/>
          <w:sz w:val="24"/>
          <w:szCs w:val="24"/>
        </w:rPr>
        <w:t xml:space="preserve"> JONGA</w:t>
      </w:r>
    </w:p>
    <w:p w:rsidR="007C695E" w:rsidRPr="007C5A7F" w:rsidRDefault="007C695E" w:rsidP="007C695E">
      <w:pPr>
        <w:jc w:val="both"/>
        <w:rPr>
          <w:rFonts w:ascii="Times New Roman" w:hAnsi="Times New Roman" w:cs="Times New Roman"/>
          <w:sz w:val="24"/>
          <w:szCs w:val="24"/>
        </w:rPr>
      </w:pPr>
    </w:p>
    <w:p w:rsidR="00C93D8A" w:rsidRPr="007C5A7F" w:rsidRDefault="00C93D8A" w:rsidP="00C93D8A">
      <w:pPr>
        <w:spacing w:after="0" w:line="240" w:lineRule="auto"/>
        <w:jc w:val="both"/>
        <w:rPr>
          <w:rFonts w:ascii="Times New Roman" w:hAnsi="Times New Roman" w:cs="Times New Roman"/>
          <w:b/>
          <w:sz w:val="24"/>
          <w:szCs w:val="24"/>
        </w:rPr>
      </w:pPr>
    </w:p>
    <w:p w:rsidR="007C695E" w:rsidRPr="007C5A7F" w:rsidRDefault="007C695E" w:rsidP="00C93D8A">
      <w:pPr>
        <w:spacing w:after="0" w:line="240" w:lineRule="auto"/>
        <w:jc w:val="both"/>
        <w:rPr>
          <w:rFonts w:ascii="Times New Roman" w:hAnsi="Times New Roman" w:cs="Times New Roman"/>
          <w:b/>
          <w:sz w:val="24"/>
          <w:szCs w:val="24"/>
        </w:rPr>
      </w:pPr>
      <w:r w:rsidRPr="007C5A7F">
        <w:rPr>
          <w:rFonts w:ascii="Times New Roman" w:hAnsi="Times New Roman" w:cs="Times New Roman"/>
          <w:b/>
          <w:sz w:val="24"/>
          <w:szCs w:val="24"/>
        </w:rPr>
        <w:t>SUPREME COURT OF ZIMBABWE</w:t>
      </w:r>
    </w:p>
    <w:p w:rsidR="007C695E" w:rsidRPr="007C5A7F" w:rsidRDefault="007C695E" w:rsidP="00C93D8A">
      <w:pPr>
        <w:spacing w:after="0" w:line="240" w:lineRule="auto"/>
        <w:jc w:val="both"/>
        <w:rPr>
          <w:rFonts w:ascii="Times New Roman" w:hAnsi="Times New Roman" w:cs="Times New Roman"/>
          <w:b/>
          <w:sz w:val="24"/>
          <w:szCs w:val="24"/>
        </w:rPr>
      </w:pPr>
      <w:r w:rsidRPr="007C5A7F">
        <w:rPr>
          <w:rFonts w:ascii="Times New Roman" w:hAnsi="Times New Roman" w:cs="Times New Roman"/>
          <w:b/>
          <w:sz w:val="24"/>
          <w:szCs w:val="24"/>
        </w:rPr>
        <w:t>GWAUNZA JA, GOWORA JA &amp; HLATSHWAYO JA</w:t>
      </w:r>
    </w:p>
    <w:p w:rsidR="007C695E" w:rsidRPr="007C5A7F" w:rsidRDefault="007C695E" w:rsidP="00C93D8A">
      <w:pPr>
        <w:spacing w:after="0" w:line="240" w:lineRule="auto"/>
        <w:jc w:val="both"/>
        <w:rPr>
          <w:rFonts w:ascii="Times New Roman" w:hAnsi="Times New Roman" w:cs="Times New Roman"/>
          <w:sz w:val="24"/>
          <w:szCs w:val="24"/>
        </w:rPr>
      </w:pPr>
      <w:r w:rsidRPr="007C5A7F">
        <w:rPr>
          <w:rFonts w:ascii="Times New Roman" w:hAnsi="Times New Roman" w:cs="Times New Roman"/>
          <w:b/>
          <w:sz w:val="24"/>
          <w:szCs w:val="24"/>
        </w:rPr>
        <w:t>HARARE</w:t>
      </w:r>
      <w:r w:rsidRPr="007C5A7F">
        <w:rPr>
          <w:rFonts w:ascii="Times New Roman" w:hAnsi="Times New Roman" w:cs="Times New Roman"/>
          <w:sz w:val="24"/>
          <w:szCs w:val="24"/>
        </w:rPr>
        <w:t xml:space="preserve">, </w:t>
      </w:r>
      <w:r w:rsidRPr="00770611">
        <w:rPr>
          <w:rFonts w:ascii="Times New Roman" w:hAnsi="Times New Roman" w:cs="Times New Roman"/>
          <w:b/>
          <w:sz w:val="24"/>
          <w:szCs w:val="24"/>
        </w:rPr>
        <w:t>NOVEMBER 1 2013</w:t>
      </w:r>
    </w:p>
    <w:p w:rsidR="007C695E" w:rsidRPr="007C5A7F" w:rsidRDefault="007C695E" w:rsidP="007C695E">
      <w:pPr>
        <w:jc w:val="both"/>
        <w:rPr>
          <w:rFonts w:ascii="Times New Roman" w:hAnsi="Times New Roman" w:cs="Times New Roman"/>
          <w:sz w:val="24"/>
          <w:szCs w:val="24"/>
        </w:rPr>
      </w:pPr>
    </w:p>
    <w:p w:rsidR="00C93D8A" w:rsidRPr="007C5A7F" w:rsidRDefault="00C93D8A" w:rsidP="00C93D8A">
      <w:pPr>
        <w:spacing w:line="240" w:lineRule="auto"/>
        <w:jc w:val="both"/>
        <w:rPr>
          <w:rFonts w:ascii="Times New Roman" w:hAnsi="Times New Roman" w:cs="Times New Roman"/>
          <w:i/>
          <w:sz w:val="24"/>
          <w:szCs w:val="24"/>
        </w:rPr>
      </w:pPr>
    </w:p>
    <w:p w:rsidR="007C695E" w:rsidRPr="007C5A7F" w:rsidRDefault="007C695E" w:rsidP="00C93D8A">
      <w:pPr>
        <w:spacing w:line="240" w:lineRule="auto"/>
        <w:jc w:val="both"/>
        <w:rPr>
          <w:rFonts w:ascii="Times New Roman" w:hAnsi="Times New Roman" w:cs="Times New Roman"/>
          <w:sz w:val="24"/>
          <w:szCs w:val="24"/>
        </w:rPr>
      </w:pPr>
      <w:r w:rsidRPr="007C5A7F">
        <w:rPr>
          <w:rFonts w:ascii="Times New Roman" w:hAnsi="Times New Roman" w:cs="Times New Roman"/>
          <w:i/>
          <w:sz w:val="24"/>
          <w:szCs w:val="24"/>
        </w:rPr>
        <w:t xml:space="preserve">T </w:t>
      </w:r>
      <w:proofErr w:type="spellStart"/>
      <w:r w:rsidRPr="007C5A7F">
        <w:rPr>
          <w:rFonts w:ascii="Times New Roman" w:hAnsi="Times New Roman" w:cs="Times New Roman"/>
          <w:i/>
          <w:sz w:val="24"/>
          <w:szCs w:val="24"/>
        </w:rPr>
        <w:t>Mpofu</w:t>
      </w:r>
      <w:proofErr w:type="spellEnd"/>
      <w:r w:rsidR="00C93D8A" w:rsidRPr="007C5A7F">
        <w:rPr>
          <w:rFonts w:ascii="Times New Roman" w:hAnsi="Times New Roman" w:cs="Times New Roman"/>
          <w:i/>
          <w:sz w:val="24"/>
          <w:szCs w:val="24"/>
        </w:rPr>
        <w:t>,</w:t>
      </w:r>
      <w:r w:rsidRPr="007C5A7F">
        <w:rPr>
          <w:rFonts w:ascii="Times New Roman" w:hAnsi="Times New Roman" w:cs="Times New Roman"/>
          <w:sz w:val="24"/>
          <w:szCs w:val="24"/>
        </w:rPr>
        <w:t xml:space="preserve"> for the appellant</w:t>
      </w:r>
    </w:p>
    <w:p w:rsidR="003613FB" w:rsidRPr="007C5A7F" w:rsidRDefault="007C695E" w:rsidP="00C93D8A">
      <w:pPr>
        <w:spacing w:line="240" w:lineRule="auto"/>
        <w:jc w:val="both"/>
        <w:rPr>
          <w:rFonts w:ascii="Times New Roman" w:hAnsi="Times New Roman" w:cs="Times New Roman"/>
          <w:sz w:val="24"/>
          <w:szCs w:val="24"/>
        </w:rPr>
      </w:pPr>
      <w:r w:rsidRPr="007C5A7F">
        <w:rPr>
          <w:rFonts w:ascii="Times New Roman" w:hAnsi="Times New Roman" w:cs="Times New Roman"/>
          <w:i/>
          <w:sz w:val="24"/>
          <w:szCs w:val="24"/>
        </w:rPr>
        <w:t xml:space="preserve">L </w:t>
      </w:r>
      <w:proofErr w:type="spellStart"/>
      <w:r w:rsidRPr="007C5A7F">
        <w:rPr>
          <w:rFonts w:ascii="Times New Roman" w:hAnsi="Times New Roman" w:cs="Times New Roman"/>
          <w:i/>
          <w:sz w:val="24"/>
          <w:szCs w:val="24"/>
        </w:rPr>
        <w:t>Uriri</w:t>
      </w:r>
      <w:proofErr w:type="spellEnd"/>
      <w:r w:rsidR="00C93D8A" w:rsidRPr="007C5A7F">
        <w:rPr>
          <w:rFonts w:ascii="Times New Roman" w:hAnsi="Times New Roman" w:cs="Times New Roman"/>
          <w:i/>
          <w:sz w:val="24"/>
          <w:szCs w:val="24"/>
        </w:rPr>
        <w:t>,</w:t>
      </w:r>
      <w:r w:rsidRPr="007C5A7F">
        <w:rPr>
          <w:rFonts w:ascii="Times New Roman" w:hAnsi="Times New Roman" w:cs="Times New Roman"/>
          <w:sz w:val="24"/>
          <w:szCs w:val="24"/>
        </w:rPr>
        <w:t xml:space="preserve"> for the </w:t>
      </w:r>
      <w:r w:rsidR="003613FB" w:rsidRPr="007C5A7F">
        <w:rPr>
          <w:rFonts w:ascii="Times New Roman" w:hAnsi="Times New Roman" w:cs="Times New Roman"/>
          <w:sz w:val="24"/>
          <w:szCs w:val="24"/>
        </w:rPr>
        <w:t>4</w:t>
      </w:r>
      <w:r w:rsidR="003613FB" w:rsidRPr="007C5A7F">
        <w:rPr>
          <w:rFonts w:ascii="Times New Roman" w:hAnsi="Times New Roman" w:cs="Times New Roman"/>
          <w:sz w:val="24"/>
          <w:szCs w:val="24"/>
          <w:vertAlign w:val="superscript"/>
        </w:rPr>
        <w:t>th</w:t>
      </w:r>
      <w:r w:rsidR="003613FB" w:rsidRPr="007C5A7F">
        <w:rPr>
          <w:rFonts w:ascii="Times New Roman" w:hAnsi="Times New Roman" w:cs="Times New Roman"/>
          <w:sz w:val="24"/>
          <w:szCs w:val="24"/>
        </w:rPr>
        <w:t xml:space="preserve"> </w:t>
      </w:r>
      <w:r w:rsidRPr="007C5A7F">
        <w:rPr>
          <w:rFonts w:ascii="Times New Roman" w:hAnsi="Times New Roman" w:cs="Times New Roman"/>
          <w:sz w:val="24"/>
          <w:szCs w:val="24"/>
        </w:rPr>
        <w:t>respondent</w:t>
      </w:r>
    </w:p>
    <w:p w:rsidR="003613FB" w:rsidRPr="007C5A7F" w:rsidRDefault="003613FB" w:rsidP="00C93D8A">
      <w:pPr>
        <w:spacing w:line="240" w:lineRule="auto"/>
        <w:jc w:val="both"/>
        <w:rPr>
          <w:rFonts w:ascii="Times New Roman" w:hAnsi="Times New Roman" w:cs="Times New Roman"/>
          <w:sz w:val="24"/>
          <w:szCs w:val="24"/>
        </w:rPr>
      </w:pPr>
      <w:r w:rsidRPr="007C5A7F">
        <w:rPr>
          <w:rFonts w:ascii="Times New Roman" w:hAnsi="Times New Roman" w:cs="Times New Roman"/>
          <w:sz w:val="24"/>
          <w:szCs w:val="24"/>
        </w:rPr>
        <w:t>No appearance for the 1</w:t>
      </w:r>
      <w:r w:rsidRPr="007C5A7F">
        <w:rPr>
          <w:rFonts w:ascii="Times New Roman" w:hAnsi="Times New Roman" w:cs="Times New Roman"/>
          <w:sz w:val="24"/>
          <w:szCs w:val="24"/>
          <w:vertAlign w:val="superscript"/>
        </w:rPr>
        <w:t>st</w:t>
      </w:r>
      <w:r w:rsidRPr="007C5A7F">
        <w:rPr>
          <w:rFonts w:ascii="Times New Roman" w:hAnsi="Times New Roman" w:cs="Times New Roman"/>
          <w:sz w:val="24"/>
          <w:szCs w:val="24"/>
        </w:rPr>
        <w:t>, 2</w:t>
      </w:r>
      <w:r w:rsidRPr="007C5A7F">
        <w:rPr>
          <w:rFonts w:ascii="Times New Roman" w:hAnsi="Times New Roman" w:cs="Times New Roman"/>
          <w:sz w:val="24"/>
          <w:szCs w:val="24"/>
          <w:vertAlign w:val="superscript"/>
        </w:rPr>
        <w:t>nd</w:t>
      </w:r>
      <w:r w:rsidRPr="007C5A7F">
        <w:rPr>
          <w:rFonts w:ascii="Times New Roman" w:hAnsi="Times New Roman" w:cs="Times New Roman"/>
          <w:sz w:val="24"/>
          <w:szCs w:val="24"/>
        </w:rPr>
        <w:t xml:space="preserve"> &amp; 3</w:t>
      </w:r>
      <w:r w:rsidRPr="007C5A7F">
        <w:rPr>
          <w:rFonts w:ascii="Times New Roman" w:hAnsi="Times New Roman" w:cs="Times New Roman"/>
          <w:sz w:val="24"/>
          <w:szCs w:val="24"/>
          <w:vertAlign w:val="superscript"/>
        </w:rPr>
        <w:t>rd</w:t>
      </w:r>
      <w:r w:rsidRPr="007C5A7F">
        <w:rPr>
          <w:rFonts w:ascii="Times New Roman" w:hAnsi="Times New Roman" w:cs="Times New Roman"/>
          <w:sz w:val="24"/>
          <w:szCs w:val="24"/>
        </w:rPr>
        <w:t xml:space="preserve"> respondents</w:t>
      </w:r>
    </w:p>
    <w:p w:rsidR="007C695E" w:rsidRPr="007C5A7F" w:rsidRDefault="007C695E" w:rsidP="00C93D8A">
      <w:pPr>
        <w:spacing w:line="240" w:lineRule="auto"/>
        <w:jc w:val="both"/>
        <w:rPr>
          <w:rFonts w:ascii="Times New Roman" w:hAnsi="Times New Roman" w:cs="Times New Roman"/>
          <w:sz w:val="24"/>
          <w:szCs w:val="24"/>
        </w:rPr>
      </w:pPr>
      <w:r w:rsidRPr="007C5A7F">
        <w:rPr>
          <w:rFonts w:ascii="Times New Roman" w:hAnsi="Times New Roman" w:cs="Times New Roman"/>
          <w:sz w:val="24"/>
          <w:szCs w:val="24"/>
        </w:rPr>
        <w:t xml:space="preserve"> </w:t>
      </w:r>
    </w:p>
    <w:p w:rsidR="00064836" w:rsidRPr="007C5A7F" w:rsidRDefault="00064836" w:rsidP="007C695E">
      <w:pPr>
        <w:jc w:val="both"/>
        <w:rPr>
          <w:rFonts w:ascii="Times New Roman" w:hAnsi="Times New Roman" w:cs="Times New Roman"/>
          <w:sz w:val="24"/>
          <w:szCs w:val="24"/>
        </w:rPr>
      </w:pPr>
    </w:p>
    <w:p w:rsidR="00D3736A" w:rsidRPr="007C5A7F" w:rsidRDefault="007E44C1" w:rsidP="00C93D8A">
      <w:pPr>
        <w:ind w:firstLine="1440"/>
        <w:jc w:val="both"/>
        <w:rPr>
          <w:rFonts w:ascii="Times New Roman" w:hAnsi="Times New Roman" w:cs="Times New Roman"/>
          <w:sz w:val="24"/>
          <w:szCs w:val="24"/>
        </w:rPr>
      </w:pPr>
      <w:r w:rsidRPr="007C5A7F">
        <w:rPr>
          <w:rFonts w:ascii="Times New Roman" w:hAnsi="Times New Roman" w:cs="Times New Roman"/>
          <w:b/>
          <w:sz w:val="24"/>
          <w:szCs w:val="24"/>
        </w:rPr>
        <w:t>GOWORA JA:</w:t>
      </w:r>
      <w:r w:rsidR="00D6254F" w:rsidRPr="007C5A7F">
        <w:rPr>
          <w:rFonts w:ascii="Times New Roman" w:hAnsi="Times New Roman" w:cs="Times New Roman"/>
          <w:sz w:val="24"/>
          <w:szCs w:val="24"/>
        </w:rPr>
        <w:t xml:space="preserve">   </w:t>
      </w:r>
      <w:r w:rsidR="004B4093" w:rsidRPr="007C5A7F">
        <w:rPr>
          <w:rFonts w:ascii="Times New Roman" w:hAnsi="Times New Roman" w:cs="Times New Roman"/>
          <w:sz w:val="24"/>
          <w:szCs w:val="24"/>
        </w:rPr>
        <w:t>After reading</w:t>
      </w:r>
      <w:r w:rsidR="00D3736A" w:rsidRPr="007C5A7F">
        <w:rPr>
          <w:rFonts w:ascii="Times New Roman" w:hAnsi="Times New Roman" w:cs="Times New Roman"/>
          <w:sz w:val="24"/>
          <w:szCs w:val="24"/>
        </w:rPr>
        <w:t xml:space="preserve"> papers filed of record and hearing counsel in </w:t>
      </w:r>
      <w:proofErr w:type="gramStart"/>
      <w:r w:rsidR="00D3736A" w:rsidRPr="007C5A7F">
        <w:rPr>
          <w:rFonts w:ascii="Times New Roman" w:hAnsi="Times New Roman" w:cs="Times New Roman"/>
          <w:sz w:val="24"/>
          <w:szCs w:val="24"/>
        </w:rPr>
        <w:t>this</w:t>
      </w:r>
      <w:proofErr w:type="gramEnd"/>
      <w:r w:rsidR="00D3736A" w:rsidRPr="007C5A7F">
        <w:rPr>
          <w:rFonts w:ascii="Times New Roman" w:hAnsi="Times New Roman" w:cs="Times New Roman"/>
          <w:sz w:val="24"/>
          <w:szCs w:val="24"/>
        </w:rPr>
        <w:t xml:space="preserve"> matter we allowed the appeal and issued an order as prayed for. We indicated that our detailed reasons would follow in due course. These are they.</w:t>
      </w:r>
    </w:p>
    <w:p w:rsidR="00E72756" w:rsidRPr="007C5A7F" w:rsidRDefault="00E72756" w:rsidP="00E72756">
      <w:pPr>
        <w:spacing w:line="240" w:lineRule="auto"/>
        <w:ind w:firstLine="1440"/>
        <w:jc w:val="both"/>
        <w:rPr>
          <w:rFonts w:ascii="Times New Roman" w:hAnsi="Times New Roman" w:cs="Times New Roman"/>
          <w:sz w:val="24"/>
          <w:szCs w:val="24"/>
        </w:rPr>
      </w:pPr>
    </w:p>
    <w:p w:rsidR="009A0EB6" w:rsidRPr="007C5A7F" w:rsidRDefault="00D6254F" w:rsidP="00C93D8A">
      <w:pPr>
        <w:ind w:firstLine="1440"/>
        <w:jc w:val="both"/>
        <w:rPr>
          <w:rFonts w:ascii="Times New Roman" w:hAnsi="Times New Roman" w:cs="Times New Roman"/>
          <w:sz w:val="24"/>
          <w:szCs w:val="24"/>
        </w:rPr>
      </w:pPr>
      <w:r w:rsidRPr="007C5A7F">
        <w:rPr>
          <w:rFonts w:ascii="Times New Roman" w:hAnsi="Times New Roman" w:cs="Times New Roman"/>
          <w:sz w:val="24"/>
          <w:szCs w:val="24"/>
        </w:rPr>
        <w:t xml:space="preserve">The appellant is the registered owner of an immovable property known as Stand 671 </w:t>
      </w:r>
      <w:proofErr w:type="spellStart"/>
      <w:r w:rsidRPr="007C5A7F">
        <w:rPr>
          <w:rFonts w:ascii="Times New Roman" w:hAnsi="Times New Roman" w:cs="Times New Roman"/>
          <w:sz w:val="24"/>
          <w:szCs w:val="24"/>
        </w:rPr>
        <w:t>Borrowdale</w:t>
      </w:r>
      <w:proofErr w:type="spellEnd"/>
      <w:r w:rsidRPr="007C5A7F">
        <w:rPr>
          <w:rFonts w:ascii="Times New Roman" w:hAnsi="Times New Roman" w:cs="Times New Roman"/>
          <w:sz w:val="24"/>
          <w:szCs w:val="24"/>
        </w:rPr>
        <w:t xml:space="preserve"> Town of Sub</w:t>
      </w:r>
      <w:r w:rsidR="00F2343E" w:rsidRPr="007C5A7F">
        <w:rPr>
          <w:rFonts w:ascii="Times New Roman" w:hAnsi="Times New Roman" w:cs="Times New Roman"/>
          <w:sz w:val="24"/>
          <w:szCs w:val="24"/>
        </w:rPr>
        <w:t xml:space="preserve"> </w:t>
      </w:r>
      <w:r w:rsidRPr="007C5A7F">
        <w:rPr>
          <w:rFonts w:ascii="Times New Roman" w:hAnsi="Times New Roman" w:cs="Times New Roman"/>
          <w:sz w:val="24"/>
          <w:szCs w:val="24"/>
        </w:rPr>
        <w:t>division 4</w:t>
      </w:r>
      <w:r w:rsidR="009A0EB6" w:rsidRPr="007C5A7F">
        <w:rPr>
          <w:rFonts w:ascii="Times New Roman" w:hAnsi="Times New Roman" w:cs="Times New Roman"/>
          <w:sz w:val="24"/>
          <w:szCs w:val="24"/>
        </w:rPr>
        <w:t xml:space="preserve"> of Lot D of </w:t>
      </w:r>
      <w:proofErr w:type="spellStart"/>
      <w:r w:rsidR="009A0EB6" w:rsidRPr="007C5A7F">
        <w:rPr>
          <w:rFonts w:ascii="Times New Roman" w:hAnsi="Times New Roman" w:cs="Times New Roman"/>
          <w:sz w:val="24"/>
          <w:szCs w:val="24"/>
        </w:rPr>
        <w:t>Borrowdale</w:t>
      </w:r>
      <w:proofErr w:type="spellEnd"/>
      <w:r w:rsidR="009A0EB6" w:rsidRPr="007C5A7F">
        <w:rPr>
          <w:rFonts w:ascii="Times New Roman" w:hAnsi="Times New Roman" w:cs="Times New Roman"/>
          <w:sz w:val="24"/>
          <w:szCs w:val="24"/>
        </w:rPr>
        <w:t xml:space="preserve"> Estate.  </w:t>
      </w:r>
      <w:r w:rsidR="007E44C1" w:rsidRPr="007C5A7F">
        <w:rPr>
          <w:rFonts w:ascii="Times New Roman" w:hAnsi="Times New Roman" w:cs="Times New Roman"/>
          <w:sz w:val="24"/>
          <w:szCs w:val="24"/>
        </w:rPr>
        <w:t>On 30 May 2001, the appellant concluded a writ</w:t>
      </w:r>
      <w:r w:rsidRPr="007C5A7F">
        <w:rPr>
          <w:rFonts w:ascii="Times New Roman" w:hAnsi="Times New Roman" w:cs="Times New Roman"/>
          <w:sz w:val="24"/>
          <w:szCs w:val="24"/>
        </w:rPr>
        <w:t>t</w:t>
      </w:r>
      <w:r w:rsidR="007E44C1" w:rsidRPr="007C5A7F">
        <w:rPr>
          <w:rFonts w:ascii="Times New Roman" w:hAnsi="Times New Roman" w:cs="Times New Roman"/>
          <w:sz w:val="24"/>
          <w:szCs w:val="24"/>
        </w:rPr>
        <w:t>e</w:t>
      </w:r>
      <w:r w:rsidRPr="007C5A7F">
        <w:rPr>
          <w:rFonts w:ascii="Times New Roman" w:hAnsi="Times New Roman" w:cs="Times New Roman"/>
          <w:sz w:val="24"/>
          <w:szCs w:val="24"/>
        </w:rPr>
        <w:t>n</w:t>
      </w:r>
      <w:r w:rsidR="007E44C1" w:rsidRPr="007C5A7F">
        <w:rPr>
          <w:rFonts w:ascii="Times New Roman" w:hAnsi="Times New Roman" w:cs="Times New Roman"/>
          <w:sz w:val="24"/>
          <w:szCs w:val="24"/>
        </w:rPr>
        <w:t xml:space="preserve"> agreement with the first and second respondent</w:t>
      </w:r>
      <w:r w:rsidRPr="007C5A7F">
        <w:rPr>
          <w:rFonts w:ascii="Times New Roman" w:hAnsi="Times New Roman" w:cs="Times New Roman"/>
          <w:sz w:val="24"/>
          <w:szCs w:val="24"/>
        </w:rPr>
        <w:t>s</w:t>
      </w:r>
      <w:r w:rsidR="007E44C1" w:rsidRPr="007C5A7F">
        <w:rPr>
          <w:rFonts w:ascii="Times New Roman" w:hAnsi="Times New Roman" w:cs="Times New Roman"/>
          <w:sz w:val="24"/>
          <w:szCs w:val="24"/>
        </w:rPr>
        <w:t xml:space="preserve"> in terms of which </w:t>
      </w:r>
      <w:r w:rsidR="00F2343E" w:rsidRPr="007C5A7F">
        <w:rPr>
          <w:rFonts w:ascii="Times New Roman" w:hAnsi="Times New Roman" w:cs="Times New Roman"/>
          <w:sz w:val="24"/>
          <w:szCs w:val="24"/>
        </w:rPr>
        <w:t xml:space="preserve">he </w:t>
      </w:r>
      <w:r w:rsidR="007E44C1" w:rsidRPr="007C5A7F">
        <w:rPr>
          <w:rFonts w:ascii="Times New Roman" w:hAnsi="Times New Roman" w:cs="Times New Roman"/>
          <w:sz w:val="24"/>
          <w:szCs w:val="24"/>
        </w:rPr>
        <w:t>sold t</w:t>
      </w:r>
      <w:r w:rsidRPr="007C5A7F">
        <w:rPr>
          <w:rFonts w:ascii="Times New Roman" w:hAnsi="Times New Roman" w:cs="Times New Roman"/>
          <w:sz w:val="24"/>
          <w:szCs w:val="24"/>
        </w:rPr>
        <w:t>he said property</w:t>
      </w:r>
      <w:r w:rsidR="00F2343E" w:rsidRPr="007C5A7F">
        <w:rPr>
          <w:rFonts w:ascii="Times New Roman" w:hAnsi="Times New Roman" w:cs="Times New Roman"/>
          <w:sz w:val="24"/>
          <w:szCs w:val="24"/>
        </w:rPr>
        <w:t xml:space="preserve"> to the</w:t>
      </w:r>
      <w:r w:rsidR="006F3EC2" w:rsidRPr="007C5A7F">
        <w:rPr>
          <w:rFonts w:ascii="Times New Roman" w:hAnsi="Times New Roman" w:cs="Times New Roman"/>
          <w:sz w:val="24"/>
          <w:szCs w:val="24"/>
        </w:rPr>
        <w:t>m.</w:t>
      </w:r>
      <w:r w:rsidRPr="007C5A7F">
        <w:rPr>
          <w:rFonts w:ascii="Times New Roman" w:hAnsi="Times New Roman" w:cs="Times New Roman"/>
          <w:sz w:val="24"/>
          <w:szCs w:val="24"/>
        </w:rPr>
        <w:t xml:space="preserve"> </w:t>
      </w:r>
      <w:r w:rsidR="009A0EB6" w:rsidRPr="007C5A7F">
        <w:rPr>
          <w:rFonts w:ascii="Times New Roman" w:hAnsi="Times New Roman" w:cs="Times New Roman"/>
          <w:sz w:val="24"/>
          <w:szCs w:val="24"/>
        </w:rPr>
        <w:t xml:space="preserve">The </w:t>
      </w:r>
      <w:r w:rsidR="006F3EC2" w:rsidRPr="007C5A7F">
        <w:rPr>
          <w:rFonts w:ascii="Times New Roman" w:hAnsi="Times New Roman" w:cs="Times New Roman"/>
          <w:sz w:val="24"/>
          <w:szCs w:val="24"/>
        </w:rPr>
        <w:t xml:space="preserve">said </w:t>
      </w:r>
      <w:r w:rsidR="00445745" w:rsidRPr="007C5A7F">
        <w:rPr>
          <w:rFonts w:ascii="Times New Roman" w:hAnsi="Times New Roman" w:cs="Times New Roman"/>
          <w:sz w:val="24"/>
          <w:szCs w:val="24"/>
        </w:rPr>
        <w:t xml:space="preserve">respondents </w:t>
      </w:r>
      <w:r w:rsidRPr="007C5A7F">
        <w:rPr>
          <w:rFonts w:ascii="Times New Roman" w:hAnsi="Times New Roman" w:cs="Times New Roman"/>
          <w:sz w:val="24"/>
          <w:szCs w:val="24"/>
        </w:rPr>
        <w:t>failed to pay the purchase price</w:t>
      </w:r>
      <w:r w:rsidR="00F2343E" w:rsidRPr="007C5A7F">
        <w:rPr>
          <w:rFonts w:ascii="Times New Roman" w:hAnsi="Times New Roman" w:cs="Times New Roman"/>
          <w:sz w:val="24"/>
          <w:szCs w:val="24"/>
        </w:rPr>
        <w:t xml:space="preserve"> as </w:t>
      </w:r>
      <w:r w:rsidR="00C95E3C" w:rsidRPr="007C5A7F">
        <w:rPr>
          <w:rFonts w:ascii="Times New Roman" w:hAnsi="Times New Roman" w:cs="Times New Roman"/>
          <w:sz w:val="24"/>
          <w:szCs w:val="24"/>
        </w:rPr>
        <w:t>stipulat</w:t>
      </w:r>
      <w:r w:rsidR="00F2343E" w:rsidRPr="007C5A7F">
        <w:rPr>
          <w:rFonts w:ascii="Times New Roman" w:hAnsi="Times New Roman" w:cs="Times New Roman"/>
          <w:sz w:val="24"/>
          <w:szCs w:val="24"/>
        </w:rPr>
        <w:t>ed</w:t>
      </w:r>
      <w:r w:rsidRPr="007C5A7F">
        <w:rPr>
          <w:rFonts w:ascii="Times New Roman" w:hAnsi="Times New Roman" w:cs="Times New Roman"/>
          <w:sz w:val="24"/>
          <w:szCs w:val="24"/>
        </w:rPr>
        <w:t xml:space="preserve"> </w:t>
      </w:r>
      <w:r w:rsidR="00C95E3C" w:rsidRPr="007C5A7F">
        <w:rPr>
          <w:rFonts w:ascii="Times New Roman" w:hAnsi="Times New Roman" w:cs="Times New Roman"/>
          <w:sz w:val="24"/>
          <w:szCs w:val="24"/>
        </w:rPr>
        <w:t xml:space="preserve">in the agreement </w:t>
      </w:r>
      <w:r w:rsidRPr="007C5A7F">
        <w:rPr>
          <w:rFonts w:ascii="Times New Roman" w:hAnsi="Times New Roman" w:cs="Times New Roman"/>
          <w:sz w:val="24"/>
          <w:szCs w:val="24"/>
        </w:rPr>
        <w:t xml:space="preserve">and </w:t>
      </w:r>
      <w:r w:rsidR="006F3EC2" w:rsidRPr="007C5A7F">
        <w:rPr>
          <w:rFonts w:ascii="Times New Roman" w:hAnsi="Times New Roman" w:cs="Times New Roman"/>
          <w:sz w:val="24"/>
          <w:szCs w:val="24"/>
        </w:rPr>
        <w:t xml:space="preserve">as a consequence </w:t>
      </w:r>
      <w:r w:rsidRPr="007C5A7F">
        <w:rPr>
          <w:rFonts w:ascii="Times New Roman" w:hAnsi="Times New Roman" w:cs="Times New Roman"/>
          <w:sz w:val="24"/>
          <w:szCs w:val="24"/>
        </w:rPr>
        <w:t xml:space="preserve">the appellant cancelled the </w:t>
      </w:r>
      <w:r w:rsidR="00C95E3C" w:rsidRPr="007C5A7F">
        <w:rPr>
          <w:rFonts w:ascii="Times New Roman" w:hAnsi="Times New Roman" w:cs="Times New Roman"/>
          <w:sz w:val="24"/>
          <w:szCs w:val="24"/>
        </w:rPr>
        <w:t>sale</w:t>
      </w:r>
      <w:r w:rsidRPr="007C5A7F">
        <w:rPr>
          <w:rFonts w:ascii="Times New Roman" w:hAnsi="Times New Roman" w:cs="Times New Roman"/>
          <w:sz w:val="24"/>
          <w:szCs w:val="24"/>
        </w:rPr>
        <w:t xml:space="preserve"> through his legal practitioners. </w:t>
      </w:r>
    </w:p>
    <w:p w:rsidR="00445745" w:rsidRPr="007C5A7F" w:rsidRDefault="00445745" w:rsidP="009A0EB6">
      <w:pPr>
        <w:spacing w:after="0" w:line="240" w:lineRule="auto"/>
        <w:ind w:firstLine="1440"/>
        <w:jc w:val="both"/>
        <w:rPr>
          <w:rFonts w:ascii="Times New Roman" w:hAnsi="Times New Roman" w:cs="Times New Roman"/>
          <w:sz w:val="24"/>
          <w:szCs w:val="24"/>
        </w:rPr>
      </w:pPr>
      <w:r w:rsidRPr="007C5A7F">
        <w:rPr>
          <w:rFonts w:ascii="Times New Roman" w:hAnsi="Times New Roman" w:cs="Times New Roman"/>
          <w:sz w:val="24"/>
          <w:szCs w:val="24"/>
        </w:rPr>
        <w:t xml:space="preserve"> </w:t>
      </w:r>
    </w:p>
    <w:p w:rsidR="00A03DB3" w:rsidRPr="007C5A7F" w:rsidRDefault="006F3EC2" w:rsidP="009A0EB6">
      <w:pPr>
        <w:ind w:firstLine="1440"/>
        <w:jc w:val="both"/>
        <w:rPr>
          <w:rFonts w:ascii="Times New Roman" w:hAnsi="Times New Roman" w:cs="Times New Roman"/>
          <w:sz w:val="24"/>
          <w:szCs w:val="24"/>
        </w:rPr>
      </w:pPr>
      <w:r w:rsidRPr="007C5A7F">
        <w:rPr>
          <w:rFonts w:ascii="Times New Roman" w:hAnsi="Times New Roman" w:cs="Times New Roman"/>
          <w:sz w:val="24"/>
          <w:szCs w:val="24"/>
        </w:rPr>
        <w:lastRenderedPageBreak/>
        <w:t>Subsequent to this, on</w:t>
      </w:r>
      <w:r w:rsidR="00445745" w:rsidRPr="007C5A7F">
        <w:rPr>
          <w:rFonts w:ascii="Times New Roman" w:hAnsi="Times New Roman" w:cs="Times New Roman"/>
          <w:sz w:val="24"/>
          <w:szCs w:val="24"/>
        </w:rPr>
        <w:t xml:space="preserve"> 25 July 2001, the appellant concluded an agreement of sale with the fourth respondent in respect of the same property. </w:t>
      </w:r>
      <w:r w:rsidR="00CE567D" w:rsidRPr="007C5A7F">
        <w:rPr>
          <w:rFonts w:ascii="Times New Roman" w:hAnsi="Times New Roman" w:cs="Times New Roman"/>
          <w:sz w:val="24"/>
          <w:szCs w:val="24"/>
        </w:rPr>
        <w:t>T</w:t>
      </w:r>
      <w:r w:rsidR="008B2331" w:rsidRPr="007C5A7F">
        <w:rPr>
          <w:rFonts w:ascii="Times New Roman" w:hAnsi="Times New Roman" w:cs="Times New Roman"/>
          <w:sz w:val="24"/>
          <w:szCs w:val="24"/>
        </w:rPr>
        <w:t xml:space="preserve">he fourth respondent </w:t>
      </w:r>
      <w:r w:rsidR="00952D1B" w:rsidRPr="007C5A7F">
        <w:rPr>
          <w:rFonts w:ascii="Times New Roman" w:hAnsi="Times New Roman" w:cs="Times New Roman"/>
          <w:sz w:val="24"/>
          <w:szCs w:val="24"/>
        </w:rPr>
        <w:t xml:space="preserve">duly </w:t>
      </w:r>
      <w:r w:rsidR="00CE567D" w:rsidRPr="007C5A7F">
        <w:rPr>
          <w:rFonts w:ascii="Times New Roman" w:hAnsi="Times New Roman" w:cs="Times New Roman"/>
          <w:sz w:val="24"/>
          <w:szCs w:val="24"/>
        </w:rPr>
        <w:t>made payments in cash and</w:t>
      </w:r>
      <w:r w:rsidR="00F2343E" w:rsidRPr="007C5A7F">
        <w:rPr>
          <w:rFonts w:ascii="Times New Roman" w:hAnsi="Times New Roman" w:cs="Times New Roman"/>
          <w:sz w:val="24"/>
          <w:szCs w:val="24"/>
        </w:rPr>
        <w:t xml:space="preserve"> also</w:t>
      </w:r>
      <w:r w:rsidR="00CE567D" w:rsidRPr="007C5A7F">
        <w:rPr>
          <w:rFonts w:ascii="Times New Roman" w:hAnsi="Times New Roman" w:cs="Times New Roman"/>
          <w:sz w:val="24"/>
          <w:szCs w:val="24"/>
        </w:rPr>
        <w:t xml:space="preserve"> </w:t>
      </w:r>
      <w:r w:rsidR="008B2331" w:rsidRPr="007C5A7F">
        <w:rPr>
          <w:rFonts w:ascii="Times New Roman" w:hAnsi="Times New Roman" w:cs="Times New Roman"/>
          <w:sz w:val="24"/>
          <w:szCs w:val="24"/>
        </w:rPr>
        <w:t>furnished the appellant with several cheques</w:t>
      </w:r>
      <w:r w:rsidR="00D6254F" w:rsidRPr="007C5A7F">
        <w:rPr>
          <w:rFonts w:ascii="Times New Roman" w:hAnsi="Times New Roman" w:cs="Times New Roman"/>
          <w:sz w:val="24"/>
          <w:szCs w:val="24"/>
        </w:rPr>
        <w:t xml:space="preserve">. </w:t>
      </w:r>
      <w:r w:rsidR="00F77168" w:rsidRPr="007C5A7F">
        <w:rPr>
          <w:rFonts w:ascii="Times New Roman" w:hAnsi="Times New Roman" w:cs="Times New Roman"/>
          <w:sz w:val="24"/>
          <w:szCs w:val="24"/>
        </w:rPr>
        <w:t xml:space="preserve">Upon becoming aware of the developments between the appellant and the fourth respondent, the first and </w:t>
      </w:r>
      <w:r w:rsidR="009A0EB6" w:rsidRPr="007C5A7F">
        <w:rPr>
          <w:rFonts w:ascii="Times New Roman" w:hAnsi="Times New Roman" w:cs="Times New Roman"/>
          <w:sz w:val="24"/>
          <w:szCs w:val="24"/>
        </w:rPr>
        <w:t xml:space="preserve">the </w:t>
      </w:r>
      <w:r w:rsidR="00F77168" w:rsidRPr="007C5A7F">
        <w:rPr>
          <w:rFonts w:ascii="Times New Roman" w:hAnsi="Times New Roman" w:cs="Times New Roman"/>
          <w:sz w:val="24"/>
          <w:szCs w:val="24"/>
        </w:rPr>
        <w:t>second respondents approached the High Court on a certificate of urgency and</w:t>
      </w:r>
      <w:r w:rsidR="00F2343E" w:rsidRPr="007C5A7F">
        <w:rPr>
          <w:rFonts w:ascii="Times New Roman" w:hAnsi="Times New Roman" w:cs="Times New Roman"/>
          <w:sz w:val="24"/>
          <w:szCs w:val="24"/>
        </w:rPr>
        <w:t xml:space="preserve"> in default </w:t>
      </w:r>
      <w:r w:rsidR="00E72756" w:rsidRPr="007C5A7F">
        <w:rPr>
          <w:rFonts w:ascii="Times New Roman" w:hAnsi="Times New Roman" w:cs="Times New Roman"/>
          <w:sz w:val="24"/>
          <w:szCs w:val="24"/>
        </w:rPr>
        <w:t>of</w:t>
      </w:r>
      <w:r w:rsidR="00F2343E" w:rsidRPr="007C5A7F">
        <w:rPr>
          <w:rFonts w:ascii="Times New Roman" w:hAnsi="Times New Roman" w:cs="Times New Roman"/>
          <w:sz w:val="24"/>
          <w:szCs w:val="24"/>
        </w:rPr>
        <w:t xml:space="preserve"> the appellant</w:t>
      </w:r>
      <w:r w:rsidR="00952D1B" w:rsidRPr="007C5A7F">
        <w:rPr>
          <w:rFonts w:ascii="Times New Roman" w:hAnsi="Times New Roman" w:cs="Times New Roman"/>
          <w:sz w:val="24"/>
          <w:szCs w:val="24"/>
        </w:rPr>
        <w:t>,</w:t>
      </w:r>
      <w:r w:rsidR="00F77168" w:rsidRPr="007C5A7F">
        <w:rPr>
          <w:rFonts w:ascii="Times New Roman" w:hAnsi="Times New Roman" w:cs="Times New Roman"/>
          <w:sz w:val="24"/>
          <w:szCs w:val="24"/>
        </w:rPr>
        <w:t xml:space="preserve"> obtained a provisional order interdicting transfer of the property to the fourth respondent. </w:t>
      </w:r>
      <w:r w:rsidR="00A03DB3" w:rsidRPr="007C5A7F">
        <w:rPr>
          <w:rFonts w:ascii="Times New Roman" w:hAnsi="Times New Roman" w:cs="Times New Roman"/>
          <w:sz w:val="24"/>
          <w:szCs w:val="24"/>
        </w:rPr>
        <w:t xml:space="preserve"> </w:t>
      </w:r>
      <w:r w:rsidR="00304528" w:rsidRPr="007C5A7F">
        <w:rPr>
          <w:rFonts w:ascii="Times New Roman" w:hAnsi="Times New Roman" w:cs="Times New Roman"/>
          <w:sz w:val="24"/>
          <w:szCs w:val="24"/>
        </w:rPr>
        <w:t>The fourth respondent was not cited as a party</w:t>
      </w:r>
      <w:r w:rsidR="00F06F4F" w:rsidRPr="007C5A7F">
        <w:rPr>
          <w:rFonts w:ascii="Times New Roman" w:hAnsi="Times New Roman" w:cs="Times New Roman"/>
          <w:sz w:val="24"/>
          <w:szCs w:val="24"/>
        </w:rPr>
        <w:t xml:space="preserve"> in the High Court proceedings</w:t>
      </w:r>
      <w:r w:rsidR="00304528" w:rsidRPr="007C5A7F">
        <w:rPr>
          <w:rFonts w:ascii="Times New Roman" w:hAnsi="Times New Roman" w:cs="Times New Roman"/>
          <w:sz w:val="24"/>
          <w:szCs w:val="24"/>
        </w:rPr>
        <w:t xml:space="preserve">. </w:t>
      </w:r>
      <w:r w:rsidR="00A03DB3" w:rsidRPr="007C5A7F">
        <w:rPr>
          <w:rFonts w:ascii="Times New Roman" w:hAnsi="Times New Roman" w:cs="Times New Roman"/>
          <w:sz w:val="24"/>
          <w:szCs w:val="24"/>
        </w:rPr>
        <w:t xml:space="preserve"> </w:t>
      </w:r>
      <w:r w:rsidR="00F77168" w:rsidRPr="007C5A7F">
        <w:rPr>
          <w:rFonts w:ascii="Times New Roman" w:hAnsi="Times New Roman" w:cs="Times New Roman"/>
          <w:sz w:val="24"/>
          <w:szCs w:val="24"/>
        </w:rPr>
        <w:t xml:space="preserve">The provisional order was subsequently confirmed. </w:t>
      </w:r>
    </w:p>
    <w:p w:rsidR="007E44C1" w:rsidRPr="007C5A7F" w:rsidRDefault="00F77168" w:rsidP="00A03DB3">
      <w:pPr>
        <w:spacing w:after="0" w:line="240" w:lineRule="auto"/>
        <w:ind w:firstLine="1440"/>
        <w:jc w:val="both"/>
        <w:rPr>
          <w:rFonts w:ascii="Times New Roman" w:hAnsi="Times New Roman" w:cs="Times New Roman"/>
          <w:sz w:val="24"/>
          <w:szCs w:val="24"/>
        </w:rPr>
      </w:pPr>
      <w:r w:rsidRPr="007C5A7F">
        <w:rPr>
          <w:rFonts w:ascii="Times New Roman" w:hAnsi="Times New Roman" w:cs="Times New Roman"/>
          <w:sz w:val="24"/>
          <w:szCs w:val="24"/>
        </w:rPr>
        <w:t xml:space="preserve">    </w:t>
      </w:r>
      <w:r w:rsidR="008B2331" w:rsidRPr="007C5A7F">
        <w:rPr>
          <w:rFonts w:ascii="Times New Roman" w:hAnsi="Times New Roman" w:cs="Times New Roman"/>
          <w:sz w:val="24"/>
          <w:szCs w:val="24"/>
        </w:rPr>
        <w:t xml:space="preserve">  </w:t>
      </w:r>
      <w:r w:rsidR="00445745" w:rsidRPr="007C5A7F">
        <w:rPr>
          <w:rFonts w:ascii="Times New Roman" w:hAnsi="Times New Roman" w:cs="Times New Roman"/>
          <w:sz w:val="24"/>
          <w:szCs w:val="24"/>
        </w:rPr>
        <w:t xml:space="preserve">   </w:t>
      </w:r>
      <w:r w:rsidR="007E44C1" w:rsidRPr="007C5A7F">
        <w:rPr>
          <w:rFonts w:ascii="Times New Roman" w:hAnsi="Times New Roman" w:cs="Times New Roman"/>
          <w:sz w:val="24"/>
          <w:szCs w:val="24"/>
        </w:rPr>
        <w:t xml:space="preserve">  </w:t>
      </w:r>
    </w:p>
    <w:p w:rsidR="00F96DE4" w:rsidRPr="007C5A7F" w:rsidRDefault="00304528" w:rsidP="00A03DB3">
      <w:pPr>
        <w:ind w:firstLine="1440"/>
        <w:jc w:val="both"/>
        <w:rPr>
          <w:rFonts w:ascii="Times New Roman" w:hAnsi="Times New Roman" w:cs="Times New Roman"/>
          <w:sz w:val="24"/>
          <w:szCs w:val="24"/>
        </w:rPr>
      </w:pPr>
      <w:r w:rsidRPr="007C5A7F">
        <w:rPr>
          <w:rFonts w:ascii="Times New Roman" w:hAnsi="Times New Roman" w:cs="Times New Roman"/>
          <w:sz w:val="24"/>
          <w:szCs w:val="24"/>
        </w:rPr>
        <w:t>The app</w:t>
      </w:r>
      <w:r w:rsidR="00F2343E" w:rsidRPr="007C5A7F">
        <w:rPr>
          <w:rFonts w:ascii="Times New Roman" w:hAnsi="Times New Roman" w:cs="Times New Roman"/>
          <w:sz w:val="24"/>
          <w:szCs w:val="24"/>
        </w:rPr>
        <w:t>ell</w:t>
      </w:r>
      <w:r w:rsidRPr="007C5A7F">
        <w:rPr>
          <w:rFonts w:ascii="Times New Roman" w:hAnsi="Times New Roman" w:cs="Times New Roman"/>
          <w:sz w:val="24"/>
          <w:szCs w:val="24"/>
        </w:rPr>
        <w:t>ant bec</w:t>
      </w:r>
      <w:r w:rsidR="00F2343E" w:rsidRPr="007C5A7F">
        <w:rPr>
          <w:rFonts w:ascii="Times New Roman" w:hAnsi="Times New Roman" w:cs="Times New Roman"/>
          <w:sz w:val="24"/>
          <w:szCs w:val="24"/>
        </w:rPr>
        <w:t>ame</w:t>
      </w:r>
      <w:r w:rsidRPr="007C5A7F">
        <w:rPr>
          <w:rFonts w:ascii="Times New Roman" w:hAnsi="Times New Roman" w:cs="Times New Roman"/>
          <w:sz w:val="24"/>
          <w:szCs w:val="24"/>
        </w:rPr>
        <w:t xml:space="preserve"> aware of the order </w:t>
      </w:r>
      <w:r w:rsidR="00F2343E" w:rsidRPr="007C5A7F">
        <w:rPr>
          <w:rFonts w:ascii="Times New Roman" w:hAnsi="Times New Roman" w:cs="Times New Roman"/>
          <w:sz w:val="24"/>
          <w:szCs w:val="24"/>
        </w:rPr>
        <w:t>confirming the provisional order and</w:t>
      </w:r>
      <w:r w:rsidRPr="007C5A7F">
        <w:rPr>
          <w:rFonts w:ascii="Times New Roman" w:hAnsi="Times New Roman" w:cs="Times New Roman"/>
          <w:sz w:val="24"/>
          <w:szCs w:val="24"/>
        </w:rPr>
        <w:t xml:space="preserve"> filed an application for rescission of the judgment</w:t>
      </w:r>
      <w:r w:rsidR="00F2343E" w:rsidRPr="007C5A7F">
        <w:rPr>
          <w:rFonts w:ascii="Times New Roman" w:hAnsi="Times New Roman" w:cs="Times New Roman"/>
          <w:sz w:val="24"/>
          <w:szCs w:val="24"/>
        </w:rPr>
        <w:t>,</w:t>
      </w:r>
      <w:r w:rsidR="008461BB" w:rsidRPr="007C5A7F">
        <w:rPr>
          <w:rFonts w:ascii="Times New Roman" w:hAnsi="Times New Roman" w:cs="Times New Roman"/>
          <w:sz w:val="24"/>
          <w:szCs w:val="24"/>
        </w:rPr>
        <w:t xml:space="preserve"> which</w:t>
      </w:r>
      <w:r w:rsidR="00F2343E" w:rsidRPr="007C5A7F">
        <w:rPr>
          <w:rFonts w:ascii="Times New Roman" w:hAnsi="Times New Roman" w:cs="Times New Roman"/>
          <w:sz w:val="24"/>
          <w:szCs w:val="24"/>
        </w:rPr>
        <w:t xml:space="preserve"> rescission</w:t>
      </w:r>
      <w:r w:rsidR="008461BB" w:rsidRPr="007C5A7F">
        <w:rPr>
          <w:rFonts w:ascii="Times New Roman" w:hAnsi="Times New Roman" w:cs="Times New Roman"/>
          <w:sz w:val="24"/>
          <w:szCs w:val="24"/>
        </w:rPr>
        <w:t xml:space="preserve"> was granted</w:t>
      </w:r>
      <w:r w:rsidRPr="007C5A7F">
        <w:rPr>
          <w:rFonts w:ascii="Times New Roman" w:hAnsi="Times New Roman" w:cs="Times New Roman"/>
          <w:sz w:val="24"/>
          <w:szCs w:val="24"/>
        </w:rPr>
        <w:t xml:space="preserve">. </w:t>
      </w:r>
      <w:r w:rsidR="00860422" w:rsidRPr="007C5A7F">
        <w:rPr>
          <w:rFonts w:ascii="Times New Roman" w:hAnsi="Times New Roman" w:cs="Times New Roman"/>
          <w:sz w:val="24"/>
          <w:szCs w:val="24"/>
        </w:rPr>
        <w:t xml:space="preserve"> </w:t>
      </w:r>
      <w:r w:rsidR="008461BB" w:rsidRPr="007C5A7F">
        <w:rPr>
          <w:rFonts w:ascii="Times New Roman" w:hAnsi="Times New Roman" w:cs="Times New Roman"/>
          <w:sz w:val="24"/>
          <w:szCs w:val="24"/>
        </w:rPr>
        <w:t>Thereafter</w:t>
      </w:r>
      <w:r w:rsidR="006B6A12" w:rsidRPr="007C5A7F">
        <w:rPr>
          <w:rFonts w:ascii="Times New Roman" w:hAnsi="Times New Roman" w:cs="Times New Roman"/>
          <w:sz w:val="24"/>
          <w:szCs w:val="24"/>
        </w:rPr>
        <w:t>,</w:t>
      </w:r>
      <w:r w:rsidR="008461BB" w:rsidRPr="007C5A7F">
        <w:rPr>
          <w:rFonts w:ascii="Times New Roman" w:hAnsi="Times New Roman" w:cs="Times New Roman"/>
          <w:sz w:val="24"/>
          <w:szCs w:val="24"/>
        </w:rPr>
        <w:t xml:space="preserve"> he </w:t>
      </w:r>
      <w:r w:rsidRPr="007C5A7F">
        <w:rPr>
          <w:rFonts w:ascii="Times New Roman" w:hAnsi="Times New Roman" w:cs="Times New Roman"/>
          <w:sz w:val="24"/>
          <w:szCs w:val="24"/>
        </w:rPr>
        <w:t xml:space="preserve">filed a notice of opposition and opposing affidavit to the </w:t>
      </w:r>
      <w:r w:rsidR="00952D1B" w:rsidRPr="007C5A7F">
        <w:rPr>
          <w:rFonts w:ascii="Times New Roman" w:hAnsi="Times New Roman" w:cs="Times New Roman"/>
          <w:sz w:val="24"/>
          <w:szCs w:val="24"/>
        </w:rPr>
        <w:t>provisional order granted in favour of</w:t>
      </w:r>
      <w:r w:rsidRPr="007C5A7F">
        <w:rPr>
          <w:rFonts w:ascii="Times New Roman" w:hAnsi="Times New Roman" w:cs="Times New Roman"/>
          <w:sz w:val="24"/>
          <w:szCs w:val="24"/>
        </w:rPr>
        <w:t xml:space="preserve"> the first and </w:t>
      </w:r>
      <w:r w:rsidR="00860422" w:rsidRPr="007C5A7F">
        <w:rPr>
          <w:rFonts w:ascii="Times New Roman" w:hAnsi="Times New Roman" w:cs="Times New Roman"/>
          <w:sz w:val="24"/>
          <w:szCs w:val="24"/>
        </w:rPr>
        <w:t xml:space="preserve">the </w:t>
      </w:r>
      <w:r w:rsidRPr="007C5A7F">
        <w:rPr>
          <w:rFonts w:ascii="Times New Roman" w:hAnsi="Times New Roman" w:cs="Times New Roman"/>
          <w:sz w:val="24"/>
          <w:szCs w:val="24"/>
        </w:rPr>
        <w:t xml:space="preserve">second respondents. </w:t>
      </w:r>
      <w:r w:rsidR="00860422" w:rsidRPr="007C5A7F">
        <w:rPr>
          <w:rFonts w:ascii="Times New Roman" w:hAnsi="Times New Roman" w:cs="Times New Roman"/>
          <w:sz w:val="24"/>
          <w:szCs w:val="24"/>
        </w:rPr>
        <w:t xml:space="preserve"> </w:t>
      </w:r>
      <w:r w:rsidR="00F2343E" w:rsidRPr="007C5A7F">
        <w:rPr>
          <w:rFonts w:ascii="Times New Roman" w:hAnsi="Times New Roman" w:cs="Times New Roman"/>
          <w:sz w:val="24"/>
          <w:szCs w:val="24"/>
        </w:rPr>
        <w:t xml:space="preserve">In </w:t>
      </w:r>
      <w:r w:rsidR="00952D1B" w:rsidRPr="007C5A7F">
        <w:rPr>
          <w:rFonts w:ascii="Times New Roman" w:hAnsi="Times New Roman" w:cs="Times New Roman"/>
          <w:sz w:val="24"/>
          <w:szCs w:val="24"/>
        </w:rPr>
        <w:t>due course</w:t>
      </w:r>
      <w:r w:rsidR="00F2343E" w:rsidRPr="007C5A7F">
        <w:rPr>
          <w:rFonts w:ascii="Times New Roman" w:hAnsi="Times New Roman" w:cs="Times New Roman"/>
          <w:sz w:val="24"/>
          <w:szCs w:val="24"/>
        </w:rPr>
        <w:t>,</w:t>
      </w:r>
      <w:r w:rsidRPr="007C5A7F">
        <w:rPr>
          <w:rFonts w:ascii="Times New Roman" w:hAnsi="Times New Roman" w:cs="Times New Roman"/>
          <w:sz w:val="24"/>
          <w:szCs w:val="24"/>
        </w:rPr>
        <w:t xml:space="preserve"> the fourth respondent</w:t>
      </w:r>
      <w:r w:rsidR="00F2343E" w:rsidRPr="007C5A7F">
        <w:rPr>
          <w:rFonts w:ascii="Times New Roman" w:hAnsi="Times New Roman" w:cs="Times New Roman"/>
          <w:sz w:val="24"/>
          <w:szCs w:val="24"/>
        </w:rPr>
        <w:t xml:space="preserve"> got wind of the litigation and</w:t>
      </w:r>
      <w:r w:rsidRPr="007C5A7F">
        <w:rPr>
          <w:rFonts w:ascii="Times New Roman" w:hAnsi="Times New Roman" w:cs="Times New Roman"/>
          <w:sz w:val="24"/>
          <w:szCs w:val="24"/>
        </w:rPr>
        <w:t xml:space="preserve"> filed an application for </w:t>
      </w:r>
      <w:r w:rsidR="00BD4E6B" w:rsidRPr="007C5A7F">
        <w:rPr>
          <w:rFonts w:ascii="Times New Roman" w:hAnsi="Times New Roman" w:cs="Times New Roman"/>
          <w:sz w:val="24"/>
          <w:szCs w:val="24"/>
        </w:rPr>
        <w:t xml:space="preserve">his </w:t>
      </w:r>
      <w:r w:rsidRPr="007C5A7F">
        <w:rPr>
          <w:rFonts w:ascii="Times New Roman" w:hAnsi="Times New Roman" w:cs="Times New Roman"/>
          <w:sz w:val="24"/>
          <w:szCs w:val="24"/>
        </w:rPr>
        <w:t xml:space="preserve">joinder </w:t>
      </w:r>
      <w:r w:rsidR="00BD4E6B" w:rsidRPr="007C5A7F">
        <w:rPr>
          <w:rFonts w:ascii="Times New Roman" w:hAnsi="Times New Roman" w:cs="Times New Roman"/>
          <w:sz w:val="24"/>
          <w:szCs w:val="24"/>
        </w:rPr>
        <w:t xml:space="preserve">to the litigation </w:t>
      </w:r>
      <w:r w:rsidRPr="007C5A7F">
        <w:rPr>
          <w:rFonts w:ascii="Times New Roman" w:hAnsi="Times New Roman" w:cs="Times New Roman"/>
          <w:sz w:val="24"/>
          <w:szCs w:val="24"/>
        </w:rPr>
        <w:t>which was granted</w:t>
      </w:r>
      <w:r w:rsidR="00BD4E6B" w:rsidRPr="007C5A7F">
        <w:rPr>
          <w:rFonts w:ascii="Times New Roman" w:hAnsi="Times New Roman" w:cs="Times New Roman"/>
          <w:sz w:val="24"/>
          <w:szCs w:val="24"/>
        </w:rPr>
        <w:t>. H</w:t>
      </w:r>
      <w:r w:rsidRPr="007C5A7F">
        <w:rPr>
          <w:rFonts w:ascii="Times New Roman" w:hAnsi="Times New Roman" w:cs="Times New Roman"/>
          <w:sz w:val="24"/>
          <w:szCs w:val="24"/>
        </w:rPr>
        <w:t>e</w:t>
      </w:r>
      <w:r w:rsidR="00BD4E6B" w:rsidRPr="007C5A7F">
        <w:rPr>
          <w:rFonts w:ascii="Times New Roman" w:hAnsi="Times New Roman" w:cs="Times New Roman"/>
          <w:sz w:val="24"/>
          <w:szCs w:val="24"/>
        </w:rPr>
        <w:t xml:space="preserve"> then</w:t>
      </w:r>
      <w:r w:rsidRPr="007C5A7F">
        <w:rPr>
          <w:rFonts w:ascii="Times New Roman" w:hAnsi="Times New Roman" w:cs="Times New Roman"/>
          <w:sz w:val="24"/>
          <w:szCs w:val="24"/>
        </w:rPr>
        <w:t xml:space="preserve"> filed </w:t>
      </w:r>
      <w:r w:rsidR="00BD4E6B" w:rsidRPr="007C5A7F">
        <w:rPr>
          <w:rFonts w:ascii="Times New Roman" w:hAnsi="Times New Roman" w:cs="Times New Roman"/>
          <w:sz w:val="24"/>
          <w:szCs w:val="24"/>
        </w:rPr>
        <w:t xml:space="preserve">his </w:t>
      </w:r>
      <w:r w:rsidRPr="007C5A7F">
        <w:rPr>
          <w:rFonts w:ascii="Times New Roman" w:hAnsi="Times New Roman" w:cs="Times New Roman"/>
          <w:sz w:val="24"/>
          <w:szCs w:val="24"/>
        </w:rPr>
        <w:t xml:space="preserve">opposing papers to the application filed by the first and </w:t>
      </w:r>
      <w:r w:rsidR="00860422" w:rsidRPr="007C5A7F">
        <w:rPr>
          <w:rFonts w:ascii="Times New Roman" w:hAnsi="Times New Roman" w:cs="Times New Roman"/>
          <w:sz w:val="24"/>
          <w:szCs w:val="24"/>
        </w:rPr>
        <w:t xml:space="preserve">the </w:t>
      </w:r>
      <w:r w:rsidRPr="007C5A7F">
        <w:rPr>
          <w:rFonts w:ascii="Times New Roman" w:hAnsi="Times New Roman" w:cs="Times New Roman"/>
          <w:sz w:val="24"/>
          <w:szCs w:val="24"/>
        </w:rPr>
        <w:t>second respondents.</w:t>
      </w:r>
    </w:p>
    <w:p w:rsidR="00770611" w:rsidRDefault="00770611" w:rsidP="00770611">
      <w:pPr>
        <w:spacing w:line="240" w:lineRule="auto"/>
        <w:ind w:firstLine="1440"/>
        <w:jc w:val="both"/>
        <w:rPr>
          <w:rFonts w:ascii="Times New Roman" w:hAnsi="Times New Roman" w:cs="Times New Roman"/>
          <w:sz w:val="24"/>
          <w:szCs w:val="24"/>
        </w:rPr>
      </w:pPr>
    </w:p>
    <w:p w:rsidR="00E72756" w:rsidRPr="007C5A7F" w:rsidRDefault="00F96DE4" w:rsidP="00860422">
      <w:pPr>
        <w:ind w:firstLine="1440"/>
        <w:jc w:val="both"/>
        <w:rPr>
          <w:rFonts w:ascii="Times New Roman" w:hAnsi="Times New Roman" w:cs="Times New Roman"/>
          <w:sz w:val="24"/>
          <w:szCs w:val="24"/>
        </w:rPr>
      </w:pPr>
      <w:r w:rsidRPr="007C5A7F">
        <w:rPr>
          <w:rFonts w:ascii="Times New Roman" w:hAnsi="Times New Roman" w:cs="Times New Roman"/>
          <w:sz w:val="24"/>
          <w:szCs w:val="24"/>
        </w:rPr>
        <w:t>In the meantime</w:t>
      </w:r>
      <w:r w:rsidR="00013AE7" w:rsidRPr="007C5A7F">
        <w:rPr>
          <w:rFonts w:ascii="Times New Roman" w:hAnsi="Times New Roman" w:cs="Times New Roman"/>
          <w:sz w:val="24"/>
          <w:szCs w:val="24"/>
        </w:rPr>
        <w:t>,</w:t>
      </w:r>
      <w:r w:rsidRPr="007C5A7F">
        <w:rPr>
          <w:rFonts w:ascii="Times New Roman" w:hAnsi="Times New Roman" w:cs="Times New Roman"/>
          <w:sz w:val="24"/>
          <w:szCs w:val="24"/>
        </w:rPr>
        <w:t xml:space="preserve"> alleging that some of the cheques tendered in payment of the purchase price by the fourth respondent had been unpaid and returned by the former’s bankers upon presentation, </w:t>
      </w:r>
      <w:r w:rsidR="00013AE7" w:rsidRPr="007C5A7F">
        <w:rPr>
          <w:rFonts w:ascii="Times New Roman" w:hAnsi="Times New Roman" w:cs="Times New Roman"/>
          <w:sz w:val="24"/>
          <w:szCs w:val="24"/>
        </w:rPr>
        <w:t xml:space="preserve">the appellant </w:t>
      </w:r>
      <w:r w:rsidRPr="007C5A7F">
        <w:rPr>
          <w:rFonts w:ascii="Times New Roman" w:hAnsi="Times New Roman" w:cs="Times New Roman"/>
          <w:sz w:val="24"/>
          <w:szCs w:val="24"/>
        </w:rPr>
        <w:t>cancelled the</w:t>
      </w:r>
      <w:r w:rsidR="00013AE7" w:rsidRPr="007C5A7F">
        <w:rPr>
          <w:rFonts w:ascii="Times New Roman" w:hAnsi="Times New Roman" w:cs="Times New Roman"/>
          <w:sz w:val="24"/>
          <w:szCs w:val="24"/>
        </w:rPr>
        <w:t xml:space="preserve"> </w:t>
      </w:r>
      <w:r w:rsidRPr="007C5A7F">
        <w:rPr>
          <w:rFonts w:ascii="Times New Roman" w:hAnsi="Times New Roman" w:cs="Times New Roman"/>
          <w:sz w:val="24"/>
          <w:szCs w:val="24"/>
        </w:rPr>
        <w:t>agreement on the basis that the fourth respondent was in breach of his obligations under the agreement of sale.</w:t>
      </w:r>
    </w:p>
    <w:p w:rsidR="00F96DE4" w:rsidRPr="007C5A7F" w:rsidRDefault="00F96DE4" w:rsidP="003613FB">
      <w:pPr>
        <w:spacing w:line="240" w:lineRule="auto"/>
        <w:ind w:firstLine="1440"/>
        <w:jc w:val="both"/>
        <w:rPr>
          <w:rFonts w:ascii="Times New Roman" w:hAnsi="Times New Roman" w:cs="Times New Roman"/>
          <w:sz w:val="24"/>
          <w:szCs w:val="24"/>
        </w:rPr>
      </w:pPr>
      <w:r w:rsidRPr="007C5A7F">
        <w:rPr>
          <w:rFonts w:ascii="Times New Roman" w:hAnsi="Times New Roman" w:cs="Times New Roman"/>
          <w:sz w:val="24"/>
          <w:szCs w:val="24"/>
        </w:rPr>
        <w:t xml:space="preserve"> </w:t>
      </w:r>
    </w:p>
    <w:p w:rsidR="00860422" w:rsidRPr="007C5A7F" w:rsidRDefault="00BD4E6B" w:rsidP="00860422">
      <w:pPr>
        <w:ind w:firstLine="1440"/>
        <w:jc w:val="both"/>
        <w:rPr>
          <w:rFonts w:ascii="Times New Roman" w:hAnsi="Times New Roman" w:cs="Times New Roman"/>
          <w:sz w:val="24"/>
          <w:szCs w:val="24"/>
        </w:rPr>
      </w:pPr>
      <w:r w:rsidRPr="007C5A7F">
        <w:rPr>
          <w:rFonts w:ascii="Times New Roman" w:hAnsi="Times New Roman" w:cs="Times New Roman"/>
          <w:sz w:val="24"/>
          <w:szCs w:val="24"/>
        </w:rPr>
        <w:t>T</w:t>
      </w:r>
      <w:r w:rsidR="00F2343E" w:rsidRPr="007C5A7F">
        <w:rPr>
          <w:rFonts w:ascii="Times New Roman" w:hAnsi="Times New Roman" w:cs="Times New Roman"/>
          <w:sz w:val="24"/>
          <w:szCs w:val="24"/>
        </w:rPr>
        <w:t>he</w:t>
      </w:r>
      <w:r w:rsidRPr="007C5A7F">
        <w:rPr>
          <w:rFonts w:ascii="Times New Roman" w:hAnsi="Times New Roman" w:cs="Times New Roman"/>
          <w:sz w:val="24"/>
          <w:szCs w:val="24"/>
        </w:rPr>
        <w:t xml:space="preserve"> </w:t>
      </w:r>
      <w:r w:rsidR="00E42A05" w:rsidRPr="007C5A7F">
        <w:rPr>
          <w:rFonts w:ascii="Times New Roman" w:hAnsi="Times New Roman" w:cs="Times New Roman"/>
          <w:sz w:val="24"/>
          <w:szCs w:val="24"/>
        </w:rPr>
        <w:t xml:space="preserve">first and </w:t>
      </w:r>
      <w:r w:rsidR="00860422" w:rsidRPr="007C5A7F">
        <w:rPr>
          <w:rFonts w:ascii="Times New Roman" w:hAnsi="Times New Roman" w:cs="Times New Roman"/>
          <w:sz w:val="24"/>
          <w:szCs w:val="24"/>
        </w:rPr>
        <w:t xml:space="preserve">the </w:t>
      </w:r>
      <w:r w:rsidR="00E42A05" w:rsidRPr="007C5A7F">
        <w:rPr>
          <w:rFonts w:ascii="Times New Roman" w:hAnsi="Times New Roman" w:cs="Times New Roman"/>
          <w:sz w:val="24"/>
          <w:szCs w:val="24"/>
        </w:rPr>
        <w:t>second respondents took no further interest in the matter</w:t>
      </w:r>
      <w:r w:rsidRPr="007C5A7F">
        <w:rPr>
          <w:rFonts w:ascii="Times New Roman" w:hAnsi="Times New Roman" w:cs="Times New Roman"/>
          <w:sz w:val="24"/>
          <w:szCs w:val="24"/>
        </w:rPr>
        <w:t xml:space="preserve"> thereafter.</w:t>
      </w:r>
      <w:r w:rsidR="008461BB" w:rsidRPr="007C5A7F">
        <w:rPr>
          <w:rFonts w:ascii="Times New Roman" w:hAnsi="Times New Roman" w:cs="Times New Roman"/>
          <w:sz w:val="24"/>
          <w:szCs w:val="24"/>
        </w:rPr>
        <w:t xml:space="preserve"> </w:t>
      </w:r>
      <w:r w:rsidRPr="007C5A7F">
        <w:rPr>
          <w:rFonts w:ascii="Times New Roman" w:hAnsi="Times New Roman" w:cs="Times New Roman"/>
          <w:sz w:val="24"/>
          <w:szCs w:val="24"/>
        </w:rPr>
        <w:t>I</w:t>
      </w:r>
      <w:r w:rsidR="00E42A05" w:rsidRPr="007C5A7F">
        <w:rPr>
          <w:rFonts w:ascii="Times New Roman" w:hAnsi="Times New Roman" w:cs="Times New Roman"/>
          <w:sz w:val="24"/>
          <w:szCs w:val="24"/>
        </w:rPr>
        <w:t>n</w:t>
      </w:r>
      <w:r w:rsidRPr="007C5A7F">
        <w:rPr>
          <w:rFonts w:ascii="Times New Roman" w:hAnsi="Times New Roman" w:cs="Times New Roman"/>
          <w:sz w:val="24"/>
          <w:szCs w:val="24"/>
        </w:rPr>
        <w:t xml:space="preserve"> </w:t>
      </w:r>
      <w:r w:rsidR="00E42A05" w:rsidRPr="007C5A7F">
        <w:rPr>
          <w:rFonts w:ascii="Times New Roman" w:hAnsi="Times New Roman" w:cs="Times New Roman"/>
          <w:sz w:val="24"/>
          <w:szCs w:val="24"/>
        </w:rPr>
        <w:t>July 2006 the fourth respondent filed heads of argument</w:t>
      </w:r>
      <w:r w:rsidR="00F96DE4" w:rsidRPr="007C5A7F">
        <w:rPr>
          <w:rFonts w:ascii="Times New Roman" w:hAnsi="Times New Roman" w:cs="Times New Roman"/>
          <w:sz w:val="24"/>
          <w:szCs w:val="24"/>
        </w:rPr>
        <w:t xml:space="preserve"> in respect of the </w:t>
      </w:r>
      <w:r w:rsidRPr="007C5A7F">
        <w:rPr>
          <w:rFonts w:ascii="Times New Roman" w:hAnsi="Times New Roman" w:cs="Times New Roman"/>
          <w:sz w:val="24"/>
          <w:szCs w:val="24"/>
        </w:rPr>
        <w:t xml:space="preserve">confirmation of the provisional order obtained by the first and second respondents </w:t>
      </w:r>
      <w:r w:rsidR="00F96DE4" w:rsidRPr="007C5A7F">
        <w:rPr>
          <w:rFonts w:ascii="Times New Roman" w:hAnsi="Times New Roman" w:cs="Times New Roman"/>
          <w:sz w:val="24"/>
          <w:szCs w:val="24"/>
        </w:rPr>
        <w:t xml:space="preserve">for </w:t>
      </w:r>
      <w:r w:rsidR="00013AE7" w:rsidRPr="007C5A7F">
        <w:rPr>
          <w:rFonts w:ascii="Times New Roman" w:hAnsi="Times New Roman" w:cs="Times New Roman"/>
          <w:sz w:val="24"/>
          <w:szCs w:val="24"/>
        </w:rPr>
        <w:t>the</w:t>
      </w:r>
      <w:r w:rsidR="00F96DE4" w:rsidRPr="007C5A7F">
        <w:rPr>
          <w:rFonts w:ascii="Times New Roman" w:hAnsi="Times New Roman" w:cs="Times New Roman"/>
          <w:sz w:val="24"/>
          <w:szCs w:val="24"/>
        </w:rPr>
        <w:t xml:space="preserve"> interdict</w:t>
      </w:r>
      <w:r w:rsidR="006804EA" w:rsidRPr="007C5A7F">
        <w:rPr>
          <w:rFonts w:ascii="Times New Roman" w:hAnsi="Times New Roman" w:cs="Times New Roman"/>
          <w:sz w:val="24"/>
          <w:szCs w:val="24"/>
        </w:rPr>
        <w:t xml:space="preserve"> against </w:t>
      </w:r>
      <w:r w:rsidRPr="007C5A7F">
        <w:rPr>
          <w:rFonts w:ascii="Times New Roman" w:hAnsi="Times New Roman" w:cs="Times New Roman"/>
          <w:sz w:val="24"/>
          <w:szCs w:val="24"/>
        </w:rPr>
        <w:t xml:space="preserve">transfer of the stand by </w:t>
      </w:r>
      <w:r w:rsidR="006804EA" w:rsidRPr="007C5A7F">
        <w:rPr>
          <w:rFonts w:ascii="Times New Roman" w:hAnsi="Times New Roman" w:cs="Times New Roman"/>
          <w:sz w:val="24"/>
          <w:szCs w:val="24"/>
        </w:rPr>
        <w:t>the appellant</w:t>
      </w:r>
      <w:r w:rsidR="00F96DE4" w:rsidRPr="007C5A7F">
        <w:rPr>
          <w:rFonts w:ascii="Times New Roman" w:hAnsi="Times New Roman" w:cs="Times New Roman"/>
          <w:sz w:val="24"/>
          <w:szCs w:val="24"/>
        </w:rPr>
        <w:t xml:space="preserve"> </w:t>
      </w:r>
      <w:r w:rsidRPr="007C5A7F">
        <w:rPr>
          <w:rFonts w:ascii="Times New Roman" w:hAnsi="Times New Roman" w:cs="Times New Roman"/>
          <w:sz w:val="24"/>
          <w:szCs w:val="24"/>
        </w:rPr>
        <w:t xml:space="preserve">to </w:t>
      </w:r>
      <w:r w:rsidR="006B190E" w:rsidRPr="007C5A7F">
        <w:rPr>
          <w:rFonts w:ascii="Times New Roman" w:hAnsi="Times New Roman" w:cs="Times New Roman"/>
          <w:sz w:val="24"/>
          <w:szCs w:val="24"/>
        </w:rPr>
        <w:t>himself.</w:t>
      </w:r>
      <w:r w:rsidRPr="007C5A7F">
        <w:rPr>
          <w:rFonts w:ascii="Times New Roman" w:hAnsi="Times New Roman" w:cs="Times New Roman"/>
          <w:sz w:val="24"/>
          <w:szCs w:val="24"/>
        </w:rPr>
        <w:t xml:space="preserve"> </w:t>
      </w:r>
      <w:r w:rsidR="00981C74" w:rsidRPr="007C5A7F">
        <w:rPr>
          <w:rFonts w:ascii="Times New Roman" w:hAnsi="Times New Roman" w:cs="Times New Roman"/>
          <w:sz w:val="24"/>
          <w:szCs w:val="24"/>
        </w:rPr>
        <w:t>S</w:t>
      </w:r>
      <w:r w:rsidRPr="007C5A7F">
        <w:rPr>
          <w:rFonts w:ascii="Times New Roman" w:hAnsi="Times New Roman" w:cs="Times New Roman"/>
          <w:sz w:val="24"/>
          <w:szCs w:val="24"/>
        </w:rPr>
        <w:t>imultaneously</w:t>
      </w:r>
      <w:r w:rsidR="00981C74" w:rsidRPr="007C5A7F">
        <w:rPr>
          <w:rFonts w:ascii="Times New Roman" w:hAnsi="Times New Roman" w:cs="Times New Roman"/>
          <w:sz w:val="24"/>
          <w:szCs w:val="24"/>
        </w:rPr>
        <w:t xml:space="preserve"> with the </w:t>
      </w:r>
      <w:r w:rsidRPr="007C5A7F">
        <w:rPr>
          <w:rFonts w:ascii="Times New Roman" w:hAnsi="Times New Roman" w:cs="Times New Roman"/>
          <w:sz w:val="24"/>
          <w:szCs w:val="24"/>
        </w:rPr>
        <w:lastRenderedPageBreak/>
        <w:t>heads of argument</w:t>
      </w:r>
      <w:r w:rsidR="00C767F8" w:rsidRPr="007C5A7F">
        <w:rPr>
          <w:rFonts w:ascii="Times New Roman" w:hAnsi="Times New Roman" w:cs="Times New Roman"/>
          <w:sz w:val="24"/>
          <w:szCs w:val="24"/>
        </w:rPr>
        <w:t xml:space="preserve"> </w:t>
      </w:r>
      <w:r w:rsidR="006B190E" w:rsidRPr="007C5A7F">
        <w:rPr>
          <w:rFonts w:ascii="Times New Roman" w:hAnsi="Times New Roman" w:cs="Times New Roman"/>
          <w:sz w:val="24"/>
          <w:szCs w:val="24"/>
        </w:rPr>
        <w:t xml:space="preserve">the fourth respondent </w:t>
      </w:r>
      <w:r w:rsidR="00F96DE4" w:rsidRPr="007C5A7F">
        <w:rPr>
          <w:rFonts w:ascii="Times New Roman" w:hAnsi="Times New Roman" w:cs="Times New Roman"/>
          <w:sz w:val="24"/>
          <w:szCs w:val="24"/>
        </w:rPr>
        <w:t xml:space="preserve">served </w:t>
      </w:r>
      <w:r w:rsidR="00E42A05" w:rsidRPr="007C5A7F">
        <w:rPr>
          <w:rFonts w:ascii="Times New Roman" w:hAnsi="Times New Roman" w:cs="Times New Roman"/>
          <w:sz w:val="24"/>
          <w:szCs w:val="24"/>
        </w:rPr>
        <w:t xml:space="preserve">a notice of set </w:t>
      </w:r>
      <w:r w:rsidR="00F96DE4" w:rsidRPr="007C5A7F">
        <w:rPr>
          <w:rFonts w:ascii="Times New Roman" w:hAnsi="Times New Roman" w:cs="Times New Roman"/>
          <w:sz w:val="24"/>
          <w:szCs w:val="24"/>
        </w:rPr>
        <w:t xml:space="preserve">down </w:t>
      </w:r>
      <w:r w:rsidR="00E42A05" w:rsidRPr="007C5A7F">
        <w:rPr>
          <w:rFonts w:ascii="Times New Roman" w:hAnsi="Times New Roman" w:cs="Times New Roman"/>
          <w:sz w:val="24"/>
          <w:szCs w:val="24"/>
        </w:rPr>
        <w:t xml:space="preserve">upon the </w:t>
      </w:r>
      <w:r w:rsidR="006B190E" w:rsidRPr="007C5A7F">
        <w:rPr>
          <w:rFonts w:ascii="Times New Roman" w:hAnsi="Times New Roman" w:cs="Times New Roman"/>
          <w:sz w:val="24"/>
          <w:szCs w:val="24"/>
        </w:rPr>
        <w:t>appellant</w:t>
      </w:r>
      <w:r w:rsidR="00860422" w:rsidRPr="007C5A7F">
        <w:rPr>
          <w:rFonts w:ascii="Times New Roman" w:hAnsi="Times New Roman" w:cs="Times New Roman"/>
          <w:sz w:val="24"/>
          <w:szCs w:val="24"/>
        </w:rPr>
        <w:t xml:space="preserve">. </w:t>
      </w:r>
      <w:r w:rsidR="006B190E" w:rsidRPr="007C5A7F">
        <w:rPr>
          <w:rFonts w:ascii="Times New Roman" w:hAnsi="Times New Roman" w:cs="Times New Roman"/>
          <w:sz w:val="24"/>
          <w:szCs w:val="24"/>
        </w:rPr>
        <w:t>Upo</w:t>
      </w:r>
      <w:r w:rsidR="00F96DE4" w:rsidRPr="007C5A7F">
        <w:rPr>
          <w:rFonts w:ascii="Times New Roman" w:hAnsi="Times New Roman" w:cs="Times New Roman"/>
          <w:sz w:val="24"/>
          <w:szCs w:val="24"/>
        </w:rPr>
        <w:t>n</w:t>
      </w:r>
      <w:r w:rsidR="006B190E" w:rsidRPr="007C5A7F">
        <w:rPr>
          <w:rFonts w:ascii="Times New Roman" w:hAnsi="Times New Roman" w:cs="Times New Roman"/>
          <w:sz w:val="24"/>
          <w:szCs w:val="24"/>
        </w:rPr>
        <w:t xml:space="preserve"> </w:t>
      </w:r>
      <w:r w:rsidR="00F96DE4" w:rsidRPr="007C5A7F">
        <w:rPr>
          <w:rFonts w:ascii="Times New Roman" w:hAnsi="Times New Roman" w:cs="Times New Roman"/>
          <w:sz w:val="24"/>
          <w:szCs w:val="24"/>
        </w:rPr>
        <w:t>re</w:t>
      </w:r>
      <w:r w:rsidR="006B190E" w:rsidRPr="007C5A7F">
        <w:rPr>
          <w:rFonts w:ascii="Times New Roman" w:hAnsi="Times New Roman" w:cs="Times New Roman"/>
          <w:sz w:val="24"/>
          <w:szCs w:val="24"/>
        </w:rPr>
        <w:t xml:space="preserve">ceipt of the notice of set down </w:t>
      </w:r>
      <w:r w:rsidR="00F96DE4" w:rsidRPr="007C5A7F">
        <w:rPr>
          <w:rFonts w:ascii="Times New Roman" w:hAnsi="Times New Roman" w:cs="Times New Roman"/>
          <w:sz w:val="24"/>
          <w:szCs w:val="24"/>
        </w:rPr>
        <w:t>the appellant fi</w:t>
      </w:r>
      <w:r w:rsidR="00E42A05" w:rsidRPr="007C5A7F">
        <w:rPr>
          <w:rFonts w:ascii="Times New Roman" w:hAnsi="Times New Roman" w:cs="Times New Roman"/>
          <w:sz w:val="24"/>
          <w:szCs w:val="24"/>
        </w:rPr>
        <w:t xml:space="preserve">led an application to have the </w:t>
      </w:r>
      <w:r w:rsidR="006B190E" w:rsidRPr="007C5A7F">
        <w:rPr>
          <w:rFonts w:ascii="Times New Roman" w:hAnsi="Times New Roman" w:cs="Times New Roman"/>
          <w:sz w:val="24"/>
          <w:szCs w:val="24"/>
        </w:rPr>
        <w:t>automatic b</w:t>
      </w:r>
      <w:r w:rsidR="00E42A05" w:rsidRPr="007C5A7F">
        <w:rPr>
          <w:rFonts w:ascii="Times New Roman" w:hAnsi="Times New Roman" w:cs="Times New Roman"/>
          <w:sz w:val="24"/>
          <w:szCs w:val="24"/>
        </w:rPr>
        <w:t xml:space="preserve">ar </w:t>
      </w:r>
      <w:r w:rsidR="006B190E" w:rsidRPr="007C5A7F">
        <w:rPr>
          <w:rFonts w:ascii="Times New Roman" w:hAnsi="Times New Roman" w:cs="Times New Roman"/>
          <w:sz w:val="24"/>
          <w:szCs w:val="24"/>
        </w:rPr>
        <w:t xml:space="preserve">operating against him </w:t>
      </w:r>
      <w:r w:rsidR="00E42A05" w:rsidRPr="007C5A7F">
        <w:rPr>
          <w:rFonts w:ascii="Times New Roman" w:hAnsi="Times New Roman" w:cs="Times New Roman"/>
          <w:sz w:val="24"/>
          <w:szCs w:val="24"/>
        </w:rPr>
        <w:t xml:space="preserve">uplifted </w:t>
      </w:r>
      <w:r w:rsidR="006B190E" w:rsidRPr="007C5A7F">
        <w:rPr>
          <w:rFonts w:ascii="Times New Roman" w:hAnsi="Times New Roman" w:cs="Times New Roman"/>
          <w:sz w:val="24"/>
          <w:szCs w:val="24"/>
        </w:rPr>
        <w:t xml:space="preserve">in order </w:t>
      </w:r>
      <w:r w:rsidR="00E42A05" w:rsidRPr="007C5A7F">
        <w:rPr>
          <w:rFonts w:ascii="Times New Roman" w:hAnsi="Times New Roman" w:cs="Times New Roman"/>
          <w:sz w:val="24"/>
          <w:szCs w:val="24"/>
        </w:rPr>
        <w:t xml:space="preserve">to enable him to </w:t>
      </w:r>
      <w:r w:rsidR="00860422" w:rsidRPr="007C5A7F">
        <w:rPr>
          <w:rFonts w:ascii="Times New Roman" w:hAnsi="Times New Roman" w:cs="Times New Roman"/>
          <w:sz w:val="24"/>
          <w:szCs w:val="24"/>
        </w:rPr>
        <w:t xml:space="preserve">file his own heads of argument. </w:t>
      </w:r>
      <w:r w:rsidR="00E42A05" w:rsidRPr="007C5A7F">
        <w:rPr>
          <w:rFonts w:ascii="Times New Roman" w:hAnsi="Times New Roman" w:cs="Times New Roman"/>
          <w:sz w:val="24"/>
          <w:szCs w:val="24"/>
        </w:rPr>
        <w:t xml:space="preserve">The application was opposed by the fourth respondent. </w:t>
      </w:r>
      <w:r w:rsidR="006B190E" w:rsidRPr="007C5A7F">
        <w:rPr>
          <w:rFonts w:ascii="Times New Roman" w:hAnsi="Times New Roman" w:cs="Times New Roman"/>
          <w:sz w:val="24"/>
          <w:szCs w:val="24"/>
        </w:rPr>
        <w:t>In the opposing affidavit attached</w:t>
      </w:r>
      <w:r w:rsidR="008461BB" w:rsidRPr="007C5A7F">
        <w:rPr>
          <w:rFonts w:ascii="Times New Roman" w:hAnsi="Times New Roman" w:cs="Times New Roman"/>
          <w:sz w:val="24"/>
          <w:szCs w:val="24"/>
        </w:rPr>
        <w:t xml:space="preserve"> to </w:t>
      </w:r>
      <w:r w:rsidR="006B190E" w:rsidRPr="007C5A7F">
        <w:rPr>
          <w:rFonts w:ascii="Times New Roman" w:hAnsi="Times New Roman" w:cs="Times New Roman"/>
          <w:sz w:val="24"/>
          <w:szCs w:val="24"/>
        </w:rPr>
        <w:t>hi</w:t>
      </w:r>
      <w:r w:rsidR="008461BB" w:rsidRPr="007C5A7F">
        <w:rPr>
          <w:rFonts w:ascii="Times New Roman" w:hAnsi="Times New Roman" w:cs="Times New Roman"/>
          <w:sz w:val="24"/>
          <w:szCs w:val="24"/>
        </w:rPr>
        <w:t xml:space="preserve">s notice of opposition, </w:t>
      </w:r>
      <w:r w:rsidR="00E42A05" w:rsidRPr="007C5A7F">
        <w:rPr>
          <w:rFonts w:ascii="Times New Roman" w:hAnsi="Times New Roman" w:cs="Times New Roman"/>
          <w:sz w:val="24"/>
          <w:szCs w:val="24"/>
        </w:rPr>
        <w:t xml:space="preserve">the fourth respondent </w:t>
      </w:r>
      <w:r w:rsidR="006B190E" w:rsidRPr="007C5A7F">
        <w:rPr>
          <w:rFonts w:ascii="Times New Roman" w:hAnsi="Times New Roman" w:cs="Times New Roman"/>
          <w:sz w:val="24"/>
          <w:szCs w:val="24"/>
        </w:rPr>
        <w:t>made reference to</w:t>
      </w:r>
      <w:r w:rsidR="00E42A05" w:rsidRPr="007C5A7F">
        <w:rPr>
          <w:rFonts w:ascii="Times New Roman" w:hAnsi="Times New Roman" w:cs="Times New Roman"/>
          <w:sz w:val="24"/>
          <w:szCs w:val="24"/>
        </w:rPr>
        <w:t xml:space="preserve"> a counter-application for an order for specific performance against the appellant.</w:t>
      </w:r>
      <w:r w:rsidR="00DA3289" w:rsidRPr="007C5A7F">
        <w:rPr>
          <w:rFonts w:ascii="Times New Roman" w:hAnsi="Times New Roman" w:cs="Times New Roman"/>
          <w:sz w:val="24"/>
          <w:szCs w:val="24"/>
        </w:rPr>
        <w:t xml:space="preserve"> A draft order comprising the relief sought was attached to the opposing affidavit.  </w:t>
      </w:r>
    </w:p>
    <w:p w:rsidR="000C1EA2" w:rsidRPr="007C5A7F" w:rsidRDefault="00E42A05" w:rsidP="00860422">
      <w:pPr>
        <w:spacing w:after="0" w:line="240" w:lineRule="auto"/>
        <w:ind w:firstLine="1440"/>
        <w:jc w:val="both"/>
        <w:rPr>
          <w:rFonts w:ascii="Times New Roman" w:hAnsi="Times New Roman" w:cs="Times New Roman"/>
          <w:sz w:val="24"/>
          <w:szCs w:val="24"/>
        </w:rPr>
      </w:pPr>
      <w:r w:rsidRPr="007C5A7F">
        <w:rPr>
          <w:rFonts w:ascii="Times New Roman" w:hAnsi="Times New Roman" w:cs="Times New Roman"/>
          <w:sz w:val="24"/>
          <w:szCs w:val="24"/>
        </w:rPr>
        <w:t xml:space="preserve"> </w:t>
      </w:r>
    </w:p>
    <w:p w:rsidR="0003753D" w:rsidRPr="007C5A7F" w:rsidRDefault="0003753D" w:rsidP="00860422">
      <w:pPr>
        <w:ind w:firstLine="1620"/>
        <w:jc w:val="both"/>
        <w:rPr>
          <w:rFonts w:ascii="Times New Roman" w:hAnsi="Times New Roman" w:cs="Times New Roman"/>
          <w:sz w:val="24"/>
          <w:szCs w:val="24"/>
        </w:rPr>
      </w:pPr>
      <w:r w:rsidRPr="007C5A7F">
        <w:rPr>
          <w:rFonts w:ascii="Times New Roman" w:hAnsi="Times New Roman" w:cs="Times New Roman"/>
          <w:sz w:val="24"/>
          <w:szCs w:val="24"/>
        </w:rPr>
        <w:t>The applicat</w:t>
      </w:r>
      <w:r w:rsidR="00064836" w:rsidRPr="007C5A7F">
        <w:rPr>
          <w:rFonts w:ascii="Times New Roman" w:hAnsi="Times New Roman" w:cs="Times New Roman"/>
          <w:sz w:val="24"/>
          <w:szCs w:val="24"/>
        </w:rPr>
        <w:t xml:space="preserve">ion by the appellant for the </w:t>
      </w:r>
      <w:proofErr w:type="spellStart"/>
      <w:r w:rsidR="00064836" w:rsidRPr="007C5A7F">
        <w:rPr>
          <w:rFonts w:ascii="Times New Roman" w:hAnsi="Times New Roman" w:cs="Times New Roman"/>
          <w:sz w:val="24"/>
          <w:szCs w:val="24"/>
        </w:rPr>
        <w:t>up</w:t>
      </w:r>
      <w:r w:rsidRPr="007C5A7F">
        <w:rPr>
          <w:rFonts w:ascii="Times New Roman" w:hAnsi="Times New Roman" w:cs="Times New Roman"/>
          <w:sz w:val="24"/>
          <w:szCs w:val="24"/>
        </w:rPr>
        <w:t>liftment</w:t>
      </w:r>
      <w:proofErr w:type="spellEnd"/>
      <w:r w:rsidRPr="007C5A7F">
        <w:rPr>
          <w:rFonts w:ascii="Times New Roman" w:hAnsi="Times New Roman" w:cs="Times New Roman"/>
          <w:sz w:val="24"/>
          <w:szCs w:val="24"/>
        </w:rPr>
        <w:t xml:space="preserve"> of the bar having been granted, the High Court proceeded to hear the application filed by the first and </w:t>
      </w:r>
      <w:r w:rsidR="00860422" w:rsidRPr="007C5A7F">
        <w:rPr>
          <w:rFonts w:ascii="Times New Roman" w:hAnsi="Times New Roman" w:cs="Times New Roman"/>
          <w:sz w:val="24"/>
          <w:szCs w:val="24"/>
        </w:rPr>
        <w:t xml:space="preserve">the </w:t>
      </w:r>
      <w:r w:rsidRPr="007C5A7F">
        <w:rPr>
          <w:rFonts w:ascii="Times New Roman" w:hAnsi="Times New Roman" w:cs="Times New Roman"/>
          <w:sz w:val="24"/>
          <w:szCs w:val="24"/>
        </w:rPr>
        <w:t xml:space="preserve">second respondents for an interdict. </w:t>
      </w:r>
      <w:r w:rsidR="00860422" w:rsidRPr="007C5A7F">
        <w:rPr>
          <w:rFonts w:ascii="Times New Roman" w:hAnsi="Times New Roman" w:cs="Times New Roman"/>
          <w:sz w:val="24"/>
          <w:szCs w:val="24"/>
        </w:rPr>
        <w:t xml:space="preserve"> </w:t>
      </w:r>
      <w:r w:rsidR="0022364C" w:rsidRPr="007C5A7F">
        <w:rPr>
          <w:rFonts w:ascii="Times New Roman" w:hAnsi="Times New Roman" w:cs="Times New Roman"/>
          <w:sz w:val="24"/>
          <w:szCs w:val="24"/>
        </w:rPr>
        <w:t xml:space="preserve">The </w:t>
      </w:r>
      <w:r w:rsidRPr="007C5A7F">
        <w:rPr>
          <w:rFonts w:ascii="Times New Roman" w:hAnsi="Times New Roman" w:cs="Times New Roman"/>
          <w:sz w:val="24"/>
          <w:szCs w:val="24"/>
        </w:rPr>
        <w:t xml:space="preserve">first and </w:t>
      </w:r>
      <w:r w:rsidR="00860422" w:rsidRPr="007C5A7F">
        <w:rPr>
          <w:rFonts w:ascii="Times New Roman" w:hAnsi="Times New Roman" w:cs="Times New Roman"/>
          <w:sz w:val="24"/>
          <w:szCs w:val="24"/>
        </w:rPr>
        <w:t xml:space="preserve">the </w:t>
      </w:r>
      <w:r w:rsidRPr="007C5A7F">
        <w:rPr>
          <w:rFonts w:ascii="Times New Roman" w:hAnsi="Times New Roman" w:cs="Times New Roman"/>
          <w:sz w:val="24"/>
          <w:szCs w:val="24"/>
        </w:rPr>
        <w:t>second respondents who were the applicants in the applications were not before the court and the provisional order granted in their favour was discharged.</w:t>
      </w:r>
      <w:r w:rsidR="0022364C" w:rsidRPr="007C5A7F">
        <w:rPr>
          <w:rFonts w:ascii="Times New Roman" w:hAnsi="Times New Roman" w:cs="Times New Roman"/>
          <w:sz w:val="24"/>
          <w:szCs w:val="24"/>
        </w:rPr>
        <w:t xml:space="preserve"> </w:t>
      </w:r>
      <w:r w:rsidR="00860422" w:rsidRPr="007C5A7F">
        <w:rPr>
          <w:rFonts w:ascii="Times New Roman" w:hAnsi="Times New Roman" w:cs="Times New Roman"/>
          <w:sz w:val="24"/>
          <w:szCs w:val="24"/>
        </w:rPr>
        <w:t xml:space="preserve"> </w:t>
      </w:r>
      <w:r w:rsidR="006804EA" w:rsidRPr="007C5A7F">
        <w:rPr>
          <w:rFonts w:ascii="Times New Roman" w:hAnsi="Times New Roman" w:cs="Times New Roman"/>
          <w:sz w:val="24"/>
          <w:szCs w:val="24"/>
        </w:rPr>
        <w:t>T</w:t>
      </w:r>
      <w:r w:rsidR="0022364C" w:rsidRPr="007C5A7F">
        <w:rPr>
          <w:rFonts w:ascii="Times New Roman" w:hAnsi="Times New Roman" w:cs="Times New Roman"/>
          <w:sz w:val="24"/>
          <w:szCs w:val="24"/>
        </w:rPr>
        <w:t>he</w:t>
      </w:r>
      <w:r w:rsidR="006804EA" w:rsidRPr="007C5A7F">
        <w:rPr>
          <w:rFonts w:ascii="Times New Roman" w:hAnsi="Times New Roman" w:cs="Times New Roman"/>
          <w:sz w:val="24"/>
          <w:szCs w:val="24"/>
        </w:rPr>
        <w:t xml:space="preserve"> </w:t>
      </w:r>
      <w:r w:rsidR="0022364C" w:rsidRPr="007C5A7F">
        <w:rPr>
          <w:rFonts w:ascii="Times New Roman" w:hAnsi="Times New Roman" w:cs="Times New Roman"/>
          <w:sz w:val="24"/>
          <w:szCs w:val="24"/>
        </w:rPr>
        <w:t xml:space="preserve">court </w:t>
      </w:r>
      <w:r w:rsidR="00D3736A" w:rsidRPr="007C5A7F">
        <w:rPr>
          <w:rFonts w:ascii="Times New Roman" w:hAnsi="Times New Roman" w:cs="Times New Roman"/>
          <w:sz w:val="24"/>
          <w:szCs w:val="24"/>
        </w:rPr>
        <w:t xml:space="preserve">then </w:t>
      </w:r>
      <w:r w:rsidR="0022364C" w:rsidRPr="007C5A7F">
        <w:rPr>
          <w:rFonts w:ascii="Times New Roman" w:hAnsi="Times New Roman" w:cs="Times New Roman"/>
          <w:sz w:val="24"/>
          <w:szCs w:val="24"/>
        </w:rPr>
        <w:t>proceeded to deal with the counter-</w:t>
      </w:r>
      <w:r w:rsidRPr="007C5A7F">
        <w:rPr>
          <w:rFonts w:ascii="Times New Roman" w:hAnsi="Times New Roman" w:cs="Times New Roman"/>
          <w:sz w:val="24"/>
          <w:szCs w:val="24"/>
        </w:rPr>
        <w:t>application</w:t>
      </w:r>
      <w:r w:rsidR="006804EA" w:rsidRPr="007C5A7F">
        <w:rPr>
          <w:rFonts w:ascii="Times New Roman" w:hAnsi="Times New Roman" w:cs="Times New Roman"/>
          <w:sz w:val="24"/>
          <w:szCs w:val="24"/>
        </w:rPr>
        <w:t xml:space="preserve"> and an order</w:t>
      </w:r>
      <w:r w:rsidRPr="007C5A7F">
        <w:rPr>
          <w:rFonts w:ascii="Times New Roman" w:hAnsi="Times New Roman" w:cs="Times New Roman"/>
          <w:sz w:val="24"/>
          <w:szCs w:val="24"/>
        </w:rPr>
        <w:t xml:space="preserve"> </w:t>
      </w:r>
      <w:r w:rsidR="0022364C" w:rsidRPr="007C5A7F">
        <w:rPr>
          <w:rFonts w:ascii="Times New Roman" w:hAnsi="Times New Roman" w:cs="Times New Roman"/>
          <w:sz w:val="24"/>
          <w:szCs w:val="24"/>
        </w:rPr>
        <w:t xml:space="preserve">for specific performance </w:t>
      </w:r>
      <w:r w:rsidR="00DA3289" w:rsidRPr="007C5A7F">
        <w:rPr>
          <w:rFonts w:ascii="Times New Roman" w:hAnsi="Times New Roman" w:cs="Times New Roman"/>
          <w:sz w:val="24"/>
          <w:szCs w:val="24"/>
        </w:rPr>
        <w:t xml:space="preserve">was </w:t>
      </w:r>
      <w:r w:rsidR="0022364C" w:rsidRPr="007C5A7F">
        <w:rPr>
          <w:rFonts w:ascii="Times New Roman" w:hAnsi="Times New Roman" w:cs="Times New Roman"/>
          <w:sz w:val="24"/>
          <w:szCs w:val="24"/>
        </w:rPr>
        <w:t xml:space="preserve">granted in favour of the fourth respondent. </w:t>
      </w:r>
      <w:r w:rsidR="00860422" w:rsidRPr="007C5A7F">
        <w:rPr>
          <w:rFonts w:ascii="Times New Roman" w:hAnsi="Times New Roman" w:cs="Times New Roman"/>
          <w:sz w:val="24"/>
          <w:szCs w:val="24"/>
        </w:rPr>
        <w:t xml:space="preserve"> </w:t>
      </w:r>
      <w:r w:rsidR="004C234D" w:rsidRPr="007C5A7F">
        <w:rPr>
          <w:rFonts w:ascii="Times New Roman" w:hAnsi="Times New Roman" w:cs="Times New Roman"/>
          <w:sz w:val="24"/>
          <w:szCs w:val="24"/>
        </w:rPr>
        <w:t>T</w:t>
      </w:r>
      <w:r w:rsidR="0022364C" w:rsidRPr="007C5A7F">
        <w:rPr>
          <w:rFonts w:ascii="Times New Roman" w:hAnsi="Times New Roman" w:cs="Times New Roman"/>
          <w:sz w:val="24"/>
          <w:szCs w:val="24"/>
        </w:rPr>
        <w:t>his appeal is directed at th</w:t>
      </w:r>
      <w:r w:rsidR="00716E35" w:rsidRPr="007C5A7F">
        <w:rPr>
          <w:rFonts w:ascii="Times New Roman" w:hAnsi="Times New Roman" w:cs="Times New Roman"/>
          <w:sz w:val="24"/>
          <w:szCs w:val="24"/>
        </w:rPr>
        <w:t xml:space="preserve">at </w:t>
      </w:r>
      <w:r w:rsidR="0022364C" w:rsidRPr="007C5A7F">
        <w:rPr>
          <w:rFonts w:ascii="Times New Roman" w:hAnsi="Times New Roman" w:cs="Times New Roman"/>
          <w:sz w:val="24"/>
          <w:szCs w:val="24"/>
        </w:rPr>
        <w:t>order</w:t>
      </w:r>
      <w:r w:rsidR="00716E35" w:rsidRPr="007C5A7F">
        <w:rPr>
          <w:rFonts w:ascii="Times New Roman" w:hAnsi="Times New Roman" w:cs="Times New Roman"/>
          <w:sz w:val="24"/>
          <w:szCs w:val="24"/>
        </w:rPr>
        <w:t>.</w:t>
      </w:r>
      <w:r w:rsidR="0022364C" w:rsidRPr="007C5A7F">
        <w:rPr>
          <w:rFonts w:ascii="Times New Roman" w:hAnsi="Times New Roman" w:cs="Times New Roman"/>
          <w:sz w:val="24"/>
          <w:szCs w:val="24"/>
        </w:rPr>
        <w:t xml:space="preserve"> </w:t>
      </w:r>
    </w:p>
    <w:p w:rsidR="00860422" w:rsidRPr="007C5A7F" w:rsidRDefault="00860422" w:rsidP="00860422">
      <w:pPr>
        <w:spacing w:after="0" w:line="240" w:lineRule="auto"/>
        <w:ind w:firstLine="1620"/>
        <w:jc w:val="both"/>
        <w:rPr>
          <w:rFonts w:ascii="Times New Roman" w:hAnsi="Times New Roman" w:cs="Times New Roman"/>
          <w:sz w:val="24"/>
          <w:szCs w:val="24"/>
        </w:rPr>
      </w:pPr>
    </w:p>
    <w:p w:rsidR="001A7CBB" w:rsidRPr="007C5A7F" w:rsidRDefault="004C234D" w:rsidP="00860422">
      <w:pPr>
        <w:ind w:firstLine="1620"/>
        <w:jc w:val="both"/>
        <w:rPr>
          <w:rFonts w:ascii="Times New Roman" w:hAnsi="Times New Roman" w:cs="Times New Roman"/>
          <w:sz w:val="24"/>
          <w:szCs w:val="24"/>
        </w:rPr>
      </w:pPr>
      <w:r w:rsidRPr="007C5A7F">
        <w:rPr>
          <w:rFonts w:ascii="Times New Roman" w:hAnsi="Times New Roman" w:cs="Times New Roman"/>
          <w:sz w:val="24"/>
          <w:szCs w:val="24"/>
        </w:rPr>
        <w:t xml:space="preserve">The first issue I deal with is whether or not the counter-application was properly before the court </w:t>
      </w:r>
      <w:r w:rsidRPr="007C5A7F">
        <w:rPr>
          <w:rFonts w:ascii="Times New Roman" w:hAnsi="Times New Roman" w:cs="Times New Roman"/>
          <w:i/>
          <w:sz w:val="24"/>
          <w:szCs w:val="24"/>
        </w:rPr>
        <w:t>a quo</w:t>
      </w:r>
      <w:r w:rsidRPr="007C5A7F">
        <w:rPr>
          <w:rFonts w:ascii="Times New Roman" w:hAnsi="Times New Roman" w:cs="Times New Roman"/>
          <w:sz w:val="24"/>
          <w:szCs w:val="24"/>
        </w:rPr>
        <w:t xml:space="preserve">. </w:t>
      </w:r>
    </w:p>
    <w:p w:rsidR="00025249" w:rsidRPr="007C5A7F" w:rsidRDefault="00025249" w:rsidP="00025249">
      <w:pPr>
        <w:spacing w:after="0" w:line="240" w:lineRule="auto"/>
        <w:ind w:firstLine="1620"/>
        <w:jc w:val="both"/>
        <w:rPr>
          <w:rFonts w:ascii="Times New Roman" w:hAnsi="Times New Roman" w:cs="Times New Roman"/>
          <w:sz w:val="24"/>
          <w:szCs w:val="24"/>
        </w:rPr>
      </w:pPr>
    </w:p>
    <w:p w:rsidR="00E72756" w:rsidRPr="007C5A7F" w:rsidRDefault="00E72756" w:rsidP="00025249">
      <w:pPr>
        <w:spacing w:after="0" w:line="240" w:lineRule="auto"/>
        <w:ind w:firstLine="1620"/>
        <w:jc w:val="both"/>
        <w:rPr>
          <w:rFonts w:ascii="Times New Roman" w:hAnsi="Times New Roman" w:cs="Times New Roman"/>
          <w:sz w:val="24"/>
          <w:szCs w:val="24"/>
        </w:rPr>
      </w:pPr>
    </w:p>
    <w:p w:rsidR="002C40B6" w:rsidRPr="007C5A7F" w:rsidRDefault="001A7CBB" w:rsidP="00025249">
      <w:pPr>
        <w:ind w:firstLine="1620"/>
        <w:jc w:val="both"/>
        <w:rPr>
          <w:rFonts w:ascii="Times New Roman" w:hAnsi="Times New Roman" w:cs="Times New Roman"/>
          <w:sz w:val="24"/>
          <w:szCs w:val="24"/>
        </w:rPr>
      </w:pPr>
      <w:r w:rsidRPr="007C5A7F">
        <w:rPr>
          <w:rFonts w:ascii="Times New Roman" w:hAnsi="Times New Roman" w:cs="Times New Roman"/>
          <w:sz w:val="24"/>
          <w:szCs w:val="24"/>
        </w:rPr>
        <w:t>Although the appellant did not raise this as one of his grounds of appeal, in his address</w:t>
      </w:r>
      <w:r w:rsidR="00025249" w:rsidRPr="007C5A7F">
        <w:rPr>
          <w:rFonts w:ascii="Times New Roman" w:hAnsi="Times New Roman" w:cs="Times New Roman"/>
          <w:sz w:val="24"/>
          <w:szCs w:val="24"/>
        </w:rPr>
        <w:t>,</w:t>
      </w:r>
      <w:r w:rsidRPr="007C5A7F">
        <w:rPr>
          <w:rFonts w:ascii="Times New Roman" w:hAnsi="Times New Roman" w:cs="Times New Roman"/>
          <w:sz w:val="24"/>
          <w:szCs w:val="24"/>
        </w:rPr>
        <w:t xml:space="preserve"> </w:t>
      </w:r>
      <w:r w:rsidR="00C66393" w:rsidRPr="007C5A7F">
        <w:rPr>
          <w:rFonts w:ascii="Times New Roman" w:hAnsi="Times New Roman" w:cs="Times New Roman"/>
          <w:sz w:val="24"/>
          <w:szCs w:val="24"/>
        </w:rPr>
        <w:t>Mr</w:t>
      </w:r>
      <w:r w:rsidR="00C66393" w:rsidRPr="007C5A7F">
        <w:rPr>
          <w:rFonts w:ascii="Times New Roman" w:hAnsi="Times New Roman" w:cs="Times New Roman"/>
          <w:i/>
          <w:sz w:val="24"/>
          <w:szCs w:val="24"/>
        </w:rPr>
        <w:t xml:space="preserve"> </w:t>
      </w:r>
      <w:proofErr w:type="spellStart"/>
      <w:r w:rsidR="00C66393" w:rsidRPr="007C5A7F">
        <w:rPr>
          <w:rFonts w:ascii="Times New Roman" w:hAnsi="Times New Roman" w:cs="Times New Roman"/>
          <w:i/>
          <w:sz w:val="24"/>
          <w:szCs w:val="24"/>
        </w:rPr>
        <w:t>Mpofu</w:t>
      </w:r>
      <w:proofErr w:type="spellEnd"/>
      <w:r w:rsidRPr="007C5A7F">
        <w:rPr>
          <w:rFonts w:ascii="Times New Roman" w:hAnsi="Times New Roman" w:cs="Times New Roman"/>
          <w:sz w:val="24"/>
          <w:szCs w:val="24"/>
        </w:rPr>
        <w:t xml:space="preserve"> o</w:t>
      </w:r>
      <w:r w:rsidR="00C66393" w:rsidRPr="007C5A7F">
        <w:rPr>
          <w:rFonts w:ascii="Times New Roman" w:hAnsi="Times New Roman" w:cs="Times New Roman"/>
          <w:sz w:val="24"/>
          <w:szCs w:val="24"/>
        </w:rPr>
        <w:t>n behalf of</w:t>
      </w:r>
      <w:r w:rsidRPr="007C5A7F">
        <w:rPr>
          <w:rFonts w:ascii="Times New Roman" w:hAnsi="Times New Roman" w:cs="Times New Roman"/>
          <w:sz w:val="24"/>
          <w:szCs w:val="24"/>
        </w:rPr>
        <w:t xml:space="preserve"> the appel</w:t>
      </w:r>
      <w:r w:rsidR="006804EA" w:rsidRPr="007C5A7F">
        <w:rPr>
          <w:rFonts w:ascii="Times New Roman" w:hAnsi="Times New Roman" w:cs="Times New Roman"/>
          <w:sz w:val="24"/>
          <w:szCs w:val="24"/>
        </w:rPr>
        <w:t xml:space="preserve">lant, submitted that this was a </w:t>
      </w:r>
      <w:r w:rsidRPr="007C5A7F">
        <w:rPr>
          <w:rFonts w:ascii="Times New Roman" w:hAnsi="Times New Roman" w:cs="Times New Roman"/>
          <w:sz w:val="24"/>
          <w:szCs w:val="24"/>
        </w:rPr>
        <w:t>point o</w:t>
      </w:r>
      <w:r w:rsidR="004B4093" w:rsidRPr="007C5A7F">
        <w:rPr>
          <w:rFonts w:ascii="Times New Roman" w:hAnsi="Times New Roman" w:cs="Times New Roman"/>
          <w:sz w:val="24"/>
          <w:szCs w:val="24"/>
        </w:rPr>
        <w:t>f law which is not dependent on facts for</w:t>
      </w:r>
      <w:r w:rsidRPr="007C5A7F">
        <w:rPr>
          <w:rFonts w:ascii="Times New Roman" w:hAnsi="Times New Roman" w:cs="Times New Roman"/>
          <w:sz w:val="24"/>
          <w:szCs w:val="24"/>
        </w:rPr>
        <w:t xml:space="preserve"> its resolution and which goes to the root of the matter. </w:t>
      </w:r>
      <w:r w:rsidR="00025249" w:rsidRPr="007C5A7F">
        <w:rPr>
          <w:rFonts w:ascii="Times New Roman" w:hAnsi="Times New Roman" w:cs="Times New Roman"/>
          <w:sz w:val="24"/>
          <w:szCs w:val="24"/>
        </w:rPr>
        <w:t xml:space="preserve"> </w:t>
      </w:r>
      <w:r w:rsidRPr="007C5A7F">
        <w:rPr>
          <w:rFonts w:ascii="Times New Roman" w:hAnsi="Times New Roman" w:cs="Times New Roman"/>
          <w:sz w:val="24"/>
          <w:szCs w:val="24"/>
        </w:rPr>
        <w:t xml:space="preserve">He referred to </w:t>
      </w:r>
      <w:proofErr w:type="spellStart"/>
      <w:r w:rsidRPr="007C5A7F">
        <w:rPr>
          <w:rFonts w:ascii="Times New Roman" w:hAnsi="Times New Roman" w:cs="Times New Roman"/>
          <w:i/>
          <w:sz w:val="24"/>
          <w:szCs w:val="24"/>
        </w:rPr>
        <w:t>Muchakata</w:t>
      </w:r>
      <w:proofErr w:type="spellEnd"/>
      <w:r w:rsidRPr="007C5A7F">
        <w:rPr>
          <w:rFonts w:ascii="Times New Roman" w:hAnsi="Times New Roman" w:cs="Times New Roman"/>
          <w:i/>
          <w:sz w:val="24"/>
          <w:szCs w:val="24"/>
        </w:rPr>
        <w:t xml:space="preserve"> v </w:t>
      </w:r>
      <w:proofErr w:type="spellStart"/>
      <w:r w:rsidRPr="007C5A7F">
        <w:rPr>
          <w:rFonts w:ascii="Times New Roman" w:hAnsi="Times New Roman" w:cs="Times New Roman"/>
          <w:i/>
          <w:sz w:val="24"/>
          <w:szCs w:val="24"/>
        </w:rPr>
        <w:t>Netherburn</w:t>
      </w:r>
      <w:proofErr w:type="spellEnd"/>
      <w:r w:rsidRPr="007C5A7F">
        <w:rPr>
          <w:rFonts w:ascii="Times New Roman" w:hAnsi="Times New Roman" w:cs="Times New Roman"/>
          <w:sz w:val="24"/>
          <w:szCs w:val="24"/>
        </w:rPr>
        <w:t xml:space="preserve"> </w:t>
      </w:r>
      <w:r w:rsidRPr="007C5A7F">
        <w:rPr>
          <w:rFonts w:ascii="Times New Roman" w:hAnsi="Times New Roman" w:cs="Times New Roman"/>
          <w:i/>
          <w:sz w:val="24"/>
          <w:szCs w:val="24"/>
        </w:rPr>
        <w:t>Mine</w:t>
      </w:r>
      <w:r w:rsidRPr="007C5A7F">
        <w:rPr>
          <w:rFonts w:ascii="Times New Roman" w:hAnsi="Times New Roman" w:cs="Times New Roman"/>
          <w:sz w:val="24"/>
          <w:szCs w:val="24"/>
        </w:rPr>
        <w:t xml:space="preserve"> 1996 (1) ZLR 153 (S) </w:t>
      </w:r>
      <w:r w:rsidR="006804EA" w:rsidRPr="007C5A7F">
        <w:rPr>
          <w:rFonts w:ascii="Times New Roman" w:hAnsi="Times New Roman" w:cs="Times New Roman"/>
          <w:sz w:val="24"/>
          <w:szCs w:val="24"/>
        </w:rPr>
        <w:t xml:space="preserve">as authority </w:t>
      </w:r>
      <w:r w:rsidRPr="007C5A7F">
        <w:rPr>
          <w:rFonts w:ascii="Times New Roman" w:hAnsi="Times New Roman" w:cs="Times New Roman"/>
          <w:sz w:val="24"/>
          <w:szCs w:val="24"/>
        </w:rPr>
        <w:t xml:space="preserve">for this proposition. </w:t>
      </w:r>
      <w:r w:rsidR="00025249" w:rsidRPr="007C5A7F">
        <w:rPr>
          <w:rFonts w:ascii="Times New Roman" w:hAnsi="Times New Roman" w:cs="Times New Roman"/>
          <w:sz w:val="24"/>
          <w:szCs w:val="24"/>
        </w:rPr>
        <w:t xml:space="preserve"> </w:t>
      </w:r>
      <w:r w:rsidR="002C40B6" w:rsidRPr="007C5A7F">
        <w:rPr>
          <w:rFonts w:ascii="Times New Roman" w:hAnsi="Times New Roman" w:cs="Times New Roman"/>
          <w:sz w:val="24"/>
          <w:szCs w:val="24"/>
        </w:rPr>
        <w:t xml:space="preserve">At p 157A-B this </w:t>
      </w:r>
      <w:r w:rsidR="00025249" w:rsidRPr="007C5A7F">
        <w:rPr>
          <w:rFonts w:ascii="Times New Roman" w:hAnsi="Times New Roman" w:cs="Times New Roman"/>
          <w:sz w:val="24"/>
          <w:szCs w:val="24"/>
        </w:rPr>
        <w:t>C</w:t>
      </w:r>
      <w:r w:rsidR="002C40B6" w:rsidRPr="007C5A7F">
        <w:rPr>
          <w:rFonts w:ascii="Times New Roman" w:hAnsi="Times New Roman" w:cs="Times New Roman"/>
          <w:sz w:val="24"/>
          <w:szCs w:val="24"/>
        </w:rPr>
        <w:t>ourt stated:</w:t>
      </w:r>
    </w:p>
    <w:p w:rsidR="00634C5E" w:rsidRPr="007C5A7F" w:rsidRDefault="002C40B6" w:rsidP="00025249">
      <w:pPr>
        <w:spacing w:line="240" w:lineRule="auto"/>
        <w:ind w:left="720"/>
        <w:jc w:val="both"/>
        <w:rPr>
          <w:rFonts w:ascii="Times New Roman" w:hAnsi="Times New Roman" w:cs="Times New Roman"/>
          <w:sz w:val="24"/>
          <w:szCs w:val="24"/>
        </w:rPr>
      </w:pPr>
      <w:r w:rsidRPr="007C5A7F">
        <w:rPr>
          <w:rFonts w:ascii="Times New Roman" w:hAnsi="Times New Roman" w:cs="Times New Roman"/>
          <w:sz w:val="24"/>
          <w:szCs w:val="24"/>
        </w:rPr>
        <w:lastRenderedPageBreak/>
        <w:t xml:space="preserve">“Provided it is not one which is required by a definitive law to be specifically pleaded, a point of law, which goes to the root of the matter, may be raised at any time on appeal, if its consideration involves no unfairness to the party against whom it is directed: </w:t>
      </w:r>
      <w:proofErr w:type="spellStart"/>
      <w:r w:rsidRPr="007C5A7F">
        <w:rPr>
          <w:rFonts w:ascii="Times New Roman" w:hAnsi="Times New Roman" w:cs="Times New Roman"/>
          <w:i/>
          <w:sz w:val="24"/>
          <w:szCs w:val="24"/>
        </w:rPr>
        <w:t>Morobane</w:t>
      </w:r>
      <w:proofErr w:type="spellEnd"/>
      <w:r w:rsidRPr="007C5A7F">
        <w:rPr>
          <w:rFonts w:ascii="Times New Roman" w:hAnsi="Times New Roman" w:cs="Times New Roman"/>
          <w:i/>
          <w:sz w:val="24"/>
          <w:szCs w:val="24"/>
        </w:rPr>
        <w:t xml:space="preserve"> v Bateman</w:t>
      </w:r>
      <w:r w:rsidRPr="007C5A7F">
        <w:rPr>
          <w:rFonts w:ascii="Times New Roman" w:hAnsi="Times New Roman" w:cs="Times New Roman"/>
          <w:sz w:val="24"/>
          <w:szCs w:val="24"/>
        </w:rPr>
        <w:t xml:space="preserve"> 1918 AD 460; </w:t>
      </w:r>
      <w:r w:rsidRPr="007C5A7F">
        <w:rPr>
          <w:rFonts w:ascii="Times New Roman" w:hAnsi="Times New Roman" w:cs="Times New Roman"/>
          <w:i/>
          <w:sz w:val="24"/>
          <w:szCs w:val="24"/>
        </w:rPr>
        <w:t xml:space="preserve">Paddock Motors (Pty) Ltd v </w:t>
      </w:r>
      <w:proofErr w:type="spellStart"/>
      <w:r w:rsidRPr="007C5A7F">
        <w:rPr>
          <w:rFonts w:ascii="Times New Roman" w:hAnsi="Times New Roman" w:cs="Times New Roman"/>
          <w:i/>
          <w:sz w:val="24"/>
          <w:szCs w:val="24"/>
        </w:rPr>
        <w:t>Igesund</w:t>
      </w:r>
      <w:proofErr w:type="spellEnd"/>
      <w:r w:rsidRPr="007C5A7F">
        <w:rPr>
          <w:rFonts w:ascii="Times New Roman" w:hAnsi="Times New Roman" w:cs="Times New Roman"/>
          <w:sz w:val="24"/>
          <w:szCs w:val="24"/>
        </w:rPr>
        <w:t xml:space="preserve"> 1976 (3) SA 16 (A</w:t>
      </w:r>
      <w:r w:rsidR="00025249" w:rsidRPr="007C5A7F">
        <w:rPr>
          <w:rFonts w:ascii="Times New Roman" w:hAnsi="Times New Roman" w:cs="Times New Roman"/>
          <w:sz w:val="24"/>
          <w:szCs w:val="24"/>
        </w:rPr>
        <w:t>) at</w:t>
      </w:r>
      <w:r w:rsidRPr="007C5A7F">
        <w:rPr>
          <w:rFonts w:ascii="Times New Roman" w:hAnsi="Times New Roman" w:cs="Times New Roman"/>
          <w:sz w:val="24"/>
          <w:szCs w:val="24"/>
        </w:rPr>
        <w:t xml:space="preserve"> 23D-G.”</w:t>
      </w:r>
    </w:p>
    <w:p w:rsidR="00025249" w:rsidRPr="007C5A7F" w:rsidRDefault="00025249" w:rsidP="00025249">
      <w:pPr>
        <w:spacing w:line="240" w:lineRule="auto"/>
        <w:ind w:left="720"/>
        <w:jc w:val="both"/>
        <w:rPr>
          <w:rFonts w:ascii="Times New Roman" w:hAnsi="Times New Roman" w:cs="Times New Roman"/>
          <w:sz w:val="24"/>
          <w:szCs w:val="24"/>
        </w:rPr>
      </w:pPr>
    </w:p>
    <w:p w:rsidR="00634C5E" w:rsidRPr="007C5A7F" w:rsidRDefault="00634C5E" w:rsidP="0006259A">
      <w:pPr>
        <w:ind w:firstLine="1440"/>
        <w:jc w:val="both"/>
        <w:rPr>
          <w:rFonts w:ascii="Times New Roman" w:hAnsi="Times New Roman" w:cs="Times New Roman"/>
          <w:sz w:val="24"/>
          <w:szCs w:val="24"/>
        </w:rPr>
      </w:pPr>
      <w:r w:rsidRPr="007C5A7F">
        <w:rPr>
          <w:rFonts w:ascii="Times New Roman" w:hAnsi="Times New Roman" w:cs="Times New Roman"/>
          <w:sz w:val="24"/>
          <w:szCs w:val="24"/>
        </w:rPr>
        <w:t xml:space="preserve">In his heads of argument, </w:t>
      </w:r>
      <w:r w:rsidR="00C66393" w:rsidRPr="007C5A7F">
        <w:rPr>
          <w:rFonts w:ascii="Times New Roman" w:hAnsi="Times New Roman" w:cs="Times New Roman"/>
          <w:sz w:val="24"/>
          <w:szCs w:val="24"/>
        </w:rPr>
        <w:t>Mr</w:t>
      </w:r>
      <w:r w:rsidR="00C66393" w:rsidRPr="007C5A7F">
        <w:rPr>
          <w:rFonts w:ascii="Times New Roman" w:hAnsi="Times New Roman" w:cs="Times New Roman"/>
          <w:i/>
          <w:sz w:val="24"/>
          <w:szCs w:val="24"/>
        </w:rPr>
        <w:t xml:space="preserve"> </w:t>
      </w:r>
      <w:proofErr w:type="spellStart"/>
      <w:r w:rsidR="00C66393" w:rsidRPr="007C5A7F">
        <w:rPr>
          <w:rFonts w:ascii="Times New Roman" w:hAnsi="Times New Roman" w:cs="Times New Roman"/>
          <w:i/>
          <w:sz w:val="24"/>
          <w:szCs w:val="24"/>
        </w:rPr>
        <w:t>Uriri</w:t>
      </w:r>
      <w:proofErr w:type="spellEnd"/>
      <w:r w:rsidRPr="007C5A7F">
        <w:rPr>
          <w:rFonts w:ascii="Times New Roman" w:hAnsi="Times New Roman" w:cs="Times New Roman"/>
          <w:sz w:val="24"/>
          <w:szCs w:val="24"/>
        </w:rPr>
        <w:t xml:space="preserve"> for the</w:t>
      </w:r>
      <w:r w:rsidR="00E72756" w:rsidRPr="007C5A7F">
        <w:rPr>
          <w:rFonts w:ascii="Times New Roman" w:hAnsi="Times New Roman" w:cs="Times New Roman"/>
          <w:sz w:val="24"/>
          <w:szCs w:val="24"/>
        </w:rPr>
        <w:t xml:space="preserve"> fourth</w:t>
      </w:r>
      <w:r w:rsidRPr="007C5A7F">
        <w:rPr>
          <w:rFonts w:ascii="Times New Roman" w:hAnsi="Times New Roman" w:cs="Times New Roman"/>
          <w:sz w:val="24"/>
          <w:szCs w:val="24"/>
        </w:rPr>
        <w:t xml:space="preserve"> respondent </w:t>
      </w:r>
      <w:r w:rsidR="00C66393" w:rsidRPr="007C5A7F">
        <w:rPr>
          <w:rFonts w:ascii="Times New Roman" w:hAnsi="Times New Roman" w:cs="Times New Roman"/>
          <w:sz w:val="24"/>
          <w:szCs w:val="24"/>
        </w:rPr>
        <w:t>countere</w:t>
      </w:r>
      <w:r w:rsidRPr="007C5A7F">
        <w:rPr>
          <w:rFonts w:ascii="Times New Roman" w:hAnsi="Times New Roman" w:cs="Times New Roman"/>
          <w:sz w:val="24"/>
          <w:szCs w:val="24"/>
        </w:rPr>
        <w:t>d that the raising of the alleged defect of the counter-application at this stage of the proceedings wa</w:t>
      </w:r>
      <w:r w:rsidR="006804EA" w:rsidRPr="007C5A7F">
        <w:rPr>
          <w:rFonts w:ascii="Times New Roman" w:hAnsi="Times New Roman" w:cs="Times New Roman"/>
          <w:sz w:val="24"/>
          <w:szCs w:val="24"/>
        </w:rPr>
        <w:t>s prejudicial to the</w:t>
      </w:r>
      <w:r w:rsidR="00E72756" w:rsidRPr="007C5A7F">
        <w:rPr>
          <w:rFonts w:ascii="Times New Roman" w:hAnsi="Times New Roman" w:cs="Times New Roman"/>
          <w:sz w:val="24"/>
          <w:szCs w:val="24"/>
        </w:rPr>
        <w:t xml:space="preserve"> fourth</w:t>
      </w:r>
      <w:r w:rsidR="006804EA" w:rsidRPr="007C5A7F">
        <w:rPr>
          <w:rFonts w:ascii="Times New Roman" w:hAnsi="Times New Roman" w:cs="Times New Roman"/>
          <w:sz w:val="24"/>
          <w:szCs w:val="24"/>
        </w:rPr>
        <w:t xml:space="preserve"> respondent.  Before us</w:t>
      </w:r>
      <w:r w:rsidR="00C66393" w:rsidRPr="007C5A7F">
        <w:rPr>
          <w:rFonts w:ascii="Times New Roman" w:hAnsi="Times New Roman" w:cs="Times New Roman"/>
          <w:sz w:val="24"/>
          <w:szCs w:val="24"/>
        </w:rPr>
        <w:t xml:space="preserve"> however</w:t>
      </w:r>
      <w:r w:rsidR="006804EA" w:rsidRPr="007C5A7F">
        <w:rPr>
          <w:rFonts w:ascii="Times New Roman" w:hAnsi="Times New Roman" w:cs="Times New Roman"/>
          <w:sz w:val="24"/>
          <w:szCs w:val="24"/>
        </w:rPr>
        <w:t>,</w:t>
      </w:r>
      <w:r w:rsidRPr="007C5A7F">
        <w:rPr>
          <w:rFonts w:ascii="Times New Roman" w:hAnsi="Times New Roman" w:cs="Times New Roman"/>
          <w:sz w:val="24"/>
          <w:szCs w:val="24"/>
        </w:rPr>
        <w:t xml:space="preserve"> this </w:t>
      </w:r>
      <w:r w:rsidR="006B6A12" w:rsidRPr="007C5A7F">
        <w:rPr>
          <w:rFonts w:ascii="Times New Roman" w:hAnsi="Times New Roman" w:cs="Times New Roman"/>
          <w:sz w:val="24"/>
          <w:szCs w:val="24"/>
        </w:rPr>
        <w:t xml:space="preserve">aspect of the </w:t>
      </w:r>
      <w:r w:rsidR="006804EA" w:rsidRPr="007C5A7F">
        <w:rPr>
          <w:rFonts w:ascii="Times New Roman" w:hAnsi="Times New Roman" w:cs="Times New Roman"/>
          <w:sz w:val="24"/>
          <w:szCs w:val="24"/>
        </w:rPr>
        <w:t>argument was not persisted with, and it was clear that counsel was content to have the issue argued and determin</w:t>
      </w:r>
      <w:r w:rsidR="004B4093" w:rsidRPr="007C5A7F">
        <w:rPr>
          <w:rFonts w:ascii="Times New Roman" w:hAnsi="Times New Roman" w:cs="Times New Roman"/>
          <w:sz w:val="24"/>
          <w:szCs w:val="24"/>
        </w:rPr>
        <w:t>ed for reasons that appear here</w:t>
      </w:r>
      <w:r w:rsidR="006804EA" w:rsidRPr="007C5A7F">
        <w:rPr>
          <w:rFonts w:ascii="Times New Roman" w:hAnsi="Times New Roman" w:cs="Times New Roman"/>
          <w:sz w:val="24"/>
          <w:szCs w:val="24"/>
        </w:rPr>
        <w:t>under.</w:t>
      </w:r>
      <w:r w:rsidRPr="007C5A7F">
        <w:rPr>
          <w:rFonts w:ascii="Times New Roman" w:hAnsi="Times New Roman" w:cs="Times New Roman"/>
          <w:sz w:val="24"/>
          <w:szCs w:val="24"/>
        </w:rPr>
        <w:t xml:space="preserve"> </w:t>
      </w:r>
    </w:p>
    <w:p w:rsidR="0006259A" w:rsidRPr="007C5A7F" w:rsidRDefault="0006259A" w:rsidP="0006259A">
      <w:pPr>
        <w:spacing w:line="240" w:lineRule="auto"/>
        <w:ind w:firstLine="1440"/>
        <w:jc w:val="both"/>
        <w:rPr>
          <w:rFonts w:ascii="Times New Roman" w:hAnsi="Times New Roman" w:cs="Times New Roman"/>
          <w:sz w:val="24"/>
          <w:szCs w:val="24"/>
        </w:rPr>
      </w:pPr>
    </w:p>
    <w:p w:rsidR="00E72756" w:rsidRPr="007C5A7F" w:rsidRDefault="00634C5E" w:rsidP="0006259A">
      <w:pPr>
        <w:ind w:firstLine="1440"/>
        <w:jc w:val="both"/>
        <w:rPr>
          <w:rFonts w:ascii="Times New Roman" w:hAnsi="Times New Roman" w:cs="Times New Roman"/>
          <w:sz w:val="24"/>
          <w:szCs w:val="24"/>
        </w:rPr>
      </w:pPr>
      <w:r w:rsidRPr="007C5A7F">
        <w:rPr>
          <w:rFonts w:ascii="Times New Roman" w:hAnsi="Times New Roman" w:cs="Times New Roman"/>
          <w:sz w:val="24"/>
          <w:szCs w:val="24"/>
        </w:rPr>
        <w:t>As submitted by counsel for both parties, this was the first time for suc</w:t>
      </w:r>
      <w:r w:rsidR="0006259A" w:rsidRPr="007C5A7F">
        <w:rPr>
          <w:rFonts w:ascii="Times New Roman" w:hAnsi="Times New Roman" w:cs="Times New Roman"/>
          <w:sz w:val="24"/>
          <w:szCs w:val="24"/>
        </w:rPr>
        <w:t>h an issue to come before this C</w:t>
      </w:r>
      <w:r w:rsidRPr="007C5A7F">
        <w:rPr>
          <w:rFonts w:ascii="Times New Roman" w:hAnsi="Times New Roman" w:cs="Times New Roman"/>
          <w:sz w:val="24"/>
          <w:szCs w:val="24"/>
        </w:rPr>
        <w:t>ourt. Whilst the appellant argued that the counter-application was fatally defective for want of form, the</w:t>
      </w:r>
      <w:r w:rsidR="00E72756" w:rsidRPr="007C5A7F">
        <w:rPr>
          <w:rFonts w:ascii="Times New Roman" w:hAnsi="Times New Roman" w:cs="Times New Roman"/>
          <w:sz w:val="24"/>
          <w:szCs w:val="24"/>
        </w:rPr>
        <w:t xml:space="preserve"> fourth</w:t>
      </w:r>
      <w:r w:rsidRPr="007C5A7F">
        <w:rPr>
          <w:rFonts w:ascii="Times New Roman" w:hAnsi="Times New Roman" w:cs="Times New Roman"/>
          <w:sz w:val="24"/>
          <w:szCs w:val="24"/>
        </w:rPr>
        <w:t xml:space="preserve"> respondent submitted that this </w:t>
      </w:r>
      <w:r w:rsidR="0006259A" w:rsidRPr="007C5A7F">
        <w:rPr>
          <w:rFonts w:ascii="Times New Roman" w:hAnsi="Times New Roman" w:cs="Times New Roman"/>
          <w:sz w:val="24"/>
          <w:szCs w:val="24"/>
        </w:rPr>
        <w:t>C</w:t>
      </w:r>
      <w:r w:rsidRPr="007C5A7F">
        <w:rPr>
          <w:rFonts w:ascii="Times New Roman" w:hAnsi="Times New Roman" w:cs="Times New Roman"/>
          <w:sz w:val="24"/>
          <w:szCs w:val="24"/>
        </w:rPr>
        <w:t xml:space="preserve">ourt should not allow form to prevail over substance, and the application should be found to have been properly brought before the court </w:t>
      </w:r>
      <w:r w:rsidRPr="007C5A7F">
        <w:rPr>
          <w:rFonts w:ascii="Times New Roman" w:hAnsi="Times New Roman" w:cs="Times New Roman"/>
          <w:i/>
          <w:sz w:val="24"/>
          <w:szCs w:val="24"/>
        </w:rPr>
        <w:t>a quo</w:t>
      </w:r>
      <w:r w:rsidRPr="007C5A7F">
        <w:rPr>
          <w:rFonts w:ascii="Times New Roman" w:hAnsi="Times New Roman" w:cs="Times New Roman"/>
          <w:sz w:val="24"/>
          <w:szCs w:val="24"/>
        </w:rPr>
        <w:t>.</w:t>
      </w:r>
    </w:p>
    <w:p w:rsidR="00A70307" w:rsidRPr="007C5A7F" w:rsidRDefault="00634C5E" w:rsidP="00E72756">
      <w:pPr>
        <w:spacing w:line="240" w:lineRule="auto"/>
        <w:ind w:firstLine="1440"/>
        <w:jc w:val="both"/>
        <w:rPr>
          <w:rFonts w:ascii="Times New Roman" w:hAnsi="Times New Roman" w:cs="Times New Roman"/>
          <w:sz w:val="24"/>
          <w:szCs w:val="24"/>
        </w:rPr>
      </w:pPr>
      <w:r w:rsidRPr="007C5A7F">
        <w:rPr>
          <w:rFonts w:ascii="Times New Roman" w:hAnsi="Times New Roman" w:cs="Times New Roman"/>
          <w:sz w:val="24"/>
          <w:szCs w:val="24"/>
        </w:rPr>
        <w:t xml:space="preserve"> </w:t>
      </w:r>
    </w:p>
    <w:p w:rsidR="00A70307" w:rsidRPr="007C5A7F" w:rsidRDefault="00A70307" w:rsidP="0006259A">
      <w:pPr>
        <w:spacing w:after="0"/>
        <w:ind w:firstLine="1440"/>
        <w:jc w:val="both"/>
        <w:rPr>
          <w:rFonts w:ascii="Times New Roman" w:hAnsi="Times New Roman" w:cs="Times New Roman"/>
          <w:sz w:val="24"/>
          <w:szCs w:val="24"/>
        </w:rPr>
      </w:pPr>
      <w:r w:rsidRPr="007C5A7F">
        <w:rPr>
          <w:rFonts w:ascii="Times New Roman" w:hAnsi="Times New Roman" w:cs="Times New Roman"/>
          <w:sz w:val="24"/>
          <w:szCs w:val="24"/>
        </w:rPr>
        <w:t>The rules of the High Court provide for the filing of counter-applications in r</w:t>
      </w:r>
      <w:r w:rsidR="00064836" w:rsidRPr="007C5A7F">
        <w:rPr>
          <w:rFonts w:ascii="Times New Roman" w:hAnsi="Times New Roman" w:cs="Times New Roman"/>
          <w:sz w:val="24"/>
          <w:szCs w:val="24"/>
        </w:rPr>
        <w:t xml:space="preserve"> </w:t>
      </w:r>
      <w:r w:rsidRPr="007C5A7F">
        <w:rPr>
          <w:rFonts w:ascii="Times New Roman" w:hAnsi="Times New Roman" w:cs="Times New Roman"/>
          <w:sz w:val="24"/>
          <w:szCs w:val="24"/>
        </w:rPr>
        <w:t>229A which provides:</w:t>
      </w:r>
    </w:p>
    <w:p w:rsidR="00A70307" w:rsidRPr="007C5A7F" w:rsidRDefault="0006259A" w:rsidP="0006259A">
      <w:pPr>
        <w:spacing w:after="0"/>
        <w:ind w:firstLine="720"/>
        <w:jc w:val="both"/>
        <w:rPr>
          <w:rFonts w:ascii="Times New Roman" w:hAnsi="Times New Roman" w:cs="Times New Roman"/>
          <w:b/>
          <w:bCs/>
          <w:i/>
          <w:iCs/>
          <w:sz w:val="24"/>
          <w:szCs w:val="24"/>
        </w:rPr>
      </w:pPr>
      <w:r w:rsidRPr="007C5A7F">
        <w:rPr>
          <w:rFonts w:ascii="Times New Roman" w:hAnsi="Times New Roman" w:cs="Times New Roman"/>
          <w:b/>
          <w:bCs/>
          <w:i/>
          <w:iCs/>
          <w:sz w:val="24"/>
          <w:szCs w:val="24"/>
        </w:rPr>
        <w:t>“</w:t>
      </w:r>
      <w:r w:rsidR="00A70307" w:rsidRPr="007C5A7F">
        <w:rPr>
          <w:rFonts w:ascii="Times New Roman" w:hAnsi="Times New Roman" w:cs="Times New Roman"/>
          <w:b/>
          <w:bCs/>
          <w:i/>
          <w:iCs/>
          <w:sz w:val="24"/>
          <w:szCs w:val="24"/>
        </w:rPr>
        <w:t>229A. Counter-applications</w:t>
      </w:r>
    </w:p>
    <w:p w:rsidR="00A70307" w:rsidRPr="007C5A7F" w:rsidRDefault="00A70307" w:rsidP="0006259A">
      <w:pPr>
        <w:spacing w:line="240" w:lineRule="auto"/>
        <w:ind w:left="1350" w:hanging="630"/>
        <w:jc w:val="both"/>
        <w:rPr>
          <w:rFonts w:ascii="Times New Roman" w:hAnsi="Times New Roman" w:cs="Times New Roman"/>
          <w:sz w:val="24"/>
          <w:szCs w:val="24"/>
        </w:rPr>
      </w:pPr>
      <w:r w:rsidRPr="007C5A7F">
        <w:rPr>
          <w:rFonts w:ascii="Times New Roman" w:hAnsi="Times New Roman" w:cs="Times New Roman"/>
          <w:sz w:val="24"/>
          <w:szCs w:val="24"/>
        </w:rPr>
        <w:t xml:space="preserve">(1) Where a respondent files a notice of opposition and opposing affidavit, he may file, together with those documents, a counter-application against the applicant in the form, </w:t>
      </w:r>
      <w:r w:rsidRPr="007C5A7F">
        <w:rPr>
          <w:rFonts w:ascii="Times New Roman" w:hAnsi="Times New Roman" w:cs="Times New Roman"/>
          <w:i/>
          <w:iCs/>
          <w:sz w:val="24"/>
          <w:szCs w:val="24"/>
        </w:rPr>
        <w:t>mutatis mutandis</w:t>
      </w:r>
      <w:r w:rsidRPr="007C5A7F">
        <w:rPr>
          <w:rFonts w:ascii="Times New Roman" w:hAnsi="Times New Roman" w:cs="Times New Roman"/>
          <w:sz w:val="24"/>
          <w:szCs w:val="24"/>
        </w:rPr>
        <w:t xml:space="preserve">, of a court application or a chamber application, whichever is </w:t>
      </w:r>
      <w:proofErr w:type="gramStart"/>
      <w:r w:rsidRPr="007C5A7F">
        <w:rPr>
          <w:rFonts w:ascii="Times New Roman" w:hAnsi="Times New Roman" w:cs="Times New Roman"/>
          <w:sz w:val="24"/>
          <w:szCs w:val="24"/>
        </w:rPr>
        <w:t>appropriate.</w:t>
      </w:r>
      <w:proofErr w:type="gramEnd"/>
    </w:p>
    <w:p w:rsidR="00A70307" w:rsidRPr="007C5A7F" w:rsidRDefault="00A70307" w:rsidP="0006259A">
      <w:pPr>
        <w:spacing w:line="240" w:lineRule="auto"/>
        <w:ind w:left="1440" w:hanging="720"/>
        <w:jc w:val="both"/>
        <w:rPr>
          <w:rFonts w:ascii="Times New Roman" w:hAnsi="Times New Roman" w:cs="Times New Roman"/>
          <w:sz w:val="24"/>
          <w:szCs w:val="24"/>
        </w:rPr>
      </w:pPr>
      <w:r w:rsidRPr="007C5A7F">
        <w:rPr>
          <w:rFonts w:ascii="Times New Roman" w:hAnsi="Times New Roman" w:cs="Times New Roman"/>
          <w:sz w:val="24"/>
          <w:szCs w:val="24"/>
        </w:rPr>
        <w:t xml:space="preserve">(2) This Order shall apply, </w:t>
      </w:r>
      <w:r w:rsidRPr="007C5A7F">
        <w:rPr>
          <w:rFonts w:ascii="Times New Roman" w:hAnsi="Times New Roman" w:cs="Times New Roman"/>
          <w:i/>
          <w:iCs/>
          <w:sz w:val="24"/>
          <w:szCs w:val="24"/>
        </w:rPr>
        <w:t>mutatis mutandis</w:t>
      </w:r>
      <w:r w:rsidRPr="007C5A7F">
        <w:rPr>
          <w:rFonts w:ascii="Times New Roman" w:hAnsi="Times New Roman" w:cs="Times New Roman"/>
          <w:sz w:val="24"/>
          <w:szCs w:val="24"/>
        </w:rPr>
        <w:t xml:space="preserve">, to a counter-application under </w:t>
      </w:r>
      <w:proofErr w:type="spellStart"/>
      <w:r w:rsidRPr="007C5A7F">
        <w:rPr>
          <w:rFonts w:ascii="Times New Roman" w:hAnsi="Times New Roman" w:cs="Times New Roman"/>
          <w:sz w:val="24"/>
          <w:szCs w:val="24"/>
        </w:rPr>
        <w:t>subrule</w:t>
      </w:r>
      <w:proofErr w:type="spellEnd"/>
      <w:r w:rsidRPr="007C5A7F">
        <w:rPr>
          <w:rFonts w:ascii="Times New Roman" w:hAnsi="Times New Roman" w:cs="Times New Roman"/>
          <w:sz w:val="24"/>
          <w:szCs w:val="24"/>
        </w:rPr>
        <w:t xml:space="preserve"> (1) as though it </w:t>
      </w:r>
      <w:proofErr w:type="gramStart"/>
      <w:r w:rsidRPr="007C5A7F">
        <w:rPr>
          <w:rFonts w:ascii="Times New Roman" w:hAnsi="Times New Roman" w:cs="Times New Roman"/>
          <w:sz w:val="24"/>
          <w:szCs w:val="24"/>
        </w:rPr>
        <w:t>were</w:t>
      </w:r>
      <w:proofErr w:type="gramEnd"/>
      <w:r w:rsidRPr="007C5A7F">
        <w:rPr>
          <w:rFonts w:ascii="Times New Roman" w:hAnsi="Times New Roman" w:cs="Times New Roman"/>
          <w:sz w:val="24"/>
          <w:szCs w:val="24"/>
        </w:rPr>
        <w:t xml:space="preserve"> a court application or a chamber application, as the case may be, and subject to </w:t>
      </w:r>
      <w:proofErr w:type="spellStart"/>
      <w:r w:rsidRPr="007C5A7F">
        <w:rPr>
          <w:rFonts w:ascii="Times New Roman" w:hAnsi="Times New Roman" w:cs="Times New Roman"/>
          <w:sz w:val="24"/>
          <w:szCs w:val="24"/>
        </w:rPr>
        <w:t>subrule</w:t>
      </w:r>
      <w:proofErr w:type="spellEnd"/>
      <w:r w:rsidRPr="007C5A7F">
        <w:rPr>
          <w:rFonts w:ascii="Times New Roman" w:hAnsi="Times New Roman" w:cs="Times New Roman"/>
          <w:sz w:val="24"/>
          <w:szCs w:val="24"/>
        </w:rPr>
        <w:t xml:space="preserve"> (3) and (4), it shall be dealt with at the same time as the principal application unless the court or a judge orders otherwise.</w:t>
      </w:r>
    </w:p>
    <w:p w:rsidR="00A70307" w:rsidRPr="007C5A7F" w:rsidRDefault="00A70307" w:rsidP="0006259A">
      <w:pPr>
        <w:spacing w:line="240" w:lineRule="auto"/>
        <w:ind w:left="1350" w:hanging="630"/>
        <w:jc w:val="both"/>
        <w:rPr>
          <w:rFonts w:ascii="Times New Roman" w:hAnsi="Times New Roman" w:cs="Times New Roman"/>
          <w:sz w:val="24"/>
          <w:szCs w:val="24"/>
        </w:rPr>
      </w:pPr>
      <w:r w:rsidRPr="007C5A7F">
        <w:rPr>
          <w:rFonts w:ascii="Times New Roman" w:hAnsi="Times New Roman" w:cs="Times New Roman"/>
          <w:sz w:val="24"/>
          <w:szCs w:val="24"/>
        </w:rPr>
        <w:t xml:space="preserve">(3) If, in any application in which the respondent files a counter-application under </w:t>
      </w:r>
      <w:proofErr w:type="spellStart"/>
      <w:r w:rsidRPr="007C5A7F">
        <w:rPr>
          <w:rFonts w:ascii="Times New Roman" w:hAnsi="Times New Roman" w:cs="Times New Roman"/>
          <w:sz w:val="24"/>
          <w:szCs w:val="24"/>
        </w:rPr>
        <w:t>subrule</w:t>
      </w:r>
      <w:proofErr w:type="spellEnd"/>
      <w:r w:rsidRPr="007C5A7F">
        <w:rPr>
          <w:rFonts w:ascii="Times New Roman" w:hAnsi="Times New Roman" w:cs="Times New Roman"/>
          <w:sz w:val="24"/>
          <w:szCs w:val="24"/>
        </w:rPr>
        <w:t xml:space="preserve"> (1), the application is stayed, discontinued or dismissed, the counter-application may nevertheless be proceeded with.</w:t>
      </w:r>
    </w:p>
    <w:p w:rsidR="00A70307" w:rsidRPr="007C5A7F" w:rsidRDefault="00A70307" w:rsidP="00E72756">
      <w:pPr>
        <w:spacing w:line="240" w:lineRule="auto"/>
        <w:ind w:left="1350" w:hanging="630"/>
        <w:jc w:val="both"/>
        <w:rPr>
          <w:rFonts w:ascii="Times New Roman" w:hAnsi="Times New Roman" w:cs="Times New Roman"/>
          <w:sz w:val="24"/>
          <w:szCs w:val="24"/>
        </w:rPr>
      </w:pPr>
      <w:r w:rsidRPr="007C5A7F">
        <w:rPr>
          <w:rFonts w:ascii="Times New Roman" w:hAnsi="Times New Roman" w:cs="Times New Roman"/>
          <w:sz w:val="24"/>
          <w:szCs w:val="24"/>
        </w:rPr>
        <w:lastRenderedPageBreak/>
        <w:t xml:space="preserve">(4) </w:t>
      </w:r>
      <w:proofErr w:type="gramStart"/>
      <w:r w:rsidRPr="007C5A7F">
        <w:rPr>
          <w:rFonts w:ascii="Times New Roman" w:hAnsi="Times New Roman" w:cs="Times New Roman"/>
          <w:sz w:val="24"/>
          <w:szCs w:val="24"/>
        </w:rPr>
        <w:t>The</w:t>
      </w:r>
      <w:proofErr w:type="gramEnd"/>
      <w:r w:rsidRPr="007C5A7F">
        <w:rPr>
          <w:rFonts w:ascii="Times New Roman" w:hAnsi="Times New Roman" w:cs="Times New Roman"/>
          <w:sz w:val="24"/>
          <w:szCs w:val="24"/>
        </w:rPr>
        <w:t xml:space="preserve"> court or a judge may for good cause shown order an application and a counter-application filed under </w:t>
      </w:r>
      <w:r w:rsidR="006804EA" w:rsidRPr="007C5A7F">
        <w:rPr>
          <w:rFonts w:ascii="Times New Roman" w:hAnsi="Times New Roman" w:cs="Times New Roman"/>
          <w:sz w:val="24"/>
          <w:szCs w:val="24"/>
        </w:rPr>
        <w:t>sub rule</w:t>
      </w:r>
      <w:r w:rsidRPr="007C5A7F">
        <w:rPr>
          <w:rFonts w:ascii="Times New Roman" w:hAnsi="Times New Roman" w:cs="Times New Roman"/>
          <w:sz w:val="24"/>
          <w:szCs w:val="24"/>
        </w:rPr>
        <w:t xml:space="preserve"> (1) to be heard separately.”  </w:t>
      </w:r>
    </w:p>
    <w:p w:rsidR="00A70307" w:rsidRPr="007C5A7F" w:rsidRDefault="00A70307" w:rsidP="00A70307">
      <w:pPr>
        <w:ind w:firstLine="720"/>
        <w:jc w:val="both"/>
        <w:rPr>
          <w:rFonts w:ascii="Times New Roman" w:hAnsi="Times New Roman" w:cs="Times New Roman"/>
          <w:sz w:val="24"/>
          <w:szCs w:val="24"/>
        </w:rPr>
      </w:pPr>
      <w:r w:rsidRPr="007C5A7F">
        <w:rPr>
          <w:rFonts w:ascii="Times New Roman" w:hAnsi="Times New Roman" w:cs="Times New Roman"/>
          <w:sz w:val="24"/>
          <w:szCs w:val="24"/>
        </w:rPr>
        <w:t xml:space="preserve"> </w:t>
      </w:r>
    </w:p>
    <w:p w:rsidR="00CB3D91" w:rsidRPr="007C5A7F" w:rsidRDefault="006804EA" w:rsidP="0006259A">
      <w:pPr>
        <w:ind w:firstLine="1440"/>
        <w:jc w:val="both"/>
        <w:rPr>
          <w:rFonts w:ascii="Times New Roman" w:hAnsi="Times New Roman" w:cs="Times New Roman"/>
          <w:sz w:val="24"/>
          <w:szCs w:val="24"/>
        </w:rPr>
      </w:pPr>
      <w:r w:rsidRPr="007C5A7F">
        <w:rPr>
          <w:rFonts w:ascii="Times New Roman" w:hAnsi="Times New Roman" w:cs="Times New Roman"/>
          <w:sz w:val="24"/>
          <w:szCs w:val="24"/>
        </w:rPr>
        <w:t xml:space="preserve">A number of applications were filed before the court </w:t>
      </w:r>
      <w:r w:rsidRPr="007C5A7F">
        <w:rPr>
          <w:rFonts w:ascii="Times New Roman" w:hAnsi="Times New Roman" w:cs="Times New Roman"/>
          <w:i/>
          <w:sz w:val="24"/>
          <w:szCs w:val="24"/>
        </w:rPr>
        <w:t>a quo</w:t>
      </w:r>
      <w:r w:rsidRPr="007C5A7F">
        <w:rPr>
          <w:rFonts w:ascii="Times New Roman" w:hAnsi="Times New Roman" w:cs="Times New Roman"/>
          <w:sz w:val="24"/>
          <w:szCs w:val="24"/>
        </w:rPr>
        <w:t xml:space="preserve"> but for purposes of resolution of this appeal the only pertinent ones are the following</w:t>
      </w:r>
      <w:r w:rsidR="00A70307" w:rsidRPr="007C5A7F">
        <w:rPr>
          <w:rFonts w:ascii="Times New Roman" w:hAnsi="Times New Roman" w:cs="Times New Roman"/>
          <w:sz w:val="24"/>
          <w:szCs w:val="24"/>
        </w:rPr>
        <w:t xml:space="preserve">, </w:t>
      </w:r>
      <w:proofErr w:type="spellStart"/>
      <w:r w:rsidR="00A70307" w:rsidRPr="007C5A7F">
        <w:rPr>
          <w:rFonts w:ascii="Times New Roman" w:hAnsi="Times New Roman" w:cs="Times New Roman"/>
          <w:sz w:val="24"/>
          <w:szCs w:val="24"/>
        </w:rPr>
        <w:t>viz</w:t>
      </w:r>
      <w:proofErr w:type="spellEnd"/>
      <w:r w:rsidR="00A70307" w:rsidRPr="007C5A7F">
        <w:rPr>
          <w:rFonts w:ascii="Times New Roman" w:hAnsi="Times New Roman" w:cs="Times New Roman"/>
          <w:sz w:val="24"/>
          <w:szCs w:val="24"/>
        </w:rPr>
        <w:t xml:space="preserve">; HC 8068/01, HC 10464/02, HC 5426/02 and HC 192/02. </w:t>
      </w:r>
      <w:r w:rsidR="0006259A" w:rsidRPr="007C5A7F">
        <w:rPr>
          <w:rFonts w:ascii="Times New Roman" w:hAnsi="Times New Roman" w:cs="Times New Roman"/>
          <w:sz w:val="24"/>
          <w:szCs w:val="24"/>
        </w:rPr>
        <w:t xml:space="preserve"> </w:t>
      </w:r>
      <w:r w:rsidR="00A70307" w:rsidRPr="007C5A7F">
        <w:rPr>
          <w:rFonts w:ascii="Times New Roman" w:hAnsi="Times New Roman" w:cs="Times New Roman"/>
          <w:sz w:val="24"/>
          <w:szCs w:val="24"/>
        </w:rPr>
        <w:t xml:space="preserve">The first is the urgent application filed by the first and </w:t>
      </w:r>
      <w:r w:rsidR="0006259A" w:rsidRPr="007C5A7F">
        <w:rPr>
          <w:rFonts w:ascii="Times New Roman" w:hAnsi="Times New Roman" w:cs="Times New Roman"/>
          <w:sz w:val="24"/>
          <w:szCs w:val="24"/>
        </w:rPr>
        <w:t xml:space="preserve">the </w:t>
      </w:r>
      <w:r w:rsidR="00A70307" w:rsidRPr="007C5A7F">
        <w:rPr>
          <w:rFonts w:ascii="Times New Roman" w:hAnsi="Times New Roman" w:cs="Times New Roman"/>
          <w:sz w:val="24"/>
          <w:szCs w:val="24"/>
        </w:rPr>
        <w:t xml:space="preserve">second respondent for an interdict against transfer of the property to the fourth respondent. </w:t>
      </w:r>
      <w:r w:rsidR="0006259A" w:rsidRPr="007C5A7F">
        <w:rPr>
          <w:rFonts w:ascii="Times New Roman" w:hAnsi="Times New Roman" w:cs="Times New Roman"/>
          <w:sz w:val="24"/>
          <w:szCs w:val="24"/>
        </w:rPr>
        <w:t xml:space="preserve"> </w:t>
      </w:r>
      <w:r w:rsidR="00A70307" w:rsidRPr="007C5A7F">
        <w:rPr>
          <w:rFonts w:ascii="Times New Roman" w:hAnsi="Times New Roman" w:cs="Times New Roman"/>
          <w:sz w:val="24"/>
          <w:szCs w:val="24"/>
        </w:rPr>
        <w:t xml:space="preserve">The second is the application for rescission of judgment filed by the appellant. </w:t>
      </w:r>
      <w:r w:rsidR="0006259A" w:rsidRPr="007C5A7F">
        <w:rPr>
          <w:rFonts w:ascii="Times New Roman" w:hAnsi="Times New Roman" w:cs="Times New Roman"/>
          <w:sz w:val="24"/>
          <w:szCs w:val="24"/>
        </w:rPr>
        <w:t xml:space="preserve"> </w:t>
      </w:r>
      <w:r w:rsidR="00A70307" w:rsidRPr="007C5A7F">
        <w:rPr>
          <w:rFonts w:ascii="Times New Roman" w:hAnsi="Times New Roman" w:cs="Times New Roman"/>
          <w:sz w:val="24"/>
          <w:szCs w:val="24"/>
        </w:rPr>
        <w:t xml:space="preserve">The third relates to the application for joinder brought by the fourth respondent with the last being </w:t>
      </w:r>
      <w:r w:rsidR="00CB3D91" w:rsidRPr="007C5A7F">
        <w:rPr>
          <w:rFonts w:ascii="Times New Roman" w:hAnsi="Times New Roman" w:cs="Times New Roman"/>
          <w:sz w:val="24"/>
          <w:szCs w:val="24"/>
        </w:rPr>
        <w:t xml:space="preserve">filed by the appellant for the uplifting of an automatic bar for failure to file heads of argument relating to the application for an interdict. </w:t>
      </w:r>
      <w:r w:rsidR="0006259A" w:rsidRPr="007C5A7F">
        <w:rPr>
          <w:rFonts w:ascii="Times New Roman" w:hAnsi="Times New Roman" w:cs="Times New Roman"/>
          <w:sz w:val="24"/>
          <w:szCs w:val="24"/>
        </w:rPr>
        <w:t xml:space="preserve"> </w:t>
      </w:r>
      <w:r w:rsidR="00CB3D91" w:rsidRPr="007C5A7F">
        <w:rPr>
          <w:rFonts w:ascii="Times New Roman" w:hAnsi="Times New Roman" w:cs="Times New Roman"/>
          <w:sz w:val="24"/>
          <w:szCs w:val="24"/>
        </w:rPr>
        <w:t xml:space="preserve">It is to this </w:t>
      </w:r>
      <w:r w:rsidR="006B6A12" w:rsidRPr="007C5A7F">
        <w:rPr>
          <w:rFonts w:ascii="Times New Roman" w:hAnsi="Times New Roman" w:cs="Times New Roman"/>
          <w:sz w:val="24"/>
          <w:szCs w:val="24"/>
        </w:rPr>
        <w:t xml:space="preserve">last mentioned </w:t>
      </w:r>
      <w:r w:rsidR="00CB3D91" w:rsidRPr="007C5A7F">
        <w:rPr>
          <w:rFonts w:ascii="Times New Roman" w:hAnsi="Times New Roman" w:cs="Times New Roman"/>
          <w:sz w:val="24"/>
          <w:szCs w:val="24"/>
        </w:rPr>
        <w:t>application that the fourth respondent incorporated a counter-application in the notice of opposition.</w:t>
      </w:r>
    </w:p>
    <w:p w:rsidR="0006259A" w:rsidRPr="007C5A7F" w:rsidRDefault="0006259A" w:rsidP="0006259A">
      <w:pPr>
        <w:spacing w:after="0" w:line="240" w:lineRule="auto"/>
        <w:ind w:firstLine="1440"/>
        <w:jc w:val="both"/>
        <w:rPr>
          <w:rFonts w:ascii="Times New Roman" w:hAnsi="Times New Roman" w:cs="Times New Roman"/>
          <w:sz w:val="24"/>
          <w:szCs w:val="24"/>
        </w:rPr>
      </w:pPr>
    </w:p>
    <w:p w:rsidR="00FE7E37" w:rsidRPr="007C5A7F" w:rsidRDefault="00CB3D91" w:rsidP="0006259A">
      <w:pPr>
        <w:ind w:firstLine="1440"/>
        <w:jc w:val="both"/>
        <w:rPr>
          <w:rFonts w:ascii="Times New Roman" w:hAnsi="Times New Roman" w:cs="Times New Roman"/>
          <w:sz w:val="24"/>
          <w:szCs w:val="24"/>
        </w:rPr>
      </w:pPr>
      <w:r w:rsidRPr="007C5A7F">
        <w:rPr>
          <w:rFonts w:ascii="Times New Roman" w:hAnsi="Times New Roman" w:cs="Times New Roman"/>
          <w:sz w:val="24"/>
          <w:szCs w:val="24"/>
        </w:rPr>
        <w:t>A counter-application must take the form of a court application</w:t>
      </w:r>
      <w:r w:rsidR="00D3736A" w:rsidRPr="007C5A7F">
        <w:rPr>
          <w:rFonts w:ascii="Times New Roman" w:hAnsi="Times New Roman" w:cs="Times New Roman"/>
          <w:sz w:val="24"/>
          <w:szCs w:val="24"/>
        </w:rPr>
        <w:t xml:space="preserve"> and must </w:t>
      </w:r>
      <w:r w:rsidR="00270724" w:rsidRPr="007C5A7F">
        <w:rPr>
          <w:rFonts w:ascii="Times New Roman" w:hAnsi="Times New Roman" w:cs="Times New Roman"/>
          <w:sz w:val="24"/>
          <w:szCs w:val="24"/>
        </w:rPr>
        <w:t>be in Form 29. There was no such court application filed</w:t>
      </w:r>
      <w:r w:rsidR="00523E0E" w:rsidRPr="007C5A7F">
        <w:rPr>
          <w:rFonts w:ascii="Times New Roman" w:hAnsi="Times New Roman" w:cs="Times New Roman"/>
          <w:sz w:val="24"/>
          <w:szCs w:val="24"/>
        </w:rPr>
        <w:t xml:space="preserve"> by the fourth respondent</w:t>
      </w:r>
      <w:r w:rsidR="00270724" w:rsidRPr="007C5A7F">
        <w:rPr>
          <w:rFonts w:ascii="Times New Roman" w:hAnsi="Times New Roman" w:cs="Times New Roman"/>
          <w:sz w:val="24"/>
          <w:szCs w:val="24"/>
        </w:rPr>
        <w:t xml:space="preserve">. </w:t>
      </w:r>
      <w:r w:rsidR="0006259A" w:rsidRPr="007C5A7F">
        <w:rPr>
          <w:rFonts w:ascii="Times New Roman" w:hAnsi="Times New Roman" w:cs="Times New Roman"/>
          <w:sz w:val="24"/>
          <w:szCs w:val="24"/>
        </w:rPr>
        <w:t xml:space="preserve"> </w:t>
      </w:r>
      <w:r w:rsidR="00270724" w:rsidRPr="007C5A7F">
        <w:rPr>
          <w:rFonts w:ascii="Times New Roman" w:hAnsi="Times New Roman" w:cs="Times New Roman"/>
          <w:sz w:val="24"/>
          <w:szCs w:val="24"/>
        </w:rPr>
        <w:t>Instead what was filed was an affidavit. Again, contrary to the rules</w:t>
      </w:r>
      <w:r w:rsidR="00E72756" w:rsidRPr="007C5A7F">
        <w:rPr>
          <w:rFonts w:ascii="Times New Roman" w:hAnsi="Times New Roman" w:cs="Times New Roman"/>
          <w:sz w:val="24"/>
          <w:szCs w:val="24"/>
        </w:rPr>
        <w:t xml:space="preserve"> of court</w:t>
      </w:r>
      <w:r w:rsidR="00270724" w:rsidRPr="007C5A7F">
        <w:rPr>
          <w:rFonts w:ascii="Times New Roman" w:hAnsi="Times New Roman" w:cs="Times New Roman"/>
          <w:sz w:val="24"/>
          <w:szCs w:val="24"/>
        </w:rPr>
        <w:t xml:space="preserve"> the affidavit was not in proper form. The fourth respondent filed an opposing affidavit in which reference was made</w:t>
      </w:r>
      <w:r w:rsidR="00FE7E37" w:rsidRPr="007C5A7F">
        <w:rPr>
          <w:rFonts w:ascii="Times New Roman" w:hAnsi="Times New Roman" w:cs="Times New Roman"/>
          <w:sz w:val="24"/>
          <w:szCs w:val="24"/>
        </w:rPr>
        <w:t xml:space="preserve"> to a counter-application. I</w:t>
      </w:r>
      <w:r w:rsidR="00270724" w:rsidRPr="007C5A7F">
        <w:rPr>
          <w:rFonts w:ascii="Times New Roman" w:hAnsi="Times New Roman" w:cs="Times New Roman"/>
          <w:sz w:val="24"/>
          <w:szCs w:val="24"/>
        </w:rPr>
        <w:t xml:space="preserve">t was to this affidavit that a draft order was attached. </w:t>
      </w:r>
      <w:r w:rsidR="00FE7E37" w:rsidRPr="007C5A7F">
        <w:rPr>
          <w:rFonts w:ascii="Times New Roman" w:hAnsi="Times New Roman" w:cs="Times New Roman"/>
          <w:sz w:val="24"/>
          <w:szCs w:val="24"/>
        </w:rPr>
        <w:t xml:space="preserve">The rule is clear and unambiguous. </w:t>
      </w:r>
      <w:r w:rsidR="0006259A" w:rsidRPr="007C5A7F">
        <w:rPr>
          <w:rFonts w:ascii="Times New Roman" w:hAnsi="Times New Roman" w:cs="Times New Roman"/>
          <w:sz w:val="24"/>
          <w:szCs w:val="24"/>
        </w:rPr>
        <w:t xml:space="preserve"> </w:t>
      </w:r>
      <w:r w:rsidR="00FE7E37" w:rsidRPr="007C5A7F">
        <w:rPr>
          <w:rFonts w:ascii="Times New Roman" w:hAnsi="Times New Roman" w:cs="Times New Roman"/>
          <w:sz w:val="24"/>
          <w:szCs w:val="24"/>
        </w:rPr>
        <w:t xml:space="preserve">It is also peremptory in its terms and must be complied with to the letter. </w:t>
      </w:r>
      <w:r w:rsidR="0006259A" w:rsidRPr="007C5A7F">
        <w:rPr>
          <w:rFonts w:ascii="Times New Roman" w:hAnsi="Times New Roman" w:cs="Times New Roman"/>
          <w:sz w:val="24"/>
          <w:szCs w:val="24"/>
        </w:rPr>
        <w:t xml:space="preserve"> </w:t>
      </w:r>
      <w:r w:rsidR="00FE7E37" w:rsidRPr="007C5A7F">
        <w:rPr>
          <w:rFonts w:ascii="Times New Roman" w:hAnsi="Times New Roman" w:cs="Times New Roman"/>
          <w:sz w:val="24"/>
          <w:szCs w:val="24"/>
        </w:rPr>
        <w:t xml:space="preserve">In </w:t>
      </w:r>
      <w:r w:rsidR="00FE7E37" w:rsidRPr="007C5A7F">
        <w:rPr>
          <w:rFonts w:ascii="Times New Roman" w:hAnsi="Times New Roman" w:cs="Times New Roman"/>
          <w:i/>
          <w:sz w:val="24"/>
          <w:szCs w:val="24"/>
        </w:rPr>
        <w:t xml:space="preserve">Zimbabwe Open University v </w:t>
      </w:r>
      <w:proofErr w:type="spellStart"/>
      <w:r w:rsidR="00FE7E37" w:rsidRPr="007C5A7F">
        <w:rPr>
          <w:rFonts w:ascii="Times New Roman" w:hAnsi="Times New Roman" w:cs="Times New Roman"/>
          <w:i/>
          <w:sz w:val="24"/>
          <w:szCs w:val="24"/>
        </w:rPr>
        <w:t>Mazombwe</w:t>
      </w:r>
      <w:proofErr w:type="spellEnd"/>
      <w:r w:rsidR="00FE7E37" w:rsidRPr="007C5A7F">
        <w:rPr>
          <w:rFonts w:ascii="Times New Roman" w:hAnsi="Times New Roman" w:cs="Times New Roman"/>
          <w:sz w:val="24"/>
          <w:szCs w:val="24"/>
        </w:rPr>
        <w:t xml:space="preserve"> 2009 (1) ZLR 101(H), </w:t>
      </w:r>
      <w:r w:rsidR="00FE7E37" w:rsidRPr="007C5A7F">
        <w:rPr>
          <w:rFonts w:ascii="Times New Roman" w:hAnsi="Times New Roman" w:cs="Times New Roman"/>
          <w:b/>
          <w:sz w:val="24"/>
          <w:szCs w:val="24"/>
        </w:rPr>
        <w:t>HLATSWAYO J</w:t>
      </w:r>
      <w:r w:rsidR="0006259A" w:rsidRPr="007C5A7F">
        <w:rPr>
          <w:rFonts w:ascii="Times New Roman" w:hAnsi="Times New Roman" w:cs="Times New Roman"/>
          <w:b/>
          <w:sz w:val="24"/>
          <w:szCs w:val="24"/>
        </w:rPr>
        <w:t xml:space="preserve"> </w:t>
      </w:r>
      <w:r w:rsidR="00FE7E37" w:rsidRPr="007C5A7F">
        <w:rPr>
          <w:rFonts w:ascii="Times New Roman" w:hAnsi="Times New Roman" w:cs="Times New Roman"/>
          <w:sz w:val="24"/>
          <w:szCs w:val="24"/>
        </w:rPr>
        <w:t>(as he then was) stated:</w:t>
      </w:r>
    </w:p>
    <w:p w:rsidR="00FE7E37" w:rsidRPr="007C5A7F" w:rsidRDefault="00FE7E37" w:rsidP="0068539C">
      <w:pPr>
        <w:spacing w:line="240" w:lineRule="auto"/>
        <w:ind w:left="720"/>
        <w:jc w:val="both"/>
        <w:rPr>
          <w:rFonts w:ascii="Times New Roman" w:hAnsi="Times New Roman" w:cs="Times New Roman"/>
          <w:sz w:val="24"/>
          <w:szCs w:val="24"/>
        </w:rPr>
      </w:pPr>
      <w:r w:rsidRPr="007C5A7F">
        <w:rPr>
          <w:rFonts w:ascii="Times New Roman" w:hAnsi="Times New Roman" w:cs="Times New Roman"/>
          <w:sz w:val="24"/>
          <w:szCs w:val="24"/>
        </w:rPr>
        <w:t>“Rule 230</w:t>
      </w:r>
      <w:r w:rsidR="0006259A" w:rsidRPr="007C5A7F">
        <w:rPr>
          <w:rFonts w:ascii="Times New Roman" w:hAnsi="Times New Roman" w:cs="Times New Roman"/>
          <w:sz w:val="24"/>
          <w:szCs w:val="24"/>
        </w:rPr>
        <w:t xml:space="preserve"> of the High Court of Zimbabwe Rules, RGN 1047/1971 as amended prescribes in mandatory terms that a court application shall be made in Form No. 29 or where it is ex parte</w:t>
      </w:r>
      <w:r w:rsidR="00474BFB" w:rsidRPr="007C5A7F">
        <w:rPr>
          <w:rFonts w:ascii="Times New Roman" w:hAnsi="Times New Roman" w:cs="Times New Roman"/>
          <w:sz w:val="24"/>
          <w:szCs w:val="24"/>
        </w:rPr>
        <w:t xml:space="preserve">, in Form No. 29B, which latter form is generally used for chamber applications. It is common cause that the form used by the applicant </w:t>
      </w:r>
      <w:r w:rsidR="00685F1C" w:rsidRPr="007C5A7F">
        <w:rPr>
          <w:rFonts w:ascii="Times New Roman" w:hAnsi="Times New Roman" w:cs="Times New Roman"/>
          <w:sz w:val="24"/>
          <w:szCs w:val="24"/>
        </w:rPr>
        <w:t>for rescission of judgment is neither of the above</w:t>
      </w:r>
      <w:r w:rsidR="0068539C" w:rsidRPr="007C5A7F">
        <w:rPr>
          <w:rFonts w:ascii="Times New Roman" w:hAnsi="Times New Roman" w:cs="Times New Roman"/>
          <w:sz w:val="24"/>
          <w:szCs w:val="24"/>
        </w:rPr>
        <w:t xml:space="preserve"> stated forms, that is, it is in neither the court application form nor the chamber application form nor the hybrid ex parte court application form.</w:t>
      </w:r>
    </w:p>
    <w:p w:rsidR="0068539C" w:rsidRPr="007C5A7F" w:rsidRDefault="0068539C" w:rsidP="0068539C">
      <w:pPr>
        <w:spacing w:line="240" w:lineRule="auto"/>
        <w:ind w:left="720"/>
        <w:jc w:val="both"/>
        <w:rPr>
          <w:rFonts w:ascii="Times New Roman" w:hAnsi="Times New Roman" w:cs="Times New Roman"/>
          <w:sz w:val="24"/>
          <w:szCs w:val="24"/>
        </w:rPr>
      </w:pPr>
      <w:r w:rsidRPr="007C5A7F">
        <w:rPr>
          <w:rFonts w:ascii="Times New Roman" w:hAnsi="Times New Roman" w:cs="Times New Roman"/>
          <w:sz w:val="24"/>
          <w:szCs w:val="24"/>
        </w:rPr>
        <w:lastRenderedPageBreak/>
        <w:t xml:space="preserve">Now, Rule 4C gives the court or judge discretion to condone departures from the rules, while Rule 229C deals with a specific form of departure, </w:t>
      </w:r>
      <w:proofErr w:type="spellStart"/>
      <w:r w:rsidRPr="007C5A7F">
        <w:rPr>
          <w:rFonts w:ascii="Times New Roman" w:hAnsi="Times New Roman" w:cs="Times New Roman"/>
          <w:sz w:val="24"/>
          <w:szCs w:val="24"/>
        </w:rPr>
        <w:t>viz</w:t>
      </w:r>
      <w:proofErr w:type="spellEnd"/>
      <w:r w:rsidRPr="007C5A7F">
        <w:rPr>
          <w:rFonts w:ascii="Times New Roman" w:hAnsi="Times New Roman" w:cs="Times New Roman"/>
          <w:sz w:val="24"/>
          <w:szCs w:val="24"/>
        </w:rPr>
        <w:t>, proceeding by way of court instead of chamber application and vice versa.</w:t>
      </w:r>
    </w:p>
    <w:p w:rsidR="0068539C" w:rsidRPr="007C5A7F" w:rsidRDefault="0068539C" w:rsidP="0068539C">
      <w:pPr>
        <w:spacing w:after="0" w:line="240" w:lineRule="auto"/>
        <w:ind w:firstLine="720"/>
        <w:jc w:val="both"/>
        <w:rPr>
          <w:rFonts w:ascii="Times New Roman" w:hAnsi="Times New Roman" w:cs="Times New Roman"/>
          <w:sz w:val="24"/>
          <w:szCs w:val="24"/>
        </w:rPr>
      </w:pPr>
    </w:p>
    <w:p w:rsidR="00FE7E37" w:rsidRPr="007C5A7F" w:rsidRDefault="00797340" w:rsidP="00A70307">
      <w:pPr>
        <w:ind w:firstLine="720"/>
        <w:jc w:val="both"/>
        <w:rPr>
          <w:rFonts w:ascii="Times New Roman" w:hAnsi="Times New Roman" w:cs="Times New Roman"/>
          <w:sz w:val="24"/>
          <w:szCs w:val="24"/>
        </w:rPr>
      </w:pPr>
      <w:r w:rsidRPr="007C5A7F">
        <w:rPr>
          <w:rFonts w:ascii="Times New Roman" w:hAnsi="Times New Roman" w:cs="Times New Roman"/>
          <w:sz w:val="24"/>
          <w:szCs w:val="24"/>
        </w:rPr>
        <w:t>…</w:t>
      </w:r>
      <w:r w:rsidR="00E72756" w:rsidRPr="007C5A7F">
        <w:rPr>
          <w:rFonts w:ascii="Times New Roman" w:hAnsi="Times New Roman" w:cs="Times New Roman"/>
          <w:sz w:val="24"/>
          <w:szCs w:val="24"/>
        </w:rPr>
        <w:t>…</w:t>
      </w:r>
    </w:p>
    <w:p w:rsidR="00FE7E37" w:rsidRPr="007C5A7F" w:rsidRDefault="00FE7E37" w:rsidP="009B6059">
      <w:pPr>
        <w:spacing w:line="240" w:lineRule="auto"/>
        <w:ind w:left="720"/>
        <w:jc w:val="both"/>
        <w:rPr>
          <w:rFonts w:ascii="Times New Roman" w:hAnsi="Times New Roman" w:cs="Times New Roman"/>
          <w:sz w:val="24"/>
          <w:szCs w:val="24"/>
        </w:rPr>
      </w:pPr>
      <w:r w:rsidRPr="007C5A7F">
        <w:rPr>
          <w:rFonts w:ascii="Times New Roman" w:hAnsi="Times New Roman" w:cs="Times New Roman"/>
          <w:sz w:val="24"/>
          <w:szCs w:val="24"/>
        </w:rPr>
        <w:t xml:space="preserve">Lest </w:t>
      </w:r>
      <w:r w:rsidR="009B6059" w:rsidRPr="007C5A7F">
        <w:rPr>
          <w:rFonts w:ascii="Times New Roman" w:hAnsi="Times New Roman" w:cs="Times New Roman"/>
          <w:sz w:val="24"/>
          <w:szCs w:val="24"/>
        </w:rPr>
        <w:t>an impression be formed that this i</w:t>
      </w:r>
      <w:r w:rsidR="006804EA" w:rsidRPr="007C5A7F">
        <w:rPr>
          <w:rFonts w:ascii="Times New Roman" w:hAnsi="Times New Roman" w:cs="Times New Roman"/>
          <w:sz w:val="24"/>
          <w:szCs w:val="24"/>
        </w:rPr>
        <w:t xml:space="preserve">s a sterile dispute about forms, </w:t>
      </w:r>
      <w:r w:rsidR="009B6059" w:rsidRPr="007C5A7F">
        <w:rPr>
          <w:rFonts w:ascii="Times New Roman" w:hAnsi="Times New Roman" w:cs="Times New Roman"/>
          <w:sz w:val="24"/>
          <w:szCs w:val="24"/>
        </w:rPr>
        <w:t>I have deemed it necessary to outline in a summary way what each of the two forms contains, on the one hand, and the unique features of the format used by the applicant, on the other.  In Form 29 the applicant gives notice to the respondent</w:t>
      </w:r>
      <w:r w:rsidR="00523E0E" w:rsidRPr="007C5A7F">
        <w:rPr>
          <w:rFonts w:ascii="Times New Roman" w:hAnsi="Times New Roman" w:cs="Times New Roman"/>
          <w:sz w:val="24"/>
          <w:szCs w:val="24"/>
        </w:rPr>
        <w:t>s</w:t>
      </w:r>
      <w:r w:rsidR="009B6059" w:rsidRPr="007C5A7F">
        <w:rPr>
          <w:rFonts w:ascii="Times New Roman" w:hAnsi="Times New Roman" w:cs="Times New Roman"/>
          <w:sz w:val="24"/>
          <w:szCs w:val="24"/>
        </w:rPr>
        <w:t xml:space="preserve"> that he or she intends to apply to the High Court for an Order in terms of an annexed draft and that the accompanying affidavit/s and documents shall be used in support of the application.  It goes on to inform the respondent, if he or she so wishes, to file papers in opposition in a specified manner and within a specified time limit, failing which the respondent is warned that the application would be dealt with as an unopposed application.  In Form 29B</w:t>
      </w:r>
      <w:r w:rsidR="00523E0E" w:rsidRPr="007C5A7F">
        <w:rPr>
          <w:rFonts w:ascii="Times New Roman" w:hAnsi="Times New Roman" w:cs="Times New Roman"/>
          <w:sz w:val="24"/>
          <w:szCs w:val="24"/>
        </w:rPr>
        <w:t>,</w:t>
      </w:r>
      <w:r w:rsidR="009B6059" w:rsidRPr="007C5A7F">
        <w:rPr>
          <w:rFonts w:ascii="Times New Roman" w:hAnsi="Times New Roman" w:cs="Times New Roman"/>
          <w:sz w:val="24"/>
          <w:szCs w:val="24"/>
        </w:rPr>
        <w:t xml:space="preserve"> an application is made for an order in terms of an annexed draft on grounds that are set out in summary as the basis of the application and affidavits and documents are tendered in support of the application.  By contrast, the unique format used by the applicant consists of a hea</w:t>
      </w:r>
      <w:r w:rsidR="006B6A12" w:rsidRPr="007C5A7F">
        <w:rPr>
          <w:rFonts w:ascii="Times New Roman" w:hAnsi="Times New Roman" w:cs="Times New Roman"/>
          <w:sz w:val="24"/>
          <w:szCs w:val="24"/>
        </w:rPr>
        <w:t>d</w:t>
      </w:r>
      <w:r w:rsidR="009B6059" w:rsidRPr="007C5A7F">
        <w:rPr>
          <w:rFonts w:ascii="Times New Roman" w:hAnsi="Times New Roman" w:cs="Times New Roman"/>
          <w:sz w:val="24"/>
          <w:szCs w:val="24"/>
        </w:rPr>
        <w:t>ing: “Application for Rescission of Judgment” and the following terse statement: “Take notice that the Applicant, Zimbabwe Open University, hereby applies for Rescission of Judgment.  The annexed affidavit is used in support thereof.”</w:t>
      </w:r>
    </w:p>
    <w:p w:rsidR="009B6059" w:rsidRPr="007C5A7F" w:rsidRDefault="009B6059" w:rsidP="009B6059">
      <w:pPr>
        <w:spacing w:line="240" w:lineRule="auto"/>
        <w:ind w:left="720"/>
        <w:jc w:val="both"/>
        <w:rPr>
          <w:rFonts w:ascii="Times New Roman" w:hAnsi="Times New Roman" w:cs="Times New Roman"/>
          <w:sz w:val="24"/>
          <w:szCs w:val="24"/>
        </w:rPr>
      </w:pPr>
      <w:r w:rsidRPr="007C5A7F">
        <w:rPr>
          <w:rFonts w:ascii="Times New Roman" w:hAnsi="Times New Roman" w:cs="Times New Roman"/>
          <w:sz w:val="24"/>
          <w:szCs w:val="24"/>
        </w:rPr>
        <w:t>…</w:t>
      </w:r>
      <w:r w:rsidR="00E72756" w:rsidRPr="007C5A7F">
        <w:rPr>
          <w:rFonts w:ascii="Times New Roman" w:hAnsi="Times New Roman" w:cs="Times New Roman"/>
          <w:sz w:val="24"/>
          <w:szCs w:val="24"/>
        </w:rPr>
        <w:t>…</w:t>
      </w:r>
    </w:p>
    <w:p w:rsidR="009B6059" w:rsidRPr="007C5A7F" w:rsidRDefault="0062110C" w:rsidP="009B6059">
      <w:pPr>
        <w:spacing w:line="240" w:lineRule="auto"/>
        <w:ind w:left="720"/>
        <w:jc w:val="both"/>
        <w:rPr>
          <w:rFonts w:ascii="Times New Roman" w:hAnsi="Times New Roman" w:cs="Times New Roman"/>
          <w:sz w:val="24"/>
          <w:szCs w:val="24"/>
        </w:rPr>
      </w:pPr>
      <w:r w:rsidRPr="007C5A7F">
        <w:rPr>
          <w:rFonts w:ascii="Times New Roman" w:hAnsi="Times New Roman" w:cs="Times New Roman"/>
          <w:sz w:val="24"/>
          <w:szCs w:val="24"/>
        </w:rPr>
        <w:t>Can this substantial departure from the rules be condoned under r4C? Rule 4C states as follows:</w:t>
      </w:r>
    </w:p>
    <w:p w:rsidR="00E72756" w:rsidRPr="007C5A7F" w:rsidRDefault="00E72756" w:rsidP="00273320">
      <w:pPr>
        <w:spacing w:line="240" w:lineRule="auto"/>
        <w:ind w:left="1440"/>
        <w:jc w:val="both"/>
        <w:rPr>
          <w:rFonts w:ascii="Times New Roman" w:hAnsi="Times New Roman" w:cs="Times New Roman"/>
          <w:sz w:val="24"/>
          <w:szCs w:val="24"/>
        </w:rPr>
      </w:pPr>
    </w:p>
    <w:p w:rsidR="009B6059" w:rsidRPr="007C5A7F" w:rsidRDefault="009B6059" w:rsidP="00273320">
      <w:pPr>
        <w:spacing w:line="240" w:lineRule="auto"/>
        <w:ind w:left="1440"/>
        <w:jc w:val="both"/>
        <w:rPr>
          <w:rFonts w:ascii="Times New Roman" w:hAnsi="Times New Roman" w:cs="Times New Roman"/>
          <w:sz w:val="24"/>
          <w:szCs w:val="24"/>
        </w:rPr>
      </w:pPr>
      <w:r w:rsidRPr="007C5A7F">
        <w:rPr>
          <w:rFonts w:ascii="Times New Roman" w:hAnsi="Times New Roman" w:cs="Times New Roman"/>
          <w:sz w:val="24"/>
          <w:szCs w:val="24"/>
        </w:rPr>
        <w:t>“The court or judge may, in relation to any particular case before it or him, as the case may be-</w:t>
      </w:r>
    </w:p>
    <w:p w:rsidR="009B6059" w:rsidRPr="007C5A7F" w:rsidRDefault="009B6059" w:rsidP="009B6059">
      <w:pPr>
        <w:pStyle w:val="ListParagraph"/>
        <w:numPr>
          <w:ilvl w:val="0"/>
          <w:numId w:val="2"/>
        </w:numPr>
        <w:spacing w:line="240" w:lineRule="auto"/>
        <w:jc w:val="both"/>
        <w:rPr>
          <w:rFonts w:ascii="Times New Roman" w:hAnsi="Times New Roman" w:cs="Times New Roman"/>
          <w:sz w:val="24"/>
          <w:szCs w:val="24"/>
        </w:rPr>
      </w:pPr>
      <w:r w:rsidRPr="007C5A7F">
        <w:rPr>
          <w:rFonts w:ascii="Times New Roman" w:hAnsi="Times New Roman" w:cs="Times New Roman"/>
          <w:sz w:val="24"/>
          <w:szCs w:val="24"/>
        </w:rPr>
        <w:t>Direct, authorize or condone a departure from any provision of these rules, including an extension of any period specified therein, where it or he, as the case may be, is satisfied that the departure is required in the interests of justice;</w:t>
      </w:r>
    </w:p>
    <w:p w:rsidR="009B6059" w:rsidRPr="007C5A7F" w:rsidRDefault="009B6059" w:rsidP="009B6059">
      <w:pPr>
        <w:pStyle w:val="ListParagraph"/>
        <w:numPr>
          <w:ilvl w:val="0"/>
          <w:numId w:val="2"/>
        </w:numPr>
        <w:spacing w:line="240" w:lineRule="auto"/>
        <w:jc w:val="both"/>
        <w:rPr>
          <w:rFonts w:ascii="Times New Roman" w:hAnsi="Times New Roman" w:cs="Times New Roman"/>
          <w:sz w:val="24"/>
          <w:szCs w:val="24"/>
        </w:rPr>
      </w:pPr>
      <w:r w:rsidRPr="007C5A7F">
        <w:rPr>
          <w:rFonts w:ascii="Times New Roman" w:hAnsi="Times New Roman" w:cs="Times New Roman"/>
          <w:sz w:val="24"/>
          <w:szCs w:val="24"/>
        </w:rPr>
        <w:t>Give such directions as to procedure in respect of any matter not expressly provided for in these rules as appear to it or him, as the case may be, to be just and expedient</w:t>
      </w:r>
      <w:r w:rsidR="00273320" w:rsidRPr="007C5A7F">
        <w:rPr>
          <w:rFonts w:ascii="Times New Roman" w:hAnsi="Times New Roman" w:cs="Times New Roman"/>
          <w:sz w:val="24"/>
          <w:szCs w:val="24"/>
        </w:rPr>
        <w:t>.”</w:t>
      </w:r>
    </w:p>
    <w:p w:rsidR="00273320" w:rsidRPr="007C5A7F" w:rsidRDefault="00273320" w:rsidP="00273320">
      <w:pPr>
        <w:spacing w:line="240" w:lineRule="auto"/>
        <w:jc w:val="both"/>
        <w:rPr>
          <w:rFonts w:ascii="Times New Roman" w:hAnsi="Times New Roman" w:cs="Times New Roman"/>
          <w:sz w:val="24"/>
          <w:szCs w:val="24"/>
        </w:rPr>
      </w:pPr>
    </w:p>
    <w:p w:rsidR="00E767E5" w:rsidRPr="007C5A7F" w:rsidRDefault="00E72756" w:rsidP="00273320">
      <w:pPr>
        <w:spacing w:line="240" w:lineRule="auto"/>
        <w:ind w:left="720"/>
        <w:jc w:val="both"/>
        <w:rPr>
          <w:rFonts w:ascii="Times New Roman" w:hAnsi="Times New Roman" w:cs="Times New Roman"/>
          <w:sz w:val="24"/>
          <w:szCs w:val="24"/>
        </w:rPr>
      </w:pPr>
      <w:r w:rsidRPr="007C5A7F">
        <w:rPr>
          <w:rFonts w:ascii="Times New Roman" w:hAnsi="Times New Roman" w:cs="Times New Roman"/>
          <w:sz w:val="24"/>
          <w:szCs w:val="24"/>
        </w:rPr>
        <w:t>“</w:t>
      </w:r>
      <w:r w:rsidR="00273320" w:rsidRPr="007C5A7F">
        <w:rPr>
          <w:rFonts w:ascii="Times New Roman" w:hAnsi="Times New Roman" w:cs="Times New Roman"/>
          <w:sz w:val="24"/>
          <w:szCs w:val="24"/>
        </w:rPr>
        <w:t xml:space="preserve">In </w:t>
      </w:r>
      <w:proofErr w:type="spellStart"/>
      <w:r w:rsidR="00273320" w:rsidRPr="007C5A7F">
        <w:rPr>
          <w:rFonts w:ascii="Times New Roman" w:hAnsi="Times New Roman" w:cs="Times New Roman"/>
          <w:b/>
          <w:sz w:val="24"/>
          <w:szCs w:val="24"/>
        </w:rPr>
        <w:t>Simross</w:t>
      </w:r>
      <w:proofErr w:type="spellEnd"/>
      <w:r w:rsidR="00273320" w:rsidRPr="007C5A7F">
        <w:rPr>
          <w:rFonts w:ascii="Times New Roman" w:hAnsi="Times New Roman" w:cs="Times New Roman"/>
          <w:b/>
          <w:sz w:val="24"/>
          <w:szCs w:val="24"/>
        </w:rPr>
        <w:t xml:space="preserve"> Vintners (Pvt) Ltd v </w:t>
      </w:r>
      <w:proofErr w:type="spellStart"/>
      <w:r w:rsidR="00273320" w:rsidRPr="007C5A7F">
        <w:rPr>
          <w:rFonts w:ascii="Times New Roman" w:hAnsi="Times New Roman" w:cs="Times New Roman"/>
          <w:b/>
          <w:sz w:val="24"/>
          <w:szCs w:val="24"/>
        </w:rPr>
        <w:t>Vermeulen</w:t>
      </w:r>
      <w:proofErr w:type="spellEnd"/>
      <w:r w:rsidR="00273320" w:rsidRPr="007C5A7F">
        <w:rPr>
          <w:rFonts w:ascii="Times New Roman" w:hAnsi="Times New Roman" w:cs="Times New Roman"/>
          <w:b/>
          <w:sz w:val="24"/>
          <w:szCs w:val="24"/>
        </w:rPr>
        <w:t xml:space="preserve">, VRG Africa (Pvt) Ltd v Walters T/A Trend </w:t>
      </w:r>
      <w:proofErr w:type="spellStart"/>
      <w:r w:rsidR="00273320" w:rsidRPr="007C5A7F">
        <w:rPr>
          <w:rFonts w:ascii="Times New Roman" w:hAnsi="Times New Roman" w:cs="Times New Roman"/>
          <w:b/>
          <w:sz w:val="24"/>
          <w:szCs w:val="24"/>
        </w:rPr>
        <w:t>Litho</w:t>
      </w:r>
      <w:proofErr w:type="spellEnd"/>
      <w:r w:rsidR="00273320" w:rsidRPr="007C5A7F">
        <w:rPr>
          <w:rFonts w:ascii="Times New Roman" w:hAnsi="Times New Roman" w:cs="Times New Roman"/>
          <w:b/>
          <w:sz w:val="24"/>
          <w:szCs w:val="24"/>
        </w:rPr>
        <w:t xml:space="preserve">, Consolidated Credit Corporation (Pvt) Ltd v Van der </w:t>
      </w:r>
      <w:proofErr w:type="spellStart"/>
      <w:r w:rsidR="00273320" w:rsidRPr="007C5A7F">
        <w:rPr>
          <w:rFonts w:ascii="Times New Roman" w:hAnsi="Times New Roman" w:cs="Times New Roman"/>
          <w:b/>
          <w:sz w:val="24"/>
          <w:szCs w:val="24"/>
        </w:rPr>
        <w:t>Westhuizen</w:t>
      </w:r>
      <w:proofErr w:type="spellEnd"/>
      <w:r w:rsidR="00273320" w:rsidRPr="007C5A7F">
        <w:rPr>
          <w:rFonts w:ascii="Times New Roman" w:hAnsi="Times New Roman" w:cs="Times New Roman"/>
          <w:b/>
          <w:sz w:val="24"/>
          <w:szCs w:val="24"/>
        </w:rPr>
        <w:t xml:space="preserve"> 1978 (1) SA 779</w:t>
      </w:r>
      <w:r w:rsidR="00273320" w:rsidRPr="007C5A7F">
        <w:rPr>
          <w:rFonts w:ascii="Times New Roman" w:hAnsi="Times New Roman" w:cs="Times New Roman"/>
          <w:sz w:val="24"/>
          <w:szCs w:val="24"/>
        </w:rPr>
        <w:t>,</w:t>
      </w:r>
      <w:r w:rsidR="0062110C" w:rsidRPr="007C5A7F">
        <w:rPr>
          <w:rFonts w:ascii="Times New Roman" w:hAnsi="Times New Roman" w:cs="Times New Roman"/>
          <w:sz w:val="24"/>
          <w:szCs w:val="24"/>
        </w:rPr>
        <w:t xml:space="preserve"> (T), </w:t>
      </w:r>
      <w:r w:rsidR="00273320" w:rsidRPr="007C5A7F">
        <w:rPr>
          <w:rFonts w:ascii="Times New Roman" w:hAnsi="Times New Roman" w:cs="Times New Roman"/>
          <w:sz w:val="24"/>
          <w:szCs w:val="24"/>
        </w:rPr>
        <w:t xml:space="preserve">the applicants, in three applications for compulsory sequestration, had used the notice of motion prescribed in Form 2 of the South African Uniform Rules of Court, which was a form appropriate to </w:t>
      </w:r>
      <w:r w:rsidR="00273320" w:rsidRPr="007C5A7F">
        <w:rPr>
          <w:rFonts w:ascii="Times New Roman" w:hAnsi="Times New Roman" w:cs="Times New Roman"/>
          <w:i/>
          <w:sz w:val="24"/>
          <w:szCs w:val="24"/>
        </w:rPr>
        <w:t>ex parte</w:t>
      </w:r>
      <w:r w:rsidR="00273320" w:rsidRPr="007C5A7F">
        <w:rPr>
          <w:rFonts w:ascii="Times New Roman" w:hAnsi="Times New Roman" w:cs="Times New Roman"/>
          <w:sz w:val="24"/>
          <w:szCs w:val="24"/>
        </w:rPr>
        <w:t xml:space="preserve"> applications.  The applicant in the first application had not served the notice on the respondent, but the applicants in the other two applications had so served the notices on the respondents.  It was held that in the first application the use of the Form 2 was perfectly in order as the application was brought ex parte.  However, as to the other </w:t>
      </w:r>
      <w:r w:rsidR="00273320" w:rsidRPr="007C5A7F">
        <w:rPr>
          <w:rFonts w:ascii="Times New Roman" w:hAnsi="Times New Roman" w:cs="Times New Roman"/>
          <w:sz w:val="24"/>
          <w:szCs w:val="24"/>
        </w:rPr>
        <w:lastRenderedPageBreak/>
        <w:t xml:space="preserve">two applications, it was held that as they were not brought </w:t>
      </w:r>
      <w:r w:rsidR="00273320" w:rsidRPr="007C5A7F">
        <w:rPr>
          <w:rFonts w:ascii="Times New Roman" w:hAnsi="Times New Roman" w:cs="Times New Roman"/>
          <w:i/>
          <w:sz w:val="24"/>
          <w:szCs w:val="24"/>
        </w:rPr>
        <w:t>ex parte,</w:t>
      </w:r>
      <w:r w:rsidR="00273320" w:rsidRPr="007C5A7F">
        <w:rPr>
          <w:rFonts w:ascii="Times New Roman" w:hAnsi="Times New Roman" w:cs="Times New Roman"/>
          <w:sz w:val="24"/>
          <w:szCs w:val="24"/>
        </w:rPr>
        <w:t xml:space="preserve"> the notices of motion used in these applications (i.e., the Form 2 notice) were nullities and their use could not be condoned and the applications had to be struck off the roll.</w:t>
      </w:r>
      <w:r w:rsidR="00E767E5" w:rsidRPr="007C5A7F">
        <w:rPr>
          <w:rFonts w:ascii="Times New Roman" w:hAnsi="Times New Roman" w:cs="Times New Roman"/>
          <w:sz w:val="24"/>
          <w:szCs w:val="24"/>
        </w:rPr>
        <w:t>”</w:t>
      </w:r>
    </w:p>
    <w:p w:rsidR="00273320" w:rsidRPr="007C5A7F" w:rsidRDefault="00273320" w:rsidP="00273320">
      <w:pPr>
        <w:spacing w:line="240" w:lineRule="auto"/>
        <w:ind w:left="720"/>
        <w:jc w:val="both"/>
        <w:rPr>
          <w:rFonts w:ascii="Times New Roman" w:hAnsi="Times New Roman" w:cs="Times New Roman"/>
          <w:sz w:val="24"/>
          <w:szCs w:val="24"/>
        </w:rPr>
      </w:pPr>
    </w:p>
    <w:p w:rsidR="0068539C" w:rsidRPr="007C5A7F" w:rsidRDefault="0068539C" w:rsidP="0068539C">
      <w:pPr>
        <w:spacing w:after="0" w:line="240" w:lineRule="auto"/>
        <w:ind w:firstLine="720"/>
        <w:jc w:val="both"/>
        <w:rPr>
          <w:rFonts w:ascii="Times New Roman" w:hAnsi="Times New Roman" w:cs="Times New Roman"/>
          <w:sz w:val="24"/>
          <w:szCs w:val="24"/>
        </w:rPr>
      </w:pPr>
    </w:p>
    <w:p w:rsidR="00E767E5" w:rsidRPr="007C5A7F" w:rsidRDefault="00E767E5" w:rsidP="0068539C">
      <w:pPr>
        <w:ind w:firstLine="1440"/>
        <w:jc w:val="both"/>
        <w:rPr>
          <w:rFonts w:ascii="Times New Roman" w:hAnsi="Times New Roman" w:cs="Times New Roman"/>
          <w:sz w:val="24"/>
          <w:szCs w:val="24"/>
        </w:rPr>
      </w:pPr>
      <w:r w:rsidRPr="007C5A7F">
        <w:rPr>
          <w:rFonts w:ascii="Times New Roman" w:hAnsi="Times New Roman" w:cs="Times New Roman"/>
          <w:sz w:val="24"/>
          <w:szCs w:val="24"/>
        </w:rPr>
        <w:t>I respectfully associate myself with the comme</w:t>
      </w:r>
      <w:r w:rsidR="0068539C" w:rsidRPr="007C5A7F">
        <w:rPr>
          <w:rFonts w:ascii="Times New Roman" w:hAnsi="Times New Roman" w:cs="Times New Roman"/>
          <w:sz w:val="24"/>
          <w:szCs w:val="24"/>
        </w:rPr>
        <w:t xml:space="preserve">nts of the learned judge above.  </w:t>
      </w:r>
      <w:r w:rsidRPr="007C5A7F">
        <w:rPr>
          <w:rFonts w:ascii="Times New Roman" w:hAnsi="Times New Roman" w:cs="Times New Roman"/>
          <w:sz w:val="24"/>
          <w:szCs w:val="24"/>
        </w:rPr>
        <w:t xml:space="preserve">Rule 230 espouses a peremptory norm and must be complied with. </w:t>
      </w:r>
      <w:r w:rsidR="0068539C" w:rsidRPr="007C5A7F">
        <w:rPr>
          <w:rFonts w:ascii="Times New Roman" w:hAnsi="Times New Roman" w:cs="Times New Roman"/>
          <w:sz w:val="24"/>
          <w:szCs w:val="24"/>
        </w:rPr>
        <w:t xml:space="preserve"> </w:t>
      </w:r>
      <w:r w:rsidRPr="007C5A7F">
        <w:rPr>
          <w:rFonts w:ascii="Times New Roman" w:hAnsi="Times New Roman" w:cs="Times New Roman"/>
          <w:sz w:val="24"/>
          <w:szCs w:val="24"/>
        </w:rPr>
        <w:t>A failure to comply with the rule cannot be condoned in the absence of compliance by a litigan</w:t>
      </w:r>
      <w:r w:rsidR="0068539C" w:rsidRPr="007C5A7F">
        <w:rPr>
          <w:rFonts w:ascii="Times New Roman" w:hAnsi="Times New Roman" w:cs="Times New Roman"/>
          <w:sz w:val="24"/>
          <w:szCs w:val="24"/>
        </w:rPr>
        <w:t xml:space="preserve">t with any form of application.  </w:t>
      </w:r>
      <w:r w:rsidRPr="007C5A7F">
        <w:rPr>
          <w:rFonts w:ascii="Times New Roman" w:hAnsi="Times New Roman" w:cs="Times New Roman"/>
          <w:sz w:val="24"/>
          <w:szCs w:val="24"/>
        </w:rPr>
        <w:t xml:space="preserve">The undisputed fact is that the fourth respondent never filed any application in any form. </w:t>
      </w:r>
      <w:r w:rsidR="00F07950" w:rsidRPr="007C5A7F">
        <w:rPr>
          <w:rFonts w:ascii="Times New Roman" w:hAnsi="Times New Roman" w:cs="Times New Roman"/>
          <w:sz w:val="24"/>
          <w:szCs w:val="24"/>
        </w:rPr>
        <w:t xml:space="preserve"> </w:t>
      </w:r>
      <w:r w:rsidRPr="007C5A7F">
        <w:rPr>
          <w:rFonts w:ascii="Times New Roman" w:hAnsi="Times New Roman" w:cs="Times New Roman"/>
          <w:sz w:val="24"/>
          <w:szCs w:val="24"/>
        </w:rPr>
        <w:t>The counter-application wa</w:t>
      </w:r>
      <w:r w:rsidR="0068539C" w:rsidRPr="007C5A7F">
        <w:rPr>
          <w:rFonts w:ascii="Times New Roman" w:hAnsi="Times New Roman" w:cs="Times New Roman"/>
          <w:sz w:val="24"/>
          <w:szCs w:val="24"/>
        </w:rPr>
        <w:t>s</w:t>
      </w:r>
      <w:r w:rsidR="006804EA" w:rsidRPr="007C5A7F">
        <w:rPr>
          <w:rFonts w:ascii="Times New Roman" w:hAnsi="Times New Roman" w:cs="Times New Roman"/>
          <w:sz w:val="24"/>
          <w:szCs w:val="24"/>
        </w:rPr>
        <w:t>,</w:t>
      </w:r>
      <w:r w:rsidR="0068539C" w:rsidRPr="007C5A7F">
        <w:rPr>
          <w:rFonts w:ascii="Times New Roman" w:hAnsi="Times New Roman" w:cs="Times New Roman"/>
          <w:sz w:val="24"/>
          <w:szCs w:val="24"/>
        </w:rPr>
        <w:t xml:space="preserve"> as a consequence</w:t>
      </w:r>
      <w:r w:rsidR="006804EA" w:rsidRPr="007C5A7F">
        <w:rPr>
          <w:rFonts w:ascii="Times New Roman" w:hAnsi="Times New Roman" w:cs="Times New Roman"/>
          <w:sz w:val="24"/>
          <w:szCs w:val="24"/>
        </w:rPr>
        <w:t>,</w:t>
      </w:r>
      <w:r w:rsidR="0068539C" w:rsidRPr="007C5A7F">
        <w:rPr>
          <w:rFonts w:ascii="Times New Roman" w:hAnsi="Times New Roman" w:cs="Times New Roman"/>
          <w:sz w:val="24"/>
          <w:szCs w:val="24"/>
        </w:rPr>
        <w:t xml:space="preserve"> a non-event.  </w:t>
      </w:r>
      <w:r w:rsidRPr="007C5A7F">
        <w:rPr>
          <w:rFonts w:ascii="Times New Roman" w:hAnsi="Times New Roman" w:cs="Times New Roman"/>
          <w:sz w:val="24"/>
          <w:szCs w:val="24"/>
        </w:rPr>
        <w:t xml:space="preserve">The draft order attached to the opposing affidavit could </w:t>
      </w:r>
      <w:r w:rsidR="006804EA" w:rsidRPr="007C5A7F">
        <w:rPr>
          <w:rFonts w:ascii="Times New Roman" w:hAnsi="Times New Roman" w:cs="Times New Roman"/>
          <w:sz w:val="24"/>
          <w:szCs w:val="24"/>
        </w:rPr>
        <w:t xml:space="preserve">not </w:t>
      </w:r>
      <w:r w:rsidRPr="007C5A7F">
        <w:rPr>
          <w:rFonts w:ascii="Times New Roman" w:hAnsi="Times New Roman" w:cs="Times New Roman"/>
          <w:sz w:val="24"/>
          <w:szCs w:val="24"/>
        </w:rPr>
        <w:t>c</w:t>
      </w:r>
      <w:r w:rsidR="0068539C" w:rsidRPr="007C5A7F">
        <w:rPr>
          <w:rFonts w:ascii="Times New Roman" w:hAnsi="Times New Roman" w:cs="Times New Roman"/>
          <w:sz w:val="24"/>
          <w:szCs w:val="24"/>
        </w:rPr>
        <w:t xml:space="preserve">reate something that never was.  </w:t>
      </w:r>
      <w:r w:rsidRPr="007C5A7F">
        <w:rPr>
          <w:rFonts w:ascii="Times New Roman" w:hAnsi="Times New Roman" w:cs="Times New Roman"/>
          <w:sz w:val="24"/>
          <w:szCs w:val="24"/>
        </w:rPr>
        <w:t>Consequently no relief could ensue from the same.</w:t>
      </w:r>
      <w:r w:rsidR="00C15F61" w:rsidRPr="007C5A7F">
        <w:rPr>
          <w:rFonts w:ascii="Times New Roman" w:hAnsi="Times New Roman" w:cs="Times New Roman"/>
          <w:sz w:val="24"/>
          <w:szCs w:val="24"/>
        </w:rPr>
        <w:t xml:space="preserve"> </w:t>
      </w:r>
    </w:p>
    <w:p w:rsidR="00F07950" w:rsidRPr="007C5A7F" w:rsidRDefault="00F07950" w:rsidP="00F07950">
      <w:pPr>
        <w:spacing w:after="0" w:line="240" w:lineRule="auto"/>
        <w:ind w:firstLine="1440"/>
        <w:jc w:val="both"/>
        <w:rPr>
          <w:rFonts w:ascii="Times New Roman" w:hAnsi="Times New Roman" w:cs="Times New Roman"/>
          <w:sz w:val="24"/>
          <w:szCs w:val="24"/>
        </w:rPr>
      </w:pPr>
    </w:p>
    <w:p w:rsidR="00E72756" w:rsidRPr="007C5A7F" w:rsidRDefault="00E72756" w:rsidP="00F07950">
      <w:pPr>
        <w:spacing w:after="0" w:line="240" w:lineRule="auto"/>
        <w:ind w:firstLine="1440"/>
        <w:jc w:val="both"/>
        <w:rPr>
          <w:rFonts w:ascii="Times New Roman" w:hAnsi="Times New Roman" w:cs="Times New Roman"/>
          <w:sz w:val="24"/>
          <w:szCs w:val="24"/>
        </w:rPr>
      </w:pPr>
    </w:p>
    <w:p w:rsidR="00F07950" w:rsidRPr="007C5A7F" w:rsidRDefault="00E767E5" w:rsidP="00F07950">
      <w:pPr>
        <w:ind w:firstLine="1440"/>
        <w:jc w:val="both"/>
        <w:rPr>
          <w:rFonts w:ascii="Times New Roman" w:hAnsi="Times New Roman" w:cs="Times New Roman"/>
          <w:i/>
          <w:sz w:val="24"/>
          <w:szCs w:val="24"/>
        </w:rPr>
      </w:pPr>
      <w:r w:rsidRPr="007C5A7F">
        <w:rPr>
          <w:rFonts w:ascii="Times New Roman" w:hAnsi="Times New Roman" w:cs="Times New Roman"/>
          <w:sz w:val="24"/>
          <w:szCs w:val="24"/>
        </w:rPr>
        <w:t>In addition to the ab</w:t>
      </w:r>
      <w:r w:rsidR="00CF3AC0" w:rsidRPr="007C5A7F">
        <w:rPr>
          <w:rFonts w:ascii="Times New Roman" w:hAnsi="Times New Roman" w:cs="Times New Roman"/>
          <w:sz w:val="24"/>
          <w:szCs w:val="24"/>
        </w:rPr>
        <w:t xml:space="preserve">ove, the application for the </w:t>
      </w:r>
      <w:proofErr w:type="spellStart"/>
      <w:r w:rsidR="00CF3AC0" w:rsidRPr="007C5A7F">
        <w:rPr>
          <w:rFonts w:ascii="Times New Roman" w:hAnsi="Times New Roman" w:cs="Times New Roman"/>
          <w:sz w:val="24"/>
          <w:szCs w:val="24"/>
        </w:rPr>
        <w:t>up</w:t>
      </w:r>
      <w:r w:rsidRPr="007C5A7F">
        <w:rPr>
          <w:rFonts w:ascii="Times New Roman" w:hAnsi="Times New Roman" w:cs="Times New Roman"/>
          <w:sz w:val="24"/>
          <w:szCs w:val="24"/>
        </w:rPr>
        <w:t>liftment</w:t>
      </w:r>
      <w:proofErr w:type="spellEnd"/>
      <w:r w:rsidRPr="007C5A7F">
        <w:rPr>
          <w:rFonts w:ascii="Times New Roman" w:hAnsi="Times New Roman" w:cs="Times New Roman"/>
          <w:sz w:val="24"/>
          <w:szCs w:val="24"/>
        </w:rPr>
        <w:t xml:space="preserve"> of the bar was of a</w:t>
      </w:r>
      <w:r w:rsidR="00691175" w:rsidRPr="007C5A7F">
        <w:rPr>
          <w:rFonts w:ascii="Times New Roman" w:hAnsi="Times New Roman" w:cs="Times New Roman"/>
          <w:sz w:val="24"/>
          <w:szCs w:val="24"/>
        </w:rPr>
        <w:t xml:space="preserve"> procedural nature. </w:t>
      </w:r>
      <w:r w:rsidR="00F07950" w:rsidRPr="007C5A7F">
        <w:rPr>
          <w:rFonts w:ascii="Times New Roman" w:hAnsi="Times New Roman" w:cs="Times New Roman"/>
          <w:sz w:val="24"/>
          <w:szCs w:val="24"/>
        </w:rPr>
        <w:t xml:space="preserve"> </w:t>
      </w:r>
      <w:r w:rsidR="00691175" w:rsidRPr="007C5A7F">
        <w:rPr>
          <w:rFonts w:ascii="Times New Roman" w:hAnsi="Times New Roman" w:cs="Times New Roman"/>
          <w:sz w:val="24"/>
          <w:szCs w:val="24"/>
        </w:rPr>
        <w:t>The relief sought therein was not substantive and was aimed at the first and second respondents principally</w:t>
      </w:r>
      <w:r w:rsidR="006804EA" w:rsidRPr="007C5A7F">
        <w:rPr>
          <w:rFonts w:ascii="Times New Roman" w:hAnsi="Times New Roman" w:cs="Times New Roman"/>
          <w:sz w:val="24"/>
          <w:szCs w:val="24"/>
        </w:rPr>
        <w:t xml:space="preserve"> as the applica</w:t>
      </w:r>
      <w:r w:rsidR="006B6A12" w:rsidRPr="007C5A7F">
        <w:rPr>
          <w:rFonts w:ascii="Times New Roman" w:hAnsi="Times New Roman" w:cs="Times New Roman"/>
          <w:sz w:val="24"/>
          <w:szCs w:val="24"/>
        </w:rPr>
        <w:t>n</w:t>
      </w:r>
      <w:r w:rsidR="006804EA" w:rsidRPr="007C5A7F">
        <w:rPr>
          <w:rFonts w:ascii="Times New Roman" w:hAnsi="Times New Roman" w:cs="Times New Roman"/>
          <w:sz w:val="24"/>
          <w:szCs w:val="24"/>
        </w:rPr>
        <w:t>ts to the prayer for the interdict</w:t>
      </w:r>
      <w:r w:rsidR="00691175" w:rsidRPr="007C5A7F">
        <w:rPr>
          <w:rFonts w:ascii="Times New Roman" w:hAnsi="Times New Roman" w:cs="Times New Roman"/>
          <w:sz w:val="24"/>
          <w:szCs w:val="24"/>
        </w:rPr>
        <w:t xml:space="preserve">. </w:t>
      </w:r>
      <w:r w:rsidR="0062110C" w:rsidRPr="007C5A7F">
        <w:rPr>
          <w:rFonts w:ascii="Times New Roman" w:hAnsi="Times New Roman" w:cs="Times New Roman"/>
          <w:sz w:val="24"/>
          <w:szCs w:val="24"/>
        </w:rPr>
        <w:t xml:space="preserve">The heads of argument were to be filed in relation to a claim for an interdict sought by the first and second respondents. The fourth respondent was seeking the same relief as the appellant; that is the discharge of the provisional order. </w:t>
      </w:r>
      <w:r w:rsidR="00C15F61" w:rsidRPr="007C5A7F">
        <w:rPr>
          <w:rFonts w:ascii="Times New Roman" w:hAnsi="Times New Roman" w:cs="Times New Roman"/>
          <w:sz w:val="24"/>
          <w:szCs w:val="24"/>
        </w:rPr>
        <w:t>A counter-application is on</w:t>
      </w:r>
      <w:r w:rsidR="00691175" w:rsidRPr="007C5A7F">
        <w:rPr>
          <w:rFonts w:ascii="Times New Roman" w:hAnsi="Times New Roman" w:cs="Times New Roman"/>
          <w:sz w:val="24"/>
          <w:szCs w:val="24"/>
        </w:rPr>
        <w:t>e</w:t>
      </w:r>
      <w:r w:rsidR="00C15F61" w:rsidRPr="007C5A7F">
        <w:rPr>
          <w:rFonts w:ascii="Times New Roman" w:hAnsi="Times New Roman" w:cs="Times New Roman"/>
          <w:sz w:val="24"/>
          <w:szCs w:val="24"/>
        </w:rPr>
        <w:t xml:space="preserve"> which seeks relief that is counter</w:t>
      </w:r>
      <w:r w:rsidR="00F07950" w:rsidRPr="007C5A7F">
        <w:rPr>
          <w:rFonts w:ascii="Times New Roman" w:hAnsi="Times New Roman" w:cs="Times New Roman"/>
          <w:sz w:val="24"/>
          <w:szCs w:val="24"/>
        </w:rPr>
        <w:t xml:space="preserve"> to the one sought in the main.  </w:t>
      </w:r>
      <w:r w:rsidR="00C15F61" w:rsidRPr="007C5A7F">
        <w:rPr>
          <w:rFonts w:ascii="Times New Roman" w:hAnsi="Times New Roman" w:cs="Times New Roman"/>
          <w:sz w:val="24"/>
          <w:szCs w:val="24"/>
        </w:rPr>
        <w:t>In the matter before the High Court the counter-application did not seek to counter the prayer</w:t>
      </w:r>
      <w:r w:rsidR="00F07950" w:rsidRPr="007C5A7F">
        <w:rPr>
          <w:rFonts w:ascii="Times New Roman" w:hAnsi="Times New Roman" w:cs="Times New Roman"/>
          <w:sz w:val="24"/>
          <w:szCs w:val="24"/>
        </w:rPr>
        <w:t xml:space="preserve"> for the up-</w:t>
      </w:r>
      <w:proofErr w:type="spellStart"/>
      <w:r w:rsidR="00F07950" w:rsidRPr="007C5A7F">
        <w:rPr>
          <w:rFonts w:ascii="Times New Roman" w:hAnsi="Times New Roman" w:cs="Times New Roman"/>
          <w:sz w:val="24"/>
          <w:szCs w:val="24"/>
        </w:rPr>
        <w:t>liftment</w:t>
      </w:r>
      <w:proofErr w:type="spellEnd"/>
      <w:r w:rsidR="00F07950" w:rsidRPr="007C5A7F">
        <w:rPr>
          <w:rFonts w:ascii="Times New Roman" w:hAnsi="Times New Roman" w:cs="Times New Roman"/>
          <w:sz w:val="24"/>
          <w:szCs w:val="24"/>
        </w:rPr>
        <w:t xml:space="preserve"> of the bar.  </w:t>
      </w:r>
      <w:r w:rsidR="00C15F61" w:rsidRPr="007C5A7F">
        <w:rPr>
          <w:rFonts w:ascii="Times New Roman" w:hAnsi="Times New Roman" w:cs="Times New Roman"/>
          <w:sz w:val="24"/>
          <w:szCs w:val="24"/>
        </w:rPr>
        <w:t xml:space="preserve">It follows therefore that it would be impermissible to file </w:t>
      </w:r>
      <w:r w:rsidR="00CF3AC0" w:rsidRPr="007C5A7F">
        <w:rPr>
          <w:rFonts w:ascii="Times New Roman" w:hAnsi="Times New Roman" w:cs="Times New Roman"/>
          <w:sz w:val="24"/>
          <w:szCs w:val="24"/>
        </w:rPr>
        <w:t xml:space="preserve">a </w:t>
      </w:r>
      <w:r w:rsidR="00C15F61" w:rsidRPr="007C5A7F">
        <w:rPr>
          <w:rFonts w:ascii="Times New Roman" w:hAnsi="Times New Roman" w:cs="Times New Roman"/>
          <w:sz w:val="24"/>
          <w:szCs w:val="24"/>
        </w:rPr>
        <w:t xml:space="preserve">counter-application which seeks substantive relief when the main </w:t>
      </w:r>
      <w:r w:rsidR="00CF3AC0" w:rsidRPr="007C5A7F">
        <w:rPr>
          <w:rFonts w:ascii="Times New Roman" w:hAnsi="Times New Roman" w:cs="Times New Roman"/>
          <w:sz w:val="24"/>
          <w:szCs w:val="24"/>
        </w:rPr>
        <w:t xml:space="preserve">application </w:t>
      </w:r>
      <w:r w:rsidR="00C15F61" w:rsidRPr="007C5A7F">
        <w:rPr>
          <w:rFonts w:ascii="Times New Roman" w:hAnsi="Times New Roman" w:cs="Times New Roman"/>
          <w:sz w:val="24"/>
          <w:szCs w:val="24"/>
        </w:rPr>
        <w:t>is for relief of a procedural nature.</w:t>
      </w:r>
      <w:r w:rsidR="00C94AD1" w:rsidRPr="007C5A7F">
        <w:rPr>
          <w:rFonts w:ascii="Times New Roman" w:hAnsi="Times New Roman" w:cs="Times New Roman"/>
          <w:sz w:val="24"/>
          <w:szCs w:val="24"/>
        </w:rPr>
        <w:t xml:space="preserve"> </w:t>
      </w:r>
      <w:r w:rsidR="00F07950" w:rsidRPr="007C5A7F">
        <w:rPr>
          <w:rFonts w:ascii="Times New Roman" w:hAnsi="Times New Roman" w:cs="Times New Roman"/>
          <w:sz w:val="24"/>
          <w:szCs w:val="24"/>
        </w:rPr>
        <w:t xml:space="preserve"> </w:t>
      </w:r>
      <w:r w:rsidR="00C94AD1" w:rsidRPr="007C5A7F">
        <w:rPr>
          <w:rFonts w:ascii="Times New Roman" w:hAnsi="Times New Roman" w:cs="Times New Roman"/>
          <w:sz w:val="24"/>
          <w:szCs w:val="24"/>
        </w:rPr>
        <w:t xml:space="preserve">There was therefore no proper counter-application before the court </w:t>
      </w:r>
      <w:r w:rsidR="00C94AD1" w:rsidRPr="007C5A7F">
        <w:rPr>
          <w:rFonts w:ascii="Times New Roman" w:hAnsi="Times New Roman" w:cs="Times New Roman"/>
          <w:i/>
          <w:sz w:val="24"/>
          <w:szCs w:val="24"/>
        </w:rPr>
        <w:t>a quo.</w:t>
      </w:r>
    </w:p>
    <w:p w:rsidR="00E72756" w:rsidRPr="007C5A7F" w:rsidRDefault="00E72756" w:rsidP="00E72756">
      <w:pPr>
        <w:spacing w:line="240" w:lineRule="auto"/>
        <w:ind w:firstLine="1440"/>
        <w:jc w:val="both"/>
        <w:rPr>
          <w:rFonts w:ascii="Times New Roman" w:hAnsi="Times New Roman" w:cs="Times New Roman"/>
          <w:i/>
          <w:sz w:val="24"/>
          <w:szCs w:val="24"/>
        </w:rPr>
      </w:pPr>
    </w:p>
    <w:p w:rsidR="00691175" w:rsidRPr="007C5A7F" w:rsidRDefault="008411A9" w:rsidP="00F07950">
      <w:pPr>
        <w:spacing w:after="0" w:line="240" w:lineRule="auto"/>
        <w:ind w:firstLine="1440"/>
        <w:jc w:val="both"/>
        <w:rPr>
          <w:rFonts w:ascii="Times New Roman" w:hAnsi="Times New Roman" w:cs="Times New Roman"/>
          <w:sz w:val="24"/>
          <w:szCs w:val="24"/>
        </w:rPr>
      </w:pPr>
      <w:r w:rsidRPr="007C5A7F">
        <w:rPr>
          <w:rFonts w:ascii="Times New Roman" w:hAnsi="Times New Roman" w:cs="Times New Roman"/>
          <w:sz w:val="24"/>
          <w:szCs w:val="24"/>
        </w:rPr>
        <w:t xml:space="preserve"> </w:t>
      </w:r>
    </w:p>
    <w:p w:rsidR="00F07950" w:rsidRPr="007C5A7F" w:rsidRDefault="008411A9" w:rsidP="00F07950">
      <w:pPr>
        <w:ind w:firstLine="1440"/>
        <w:jc w:val="both"/>
        <w:rPr>
          <w:rFonts w:ascii="Times New Roman" w:hAnsi="Times New Roman" w:cs="Times New Roman"/>
          <w:sz w:val="24"/>
          <w:szCs w:val="24"/>
        </w:rPr>
      </w:pPr>
      <w:r w:rsidRPr="007C5A7F">
        <w:rPr>
          <w:rFonts w:ascii="Times New Roman" w:hAnsi="Times New Roman" w:cs="Times New Roman"/>
          <w:sz w:val="24"/>
          <w:szCs w:val="24"/>
        </w:rPr>
        <w:lastRenderedPageBreak/>
        <w:t xml:space="preserve">Additionally, the relief sought therein was in respect of an application in which the applicants were the first and second respondents. </w:t>
      </w:r>
      <w:r w:rsidR="00F07950" w:rsidRPr="007C5A7F">
        <w:rPr>
          <w:rFonts w:ascii="Times New Roman" w:hAnsi="Times New Roman" w:cs="Times New Roman"/>
          <w:sz w:val="24"/>
          <w:szCs w:val="24"/>
        </w:rPr>
        <w:t xml:space="preserve"> </w:t>
      </w:r>
      <w:r w:rsidRPr="007C5A7F">
        <w:rPr>
          <w:rFonts w:ascii="Times New Roman" w:hAnsi="Times New Roman" w:cs="Times New Roman"/>
          <w:sz w:val="24"/>
          <w:szCs w:val="24"/>
        </w:rPr>
        <w:t xml:space="preserve">That said it begs the question how the fourth respondent could logically seek </w:t>
      </w:r>
      <w:r w:rsidR="004B4093" w:rsidRPr="007C5A7F">
        <w:rPr>
          <w:rFonts w:ascii="Times New Roman" w:hAnsi="Times New Roman" w:cs="Times New Roman"/>
          <w:sz w:val="24"/>
          <w:szCs w:val="24"/>
        </w:rPr>
        <w:t>relief from a counter-</w:t>
      </w:r>
      <w:r w:rsidR="00E72756" w:rsidRPr="007C5A7F">
        <w:rPr>
          <w:rFonts w:ascii="Times New Roman" w:hAnsi="Times New Roman" w:cs="Times New Roman"/>
          <w:sz w:val="24"/>
          <w:szCs w:val="24"/>
        </w:rPr>
        <w:t>application</w:t>
      </w:r>
      <w:r w:rsidRPr="007C5A7F">
        <w:rPr>
          <w:rFonts w:ascii="Times New Roman" w:hAnsi="Times New Roman" w:cs="Times New Roman"/>
          <w:sz w:val="24"/>
          <w:szCs w:val="24"/>
        </w:rPr>
        <w:t xml:space="preserve"> against a </w:t>
      </w:r>
      <w:r w:rsidR="003613FB" w:rsidRPr="007C5A7F">
        <w:rPr>
          <w:rFonts w:ascii="Times New Roman" w:hAnsi="Times New Roman" w:cs="Times New Roman"/>
          <w:sz w:val="24"/>
          <w:szCs w:val="24"/>
        </w:rPr>
        <w:t>litigant</w:t>
      </w:r>
      <w:r w:rsidRPr="007C5A7F">
        <w:rPr>
          <w:rFonts w:ascii="Times New Roman" w:hAnsi="Times New Roman" w:cs="Times New Roman"/>
          <w:sz w:val="24"/>
          <w:szCs w:val="24"/>
        </w:rPr>
        <w:t xml:space="preserve"> who was </w:t>
      </w:r>
      <w:r w:rsidR="003613FB" w:rsidRPr="007C5A7F">
        <w:rPr>
          <w:rFonts w:ascii="Times New Roman" w:hAnsi="Times New Roman" w:cs="Times New Roman"/>
          <w:sz w:val="24"/>
          <w:szCs w:val="24"/>
        </w:rPr>
        <w:t>cited as</w:t>
      </w:r>
      <w:r w:rsidRPr="007C5A7F">
        <w:rPr>
          <w:rFonts w:ascii="Times New Roman" w:hAnsi="Times New Roman" w:cs="Times New Roman"/>
          <w:sz w:val="24"/>
          <w:szCs w:val="24"/>
        </w:rPr>
        <w:t xml:space="preserve"> a </w:t>
      </w:r>
      <w:r w:rsidR="00CF3AC0" w:rsidRPr="007C5A7F">
        <w:rPr>
          <w:rFonts w:ascii="Times New Roman" w:hAnsi="Times New Roman" w:cs="Times New Roman"/>
          <w:sz w:val="24"/>
          <w:szCs w:val="24"/>
        </w:rPr>
        <w:t>respon</w:t>
      </w:r>
      <w:r w:rsidRPr="007C5A7F">
        <w:rPr>
          <w:rFonts w:ascii="Times New Roman" w:hAnsi="Times New Roman" w:cs="Times New Roman"/>
          <w:sz w:val="24"/>
          <w:szCs w:val="24"/>
        </w:rPr>
        <w:t>d</w:t>
      </w:r>
      <w:r w:rsidR="00CF3AC0" w:rsidRPr="007C5A7F">
        <w:rPr>
          <w:rFonts w:ascii="Times New Roman" w:hAnsi="Times New Roman" w:cs="Times New Roman"/>
          <w:sz w:val="24"/>
          <w:szCs w:val="24"/>
        </w:rPr>
        <w:t>e</w:t>
      </w:r>
      <w:r w:rsidRPr="007C5A7F">
        <w:rPr>
          <w:rFonts w:ascii="Times New Roman" w:hAnsi="Times New Roman" w:cs="Times New Roman"/>
          <w:sz w:val="24"/>
          <w:szCs w:val="24"/>
        </w:rPr>
        <w:t>nt in the said proceedings.</w:t>
      </w:r>
    </w:p>
    <w:p w:rsidR="00E72756" w:rsidRPr="007C5A7F" w:rsidRDefault="00E72756" w:rsidP="00E72756">
      <w:pPr>
        <w:spacing w:line="240" w:lineRule="auto"/>
        <w:ind w:firstLine="1440"/>
        <w:jc w:val="both"/>
        <w:rPr>
          <w:rFonts w:ascii="Times New Roman" w:hAnsi="Times New Roman" w:cs="Times New Roman"/>
          <w:sz w:val="24"/>
          <w:szCs w:val="24"/>
        </w:rPr>
      </w:pPr>
    </w:p>
    <w:p w:rsidR="00E72756" w:rsidRPr="007C5A7F" w:rsidRDefault="00082A86" w:rsidP="00F07950">
      <w:pPr>
        <w:ind w:firstLine="1440"/>
        <w:jc w:val="both"/>
        <w:rPr>
          <w:rFonts w:ascii="Times New Roman" w:hAnsi="Times New Roman" w:cs="Times New Roman"/>
          <w:sz w:val="24"/>
          <w:szCs w:val="24"/>
        </w:rPr>
      </w:pPr>
      <w:r w:rsidRPr="007C5A7F">
        <w:rPr>
          <w:rFonts w:ascii="Times New Roman" w:hAnsi="Times New Roman" w:cs="Times New Roman"/>
          <w:sz w:val="24"/>
          <w:szCs w:val="24"/>
        </w:rPr>
        <w:t xml:space="preserve">The obvious defects adverted to above should dispose of the dispute as the appeal is aimed at an order that is based on proceedings that in essence </w:t>
      </w:r>
      <w:r w:rsidR="002D525E" w:rsidRPr="007C5A7F">
        <w:rPr>
          <w:rFonts w:ascii="Times New Roman" w:hAnsi="Times New Roman" w:cs="Times New Roman"/>
          <w:sz w:val="24"/>
          <w:szCs w:val="24"/>
        </w:rPr>
        <w:t xml:space="preserve">are </w:t>
      </w:r>
      <w:r w:rsidRPr="007C5A7F">
        <w:rPr>
          <w:rFonts w:ascii="Times New Roman" w:hAnsi="Times New Roman" w:cs="Times New Roman"/>
          <w:sz w:val="24"/>
          <w:szCs w:val="24"/>
        </w:rPr>
        <w:t>a nullity. A determination of the appeal on a technical basis m</w:t>
      </w:r>
      <w:r w:rsidR="002D525E" w:rsidRPr="007C5A7F">
        <w:rPr>
          <w:rFonts w:ascii="Times New Roman" w:hAnsi="Times New Roman" w:cs="Times New Roman"/>
          <w:sz w:val="24"/>
          <w:szCs w:val="24"/>
        </w:rPr>
        <w:t>a</w:t>
      </w:r>
      <w:r w:rsidRPr="007C5A7F">
        <w:rPr>
          <w:rFonts w:ascii="Times New Roman" w:hAnsi="Times New Roman" w:cs="Times New Roman"/>
          <w:sz w:val="24"/>
          <w:szCs w:val="24"/>
        </w:rPr>
        <w:t xml:space="preserve">y not serve the interests of the parties to the dispute surrounding the purchase of the immovable property. This is because the court </w:t>
      </w:r>
      <w:r w:rsidRPr="007C5A7F">
        <w:rPr>
          <w:rFonts w:ascii="Times New Roman" w:hAnsi="Times New Roman" w:cs="Times New Roman"/>
          <w:i/>
          <w:sz w:val="24"/>
          <w:szCs w:val="24"/>
        </w:rPr>
        <w:t>a quo</w:t>
      </w:r>
      <w:r w:rsidRPr="007C5A7F">
        <w:rPr>
          <w:rFonts w:ascii="Times New Roman" w:hAnsi="Times New Roman" w:cs="Times New Roman"/>
          <w:sz w:val="24"/>
          <w:szCs w:val="24"/>
        </w:rPr>
        <w:t xml:space="preserve"> proceeded to deal with the substance of the application and made findings of fact </w:t>
      </w:r>
      <w:r w:rsidR="002D525E" w:rsidRPr="007C5A7F">
        <w:rPr>
          <w:rFonts w:ascii="Times New Roman" w:hAnsi="Times New Roman" w:cs="Times New Roman"/>
          <w:sz w:val="24"/>
          <w:szCs w:val="24"/>
        </w:rPr>
        <w:t>as to</w:t>
      </w:r>
      <w:r w:rsidRPr="007C5A7F">
        <w:rPr>
          <w:rFonts w:ascii="Times New Roman" w:hAnsi="Times New Roman" w:cs="Times New Roman"/>
          <w:sz w:val="24"/>
          <w:szCs w:val="24"/>
        </w:rPr>
        <w:t xml:space="preserve"> the parties’ respective rights and obligations</w:t>
      </w:r>
      <w:r w:rsidR="002D525E" w:rsidRPr="007C5A7F">
        <w:rPr>
          <w:rFonts w:ascii="Times New Roman" w:hAnsi="Times New Roman" w:cs="Times New Roman"/>
          <w:sz w:val="24"/>
          <w:szCs w:val="24"/>
        </w:rPr>
        <w:t xml:space="preserve"> under the agreement of sale.</w:t>
      </w:r>
      <w:r w:rsidRPr="007C5A7F">
        <w:rPr>
          <w:rFonts w:ascii="Times New Roman" w:hAnsi="Times New Roman" w:cs="Times New Roman"/>
          <w:sz w:val="24"/>
          <w:szCs w:val="24"/>
        </w:rPr>
        <w:t xml:space="preserve"> It seems to me in the circumstances necessary to delve into the merits as set out in the pleadings filed of record.</w:t>
      </w:r>
    </w:p>
    <w:p w:rsidR="00082A86" w:rsidRPr="007C5A7F" w:rsidRDefault="00082A86" w:rsidP="00E72756">
      <w:pPr>
        <w:spacing w:line="240" w:lineRule="auto"/>
        <w:ind w:firstLine="1440"/>
        <w:jc w:val="both"/>
        <w:rPr>
          <w:rFonts w:ascii="Times New Roman" w:hAnsi="Times New Roman" w:cs="Times New Roman"/>
          <w:sz w:val="24"/>
          <w:szCs w:val="24"/>
        </w:rPr>
      </w:pPr>
      <w:r w:rsidRPr="007C5A7F">
        <w:rPr>
          <w:rFonts w:ascii="Times New Roman" w:hAnsi="Times New Roman" w:cs="Times New Roman"/>
          <w:sz w:val="24"/>
          <w:szCs w:val="24"/>
        </w:rPr>
        <w:t xml:space="preserve">  </w:t>
      </w:r>
    </w:p>
    <w:p w:rsidR="008411A9" w:rsidRPr="007C5A7F" w:rsidRDefault="008411A9" w:rsidP="00F07950">
      <w:pPr>
        <w:spacing w:after="0" w:line="240" w:lineRule="auto"/>
        <w:ind w:firstLine="1440"/>
        <w:jc w:val="both"/>
        <w:rPr>
          <w:rFonts w:ascii="Times New Roman" w:hAnsi="Times New Roman" w:cs="Times New Roman"/>
          <w:sz w:val="24"/>
          <w:szCs w:val="24"/>
        </w:rPr>
      </w:pPr>
      <w:r w:rsidRPr="007C5A7F">
        <w:rPr>
          <w:rFonts w:ascii="Times New Roman" w:hAnsi="Times New Roman" w:cs="Times New Roman"/>
          <w:sz w:val="24"/>
          <w:szCs w:val="24"/>
        </w:rPr>
        <w:t xml:space="preserve">    </w:t>
      </w:r>
    </w:p>
    <w:p w:rsidR="00F07950" w:rsidRPr="007C5A7F" w:rsidRDefault="00381BAB" w:rsidP="00F07950">
      <w:pPr>
        <w:ind w:firstLine="1440"/>
        <w:jc w:val="both"/>
        <w:rPr>
          <w:rFonts w:ascii="Times New Roman" w:hAnsi="Times New Roman" w:cs="Times New Roman"/>
          <w:sz w:val="24"/>
          <w:szCs w:val="24"/>
        </w:rPr>
      </w:pPr>
      <w:r w:rsidRPr="007C5A7F">
        <w:rPr>
          <w:rFonts w:ascii="Times New Roman" w:hAnsi="Times New Roman" w:cs="Times New Roman"/>
          <w:sz w:val="24"/>
          <w:szCs w:val="24"/>
        </w:rPr>
        <w:t>As to the merits of the appeal, the first issue for consideration is whether o</w:t>
      </w:r>
      <w:r w:rsidR="006804EA" w:rsidRPr="007C5A7F">
        <w:rPr>
          <w:rFonts w:ascii="Times New Roman" w:hAnsi="Times New Roman" w:cs="Times New Roman"/>
          <w:sz w:val="24"/>
          <w:szCs w:val="24"/>
        </w:rPr>
        <w:t>r not the court erred in granting</w:t>
      </w:r>
      <w:r w:rsidRPr="007C5A7F">
        <w:rPr>
          <w:rFonts w:ascii="Times New Roman" w:hAnsi="Times New Roman" w:cs="Times New Roman"/>
          <w:sz w:val="24"/>
          <w:szCs w:val="24"/>
        </w:rPr>
        <w:t xml:space="preserve"> specific performance in respect of a cancelled contract without a prayer for the setting aside of such cancellation.</w:t>
      </w:r>
      <w:r w:rsidR="00A816CE" w:rsidRPr="007C5A7F">
        <w:rPr>
          <w:rFonts w:ascii="Times New Roman" w:hAnsi="Times New Roman" w:cs="Times New Roman"/>
          <w:sz w:val="24"/>
          <w:szCs w:val="24"/>
        </w:rPr>
        <w:t xml:space="preserve"> </w:t>
      </w:r>
      <w:r w:rsidR="00051535" w:rsidRPr="007C5A7F">
        <w:rPr>
          <w:rFonts w:ascii="Times New Roman" w:hAnsi="Times New Roman" w:cs="Times New Roman"/>
          <w:sz w:val="24"/>
          <w:szCs w:val="24"/>
        </w:rPr>
        <w:t xml:space="preserve">It is trite that cancellation is a unilateral act which takes effect as at the time of its communication to the other party to the contract. </w:t>
      </w:r>
      <w:r w:rsidR="00F07950" w:rsidRPr="007C5A7F">
        <w:rPr>
          <w:rFonts w:ascii="Times New Roman" w:hAnsi="Times New Roman" w:cs="Times New Roman"/>
          <w:sz w:val="24"/>
          <w:szCs w:val="24"/>
        </w:rPr>
        <w:t xml:space="preserve"> It</w:t>
      </w:r>
      <w:r w:rsidR="00051535" w:rsidRPr="007C5A7F">
        <w:rPr>
          <w:rFonts w:ascii="Times New Roman" w:hAnsi="Times New Roman" w:cs="Times New Roman"/>
          <w:sz w:val="24"/>
          <w:szCs w:val="24"/>
        </w:rPr>
        <w:t xml:space="preserve"> requires no concurrence from the party receiving notification of the same. The effect of the cancellation was to put an end to the primary obligations between the parties. </w:t>
      </w:r>
      <w:r w:rsidR="00BB7462" w:rsidRPr="007C5A7F">
        <w:rPr>
          <w:rFonts w:ascii="Times New Roman" w:hAnsi="Times New Roman" w:cs="Times New Roman"/>
          <w:sz w:val="24"/>
          <w:szCs w:val="24"/>
        </w:rPr>
        <w:t>Primary obligations are those related to the performances due by the respecti</w:t>
      </w:r>
      <w:r w:rsidR="00E65145" w:rsidRPr="007C5A7F">
        <w:rPr>
          <w:rFonts w:ascii="Times New Roman" w:hAnsi="Times New Roman" w:cs="Times New Roman"/>
          <w:sz w:val="24"/>
          <w:szCs w:val="24"/>
        </w:rPr>
        <w:t>ve parties under the contract. I</w:t>
      </w:r>
      <w:r w:rsidR="00BB7462" w:rsidRPr="007C5A7F">
        <w:rPr>
          <w:rFonts w:ascii="Times New Roman" w:hAnsi="Times New Roman" w:cs="Times New Roman"/>
          <w:sz w:val="24"/>
          <w:szCs w:val="24"/>
        </w:rPr>
        <w:t>n the instant case, once the contract was terminated by the appellant, the entitlement to specific performance by the fourth res</w:t>
      </w:r>
      <w:r w:rsidR="00F07950" w:rsidRPr="007C5A7F">
        <w:rPr>
          <w:rFonts w:ascii="Times New Roman" w:hAnsi="Times New Roman" w:cs="Times New Roman"/>
          <w:sz w:val="24"/>
          <w:szCs w:val="24"/>
        </w:rPr>
        <w:t xml:space="preserve">pondent terminated.  </w:t>
      </w:r>
      <w:r w:rsidR="00BB7462" w:rsidRPr="007C5A7F">
        <w:rPr>
          <w:rFonts w:ascii="Times New Roman" w:hAnsi="Times New Roman" w:cs="Times New Roman"/>
          <w:sz w:val="24"/>
          <w:szCs w:val="24"/>
        </w:rPr>
        <w:t xml:space="preserve">In order to obtain specific performance under the cancelled contract, it behoved </w:t>
      </w:r>
      <w:r w:rsidR="006804EA" w:rsidRPr="007C5A7F">
        <w:rPr>
          <w:rFonts w:ascii="Times New Roman" w:hAnsi="Times New Roman" w:cs="Times New Roman"/>
          <w:sz w:val="24"/>
          <w:szCs w:val="24"/>
        </w:rPr>
        <w:t>the fourth respondent to</w:t>
      </w:r>
      <w:r w:rsidR="00BB7462" w:rsidRPr="007C5A7F">
        <w:rPr>
          <w:rFonts w:ascii="Times New Roman" w:hAnsi="Times New Roman" w:cs="Times New Roman"/>
          <w:sz w:val="24"/>
          <w:szCs w:val="24"/>
        </w:rPr>
        <w:t xml:space="preserve"> </w:t>
      </w:r>
      <w:r w:rsidR="007F143C" w:rsidRPr="007C5A7F">
        <w:rPr>
          <w:rFonts w:ascii="Times New Roman" w:hAnsi="Times New Roman" w:cs="Times New Roman"/>
          <w:sz w:val="24"/>
          <w:szCs w:val="24"/>
        </w:rPr>
        <w:t xml:space="preserve">first </w:t>
      </w:r>
      <w:r w:rsidR="00BB7462" w:rsidRPr="007C5A7F">
        <w:rPr>
          <w:rFonts w:ascii="Times New Roman" w:hAnsi="Times New Roman" w:cs="Times New Roman"/>
          <w:sz w:val="24"/>
          <w:szCs w:val="24"/>
        </w:rPr>
        <w:t>seek an order setting aside the cancellation as a basis for the order</w:t>
      </w:r>
      <w:r w:rsidR="00F07950" w:rsidRPr="007C5A7F">
        <w:rPr>
          <w:rFonts w:ascii="Times New Roman" w:hAnsi="Times New Roman" w:cs="Times New Roman"/>
          <w:sz w:val="24"/>
          <w:szCs w:val="24"/>
        </w:rPr>
        <w:t xml:space="preserve"> </w:t>
      </w:r>
      <w:r w:rsidR="006804EA" w:rsidRPr="007C5A7F">
        <w:rPr>
          <w:rFonts w:ascii="Times New Roman" w:hAnsi="Times New Roman" w:cs="Times New Roman"/>
          <w:sz w:val="24"/>
          <w:szCs w:val="24"/>
        </w:rPr>
        <w:t>prayed for</w:t>
      </w:r>
      <w:r w:rsidR="00F07950" w:rsidRPr="007C5A7F">
        <w:rPr>
          <w:rFonts w:ascii="Times New Roman" w:hAnsi="Times New Roman" w:cs="Times New Roman"/>
          <w:sz w:val="24"/>
          <w:szCs w:val="24"/>
        </w:rPr>
        <w:t xml:space="preserve">.  This he failed </w:t>
      </w:r>
      <w:r w:rsidR="00F07950" w:rsidRPr="007C5A7F">
        <w:rPr>
          <w:rFonts w:ascii="Times New Roman" w:hAnsi="Times New Roman" w:cs="Times New Roman"/>
          <w:sz w:val="24"/>
          <w:szCs w:val="24"/>
        </w:rPr>
        <w:lastRenderedPageBreak/>
        <w:t xml:space="preserve">to do.  </w:t>
      </w:r>
      <w:r w:rsidR="00BB7462" w:rsidRPr="007C5A7F">
        <w:rPr>
          <w:rFonts w:ascii="Times New Roman" w:hAnsi="Times New Roman" w:cs="Times New Roman"/>
          <w:sz w:val="24"/>
          <w:szCs w:val="24"/>
        </w:rPr>
        <w:t>The court in effect gave relief under an agreement that was no longer in existence for the performance of bilateral obligations.</w:t>
      </w:r>
    </w:p>
    <w:p w:rsidR="00381BAB" w:rsidRPr="007C5A7F" w:rsidRDefault="00BB7462" w:rsidP="00F07950">
      <w:pPr>
        <w:spacing w:after="0" w:line="240" w:lineRule="auto"/>
        <w:ind w:firstLine="1440"/>
        <w:jc w:val="both"/>
        <w:rPr>
          <w:rFonts w:ascii="Times New Roman" w:hAnsi="Times New Roman" w:cs="Times New Roman"/>
          <w:sz w:val="24"/>
          <w:szCs w:val="24"/>
        </w:rPr>
      </w:pPr>
      <w:r w:rsidRPr="007C5A7F">
        <w:rPr>
          <w:rFonts w:ascii="Times New Roman" w:hAnsi="Times New Roman" w:cs="Times New Roman"/>
          <w:sz w:val="24"/>
          <w:szCs w:val="24"/>
        </w:rPr>
        <w:t xml:space="preserve"> </w:t>
      </w:r>
    </w:p>
    <w:p w:rsidR="00A1221F" w:rsidRPr="007C5A7F" w:rsidRDefault="00F07950" w:rsidP="00F07950">
      <w:pPr>
        <w:tabs>
          <w:tab w:val="left" w:pos="1440"/>
        </w:tabs>
        <w:spacing w:after="0"/>
        <w:ind w:firstLine="720"/>
        <w:jc w:val="both"/>
        <w:rPr>
          <w:rFonts w:ascii="Times New Roman" w:hAnsi="Times New Roman" w:cs="Times New Roman"/>
          <w:sz w:val="24"/>
          <w:szCs w:val="24"/>
        </w:rPr>
      </w:pPr>
      <w:r w:rsidRPr="007C5A7F">
        <w:rPr>
          <w:rFonts w:ascii="Times New Roman" w:hAnsi="Times New Roman" w:cs="Times New Roman"/>
          <w:sz w:val="24"/>
          <w:szCs w:val="24"/>
        </w:rPr>
        <w:t xml:space="preserve">     </w:t>
      </w:r>
      <w:r w:rsidR="00A1221F" w:rsidRPr="007C5A7F">
        <w:rPr>
          <w:rFonts w:ascii="Times New Roman" w:hAnsi="Times New Roman" w:cs="Times New Roman"/>
          <w:sz w:val="24"/>
          <w:szCs w:val="24"/>
        </w:rPr>
        <w:t xml:space="preserve">The appellant has also attacked the judgment on the basis that the learned judge in the court </w:t>
      </w:r>
      <w:r w:rsidR="00A1221F" w:rsidRPr="007C5A7F">
        <w:rPr>
          <w:rFonts w:ascii="Times New Roman" w:hAnsi="Times New Roman" w:cs="Times New Roman"/>
          <w:i/>
          <w:sz w:val="24"/>
          <w:szCs w:val="24"/>
        </w:rPr>
        <w:t>a quo</w:t>
      </w:r>
      <w:r w:rsidR="00A1221F" w:rsidRPr="007C5A7F">
        <w:rPr>
          <w:rFonts w:ascii="Times New Roman" w:hAnsi="Times New Roman" w:cs="Times New Roman"/>
          <w:sz w:val="24"/>
          <w:szCs w:val="24"/>
        </w:rPr>
        <w:t xml:space="preserve"> granted </w:t>
      </w:r>
      <w:r w:rsidRPr="007C5A7F">
        <w:rPr>
          <w:rFonts w:ascii="Times New Roman" w:hAnsi="Times New Roman" w:cs="Times New Roman"/>
          <w:sz w:val="24"/>
          <w:szCs w:val="24"/>
        </w:rPr>
        <w:t>an order</w:t>
      </w:r>
      <w:r w:rsidR="00A1221F" w:rsidRPr="007C5A7F">
        <w:rPr>
          <w:rFonts w:ascii="Times New Roman" w:hAnsi="Times New Roman" w:cs="Times New Roman"/>
          <w:sz w:val="24"/>
          <w:szCs w:val="24"/>
        </w:rPr>
        <w:t xml:space="preserve"> for specific performance in favour of a litigant who was a party in a </w:t>
      </w:r>
      <w:proofErr w:type="spellStart"/>
      <w:r w:rsidR="00A1221F" w:rsidRPr="007C5A7F">
        <w:rPr>
          <w:rFonts w:ascii="Times New Roman" w:hAnsi="Times New Roman" w:cs="Times New Roman"/>
          <w:sz w:val="24"/>
          <w:szCs w:val="24"/>
        </w:rPr>
        <w:t>synallagmatic</w:t>
      </w:r>
      <w:proofErr w:type="spellEnd"/>
      <w:r w:rsidR="00A1221F" w:rsidRPr="007C5A7F">
        <w:rPr>
          <w:rFonts w:ascii="Times New Roman" w:hAnsi="Times New Roman" w:cs="Times New Roman"/>
          <w:sz w:val="24"/>
          <w:szCs w:val="24"/>
        </w:rPr>
        <w:t xml:space="preserve"> contract under circumstances where such party had himself not pre</w:t>
      </w:r>
      <w:r w:rsidR="003613FB" w:rsidRPr="007C5A7F">
        <w:rPr>
          <w:rFonts w:ascii="Times New Roman" w:hAnsi="Times New Roman" w:cs="Times New Roman"/>
          <w:sz w:val="24"/>
          <w:szCs w:val="24"/>
        </w:rPr>
        <w:t>-</w:t>
      </w:r>
      <w:r w:rsidR="00A1221F" w:rsidRPr="007C5A7F">
        <w:rPr>
          <w:rFonts w:ascii="Times New Roman" w:hAnsi="Times New Roman" w:cs="Times New Roman"/>
          <w:sz w:val="24"/>
          <w:szCs w:val="24"/>
        </w:rPr>
        <w:t xml:space="preserve">stated. </w:t>
      </w:r>
      <w:r w:rsidRPr="007C5A7F">
        <w:rPr>
          <w:rFonts w:ascii="Times New Roman" w:hAnsi="Times New Roman" w:cs="Times New Roman"/>
          <w:sz w:val="24"/>
          <w:szCs w:val="24"/>
        </w:rPr>
        <w:t xml:space="preserve"> </w:t>
      </w:r>
      <w:r w:rsidR="00A1221F" w:rsidRPr="007C5A7F">
        <w:rPr>
          <w:rFonts w:ascii="Times New Roman" w:hAnsi="Times New Roman" w:cs="Times New Roman"/>
          <w:sz w:val="24"/>
          <w:szCs w:val="24"/>
        </w:rPr>
        <w:t xml:space="preserve">The position of the law governing such contracts was stated by </w:t>
      </w:r>
      <w:r w:rsidR="00A1221F" w:rsidRPr="007C5A7F">
        <w:rPr>
          <w:rFonts w:ascii="Times New Roman" w:hAnsi="Times New Roman" w:cs="Times New Roman"/>
          <w:b/>
          <w:sz w:val="24"/>
          <w:szCs w:val="24"/>
        </w:rPr>
        <w:t xml:space="preserve">PATEL </w:t>
      </w:r>
      <w:r w:rsidRPr="007C5A7F">
        <w:rPr>
          <w:rFonts w:ascii="Times New Roman" w:hAnsi="Times New Roman" w:cs="Times New Roman"/>
          <w:b/>
          <w:sz w:val="24"/>
          <w:szCs w:val="24"/>
        </w:rPr>
        <w:t>J</w:t>
      </w:r>
      <w:r w:rsidRPr="007C5A7F">
        <w:rPr>
          <w:rFonts w:ascii="Times New Roman" w:hAnsi="Times New Roman" w:cs="Times New Roman"/>
          <w:sz w:val="24"/>
          <w:szCs w:val="24"/>
        </w:rPr>
        <w:t xml:space="preserve"> (</w:t>
      </w:r>
      <w:r w:rsidR="00A1221F" w:rsidRPr="007C5A7F">
        <w:rPr>
          <w:rFonts w:ascii="Times New Roman" w:hAnsi="Times New Roman" w:cs="Times New Roman"/>
          <w:sz w:val="24"/>
          <w:szCs w:val="24"/>
        </w:rPr>
        <w:t>as he then was)</w:t>
      </w:r>
      <w:r w:rsidR="00255A63" w:rsidRPr="007C5A7F">
        <w:rPr>
          <w:rFonts w:ascii="Times New Roman" w:hAnsi="Times New Roman" w:cs="Times New Roman"/>
          <w:sz w:val="24"/>
          <w:szCs w:val="24"/>
        </w:rPr>
        <w:t xml:space="preserve"> to be:</w:t>
      </w:r>
    </w:p>
    <w:p w:rsidR="00255A63" w:rsidRPr="007C5A7F" w:rsidRDefault="00255A63" w:rsidP="00F07950">
      <w:pPr>
        <w:spacing w:after="0" w:line="240" w:lineRule="auto"/>
        <w:ind w:left="720"/>
        <w:jc w:val="both"/>
        <w:rPr>
          <w:rFonts w:ascii="Times New Roman" w:hAnsi="Times New Roman" w:cs="Times New Roman"/>
          <w:sz w:val="24"/>
          <w:szCs w:val="24"/>
        </w:rPr>
      </w:pPr>
      <w:r w:rsidRPr="007C5A7F">
        <w:rPr>
          <w:rFonts w:ascii="Times New Roman" w:hAnsi="Times New Roman" w:cs="Times New Roman"/>
          <w:sz w:val="24"/>
          <w:szCs w:val="24"/>
        </w:rPr>
        <w:t xml:space="preserve">“It is a fundamental premise of </w:t>
      </w:r>
      <w:r w:rsidR="00686080" w:rsidRPr="007C5A7F">
        <w:rPr>
          <w:rFonts w:ascii="Times New Roman" w:hAnsi="Times New Roman" w:cs="Times New Roman"/>
          <w:sz w:val="24"/>
          <w:szCs w:val="24"/>
        </w:rPr>
        <w:t>every</w:t>
      </w:r>
      <w:r w:rsidR="00CF3AC0" w:rsidRPr="007C5A7F">
        <w:rPr>
          <w:rFonts w:ascii="Times New Roman" w:hAnsi="Times New Roman" w:cs="Times New Roman"/>
          <w:sz w:val="24"/>
          <w:szCs w:val="24"/>
        </w:rPr>
        <w:t xml:space="preserve"> </w:t>
      </w:r>
      <w:r w:rsidR="00686080" w:rsidRPr="007C5A7F">
        <w:rPr>
          <w:rFonts w:ascii="Times New Roman" w:hAnsi="Times New Roman" w:cs="Times New Roman"/>
          <w:sz w:val="24"/>
          <w:szCs w:val="24"/>
        </w:rPr>
        <w:t xml:space="preserve">contract that both parties will duly carry </w:t>
      </w:r>
      <w:r w:rsidRPr="007C5A7F">
        <w:rPr>
          <w:rFonts w:ascii="Times New Roman" w:hAnsi="Times New Roman" w:cs="Times New Roman"/>
          <w:sz w:val="24"/>
          <w:szCs w:val="24"/>
        </w:rPr>
        <w:t>out their respective obligations. See Green v Lutz 1966 RLR 633; ESE Financial Services (Pty) Ltd v Cramer 1975(2</w:t>
      </w:r>
      <w:proofErr w:type="gramStart"/>
      <w:r w:rsidRPr="007C5A7F">
        <w:rPr>
          <w:rFonts w:ascii="Times New Roman" w:hAnsi="Times New Roman" w:cs="Times New Roman"/>
          <w:sz w:val="24"/>
          <w:szCs w:val="24"/>
        </w:rPr>
        <w:t>)SA</w:t>
      </w:r>
      <w:proofErr w:type="gramEnd"/>
      <w:r w:rsidRPr="007C5A7F">
        <w:rPr>
          <w:rFonts w:ascii="Times New Roman" w:hAnsi="Times New Roman" w:cs="Times New Roman"/>
          <w:sz w:val="24"/>
          <w:szCs w:val="24"/>
        </w:rPr>
        <w:t xml:space="preserve"> 805(C)at 808-809. As is explained by Christie; Business Law in Zimbabwe at </w:t>
      </w:r>
      <w:proofErr w:type="spellStart"/>
      <w:r w:rsidRPr="007C5A7F">
        <w:rPr>
          <w:rFonts w:ascii="Times New Roman" w:hAnsi="Times New Roman" w:cs="Times New Roman"/>
          <w:sz w:val="24"/>
          <w:szCs w:val="24"/>
        </w:rPr>
        <w:t>pp</w:t>
      </w:r>
      <w:proofErr w:type="spellEnd"/>
      <w:r w:rsidRPr="007C5A7F">
        <w:rPr>
          <w:rFonts w:ascii="Times New Roman" w:hAnsi="Times New Roman" w:cs="Times New Roman"/>
          <w:sz w:val="24"/>
          <w:szCs w:val="24"/>
        </w:rPr>
        <w:t xml:space="preserve"> 106 &amp;119;</w:t>
      </w:r>
    </w:p>
    <w:p w:rsidR="00255A63" w:rsidRPr="007C5A7F" w:rsidRDefault="00255A63" w:rsidP="00F07950">
      <w:pPr>
        <w:spacing w:line="240" w:lineRule="auto"/>
        <w:ind w:left="1440"/>
        <w:jc w:val="both"/>
        <w:rPr>
          <w:rFonts w:ascii="Times New Roman" w:hAnsi="Times New Roman" w:cs="Times New Roman"/>
          <w:sz w:val="24"/>
          <w:szCs w:val="24"/>
        </w:rPr>
      </w:pPr>
      <w:r w:rsidRPr="007C5A7F">
        <w:rPr>
          <w:rFonts w:ascii="Times New Roman" w:hAnsi="Times New Roman" w:cs="Times New Roman"/>
          <w:sz w:val="24"/>
          <w:szCs w:val="24"/>
        </w:rPr>
        <w:t xml:space="preserve">‘There is a presumption that in every bilateral or </w:t>
      </w:r>
      <w:proofErr w:type="spellStart"/>
      <w:r w:rsidRPr="007C5A7F">
        <w:rPr>
          <w:rFonts w:ascii="Times New Roman" w:hAnsi="Times New Roman" w:cs="Times New Roman"/>
          <w:sz w:val="24"/>
          <w:szCs w:val="24"/>
        </w:rPr>
        <w:t>synallagmatic</w:t>
      </w:r>
      <w:proofErr w:type="spellEnd"/>
      <w:r w:rsidRPr="007C5A7F">
        <w:rPr>
          <w:rFonts w:ascii="Times New Roman" w:hAnsi="Times New Roman" w:cs="Times New Roman"/>
          <w:sz w:val="24"/>
          <w:szCs w:val="24"/>
        </w:rPr>
        <w:t xml:space="preserve"> contract,</w:t>
      </w:r>
      <w:r w:rsidR="008F7FDB" w:rsidRPr="007C5A7F">
        <w:rPr>
          <w:rFonts w:ascii="Times New Roman" w:hAnsi="Times New Roman" w:cs="Times New Roman"/>
          <w:sz w:val="24"/>
          <w:szCs w:val="24"/>
        </w:rPr>
        <w:t xml:space="preserve"> </w:t>
      </w:r>
      <w:r w:rsidRPr="007C5A7F">
        <w:rPr>
          <w:rFonts w:ascii="Times New Roman" w:hAnsi="Times New Roman" w:cs="Times New Roman"/>
          <w:sz w:val="24"/>
          <w:szCs w:val="24"/>
        </w:rPr>
        <w:t xml:space="preserve">i.e. one in which each party undertakes obligations towards the other, the common intention is that neither should be entitled to enforce the contract unless he has performed or is ready to perform </w:t>
      </w:r>
      <w:r w:rsidR="008F7FDB" w:rsidRPr="007C5A7F">
        <w:rPr>
          <w:rFonts w:ascii="Times New Roman" w:hAnsi="Times New Roman" w:cs="Times New Roman"/>
          <w:sz w:val="24"/>
          <w:szCs w:val="24"/>
        </w:rPr>
        <w:t>his own obligations…….Conversely, a party who has caused the other to commit a breach cannot found a claim on the breach</w:t>
      </w:r>
      <w:r w:rsidR="00F07950" w:rsidRPr="007C5A7F">
        <w:rPr>
          <w:rFonts w:ascii="Times New Roman" w:hAnsi="Times New Roman" w:cs="Times New Roman"/>
          <w:sz w:val="24"/>
          <w:szCs w:val="24"/>
        </w:rPr>
        <w:t>…</w:t>
      </w:r>
      <w:r w:rsidR="00064836" w:rsidRPr="007C5A7F">
        <w:rPr>
          <w:rFonts w:ascii="Times New Roman" w:hAnsi="Times New Roman" w:cs="Times New Roman"/>
          <w:sz w:val="24"/>
          <w:szCs w:val="24"/>
        </w:rPr>
        <w:t>.’</w:t>
      </w:r>
      <w:r w:rsidR="008F7FDB" w:rsidRPr="007C5A7F">
        <w:rPr>
          <w:rFonts w:ascii="Times New Roman" w:hAnsi="Times New Roman" w:cs="Times New Roman"/>
          <w:sz w:val="24"/>
          <w:szCs w:val="24"/>
        </w:rPr>
        <w:t>”</w:t>
      </w:r>
      <w:r w:rsidR="00620A75" w:rsidRPr="007C5A7F">
        <w:rPr>
          <w:rStyle w:val="FootnoteReference"/>
          <w:rFonts w:ascii="Times New Roman" w:hAnsi="Times New Roman" w:cs="Times New Roman"/>
          <w:sz w:val="24"/>
          <w:szCs w:val="24"/>
        </w:rPr>
        <w:footnoteReference w:id="1"/>
      </w:r>
    </w:p>
    <w:p w:rsidR="00F07950" w:rsidRPr="007C5A7F" w:rsidRDefault="00F07950" w:rsidP="00F07950">
      <w:pPr>
        <w:spacing w:after="0" w:line="240" w:lineRule="auto"/>
        <w:ind w:left="1440"/>
        <w:jc w:val="both"/>
        <w:rPr>
          <w:rFonts w:ascii="Times New Roman" w:hAnsi="Times New Roman" w:cs="Times New Roman"/>
          <w:sz w:val="24"/>
          <w:szCs w:val="24"/>
        </w:rPr>
      </w:pPr>
    </w:p>
    <w:p w:rsidR="008F7FDB" w:rsidRPr="007C5A7F" w:rsidRDefault="008F7FDB" w:rsidP="00F07950">
      <w:pPr>
        <w:spacing w:after="0" w:line="240" w:lineRule="auto"/>
        <w:ind w:firstLine="720"/>
        <w:jc w:val="both"/>
        <w:rPr>
          <w:rFonts w:ascii="Times New Roman" w:hAnsi="Times New Roman" w:cs="Times New Roman"/>
          <w:sz w:val="24"/>
          <w:szCs w:val="24"/>
        </w:rPr>
      </w:pPr>
    </w:p>
    <w:p w:rsidR="00B70C18" w:rsidRPr="007C5A7F" w:rsidRDefault="00F07950" w:rsidP="00F07950">
      <w:pPr>
        <w:tabs>
          <w:tab w:val="left" w:pos="1440"/>
        </w:tabs>
        <w:ind w:firstLine="720"/>
        <w:jc w:val="both"/>
        <w:rPr>
          <w:rFonts w:ascii="Times New Roman" w:hAnsi="Times New Roman" w:cs="Times New Roman"/>
          <w:sz w:val="24"/>
          <w:szCs w:val="24"/>
        </w:rPr>
      </w:pPr>
      <w:r w:rsidRPr="007C5A7F">
        <w:rPr>
          <w:rFonts w:ascii="Times New Roman" w:hAnsi="Times New Roman" w:cs="Times New Roman"/>
          <w:sz w:val="24"/>
          <w:szCs w:val="24"/>
        </w:rPr>
        <w:t xml:space="preserve">     </w:t>
      </w:r>
      <w:r w:rsidR="00770611">
        <w:rPr>
          <w:rFonts w:ascii="Times New Roman" w:hAnsi="Times New Roman" w:cs="Times New Roman"/>
          <w:sz w:val="24"/>
          <w:szCs w:val="24"/>
        </w:rPr>
        <w:tab/>
      </w:r>
      <w:r w:rsidR="008F7FDB" w:rsidRPr="007C5A7F">
        <w:rPr>
          <w:rFonts w:ascii="Times New Roman" w:hAnsi="Times New Roman" w:cs="Times New Roman"/>
          <w:sz w:val="24"/>
          <w:szCs w:val="24"/>
        </w:rPr>
        <w:t xml:space="preserve">It was contended on behalf of the appellant that the live issue for determination was whether the fourth respondent had paid the appellant’s creditors in accordance with the terms of the contract of sale. </w:t>
      </w:r>
      <w:r w:rsidRPr="007C5A7F">
        <w:rPr>
          <w:rFonts w:ascii="Times New Roman" w:hAnsi="Times New Roman" w:cs="Times New Roman"/>
          <w:sz w:val="24"/>
          <w:szCs w:val="24"/>
        </w:rPr>
        <w:t xml:space="preserve"> </w:t>
      </w:r>
      <w:r w:rsidR="008F7FDB" w:rsidRPr="007C5A7F">
        <w:rPr>
          <w:rFonts w:ascii="Times New Roman" w:hAnsi="Times New Roman" w:cs="Times New Roman"/>
          <w:sz w:val="24"/>
          <w:szCs w:val="24"/>
        </w:rPr>
        <w:t xml:space="preserve">It was argued that the court </w:t>
      </w:r>
      <w:r w:rsidR="008F7FDB" w:rsidRPr="007C5A7F">
        <w:rPr>
          <w:rFonts w:ascii="Times New Roman" w:hAnsi="Times New Roman" w:cs="Times New Roman"/>
          <w:i/>
          <w:sz w:val="24"/>
          <w:szCs w:val="24"/>
        </w:rPr>
        <w:t>a quo</w:t>
      </w:r>
      <w:r w:rsidR="008F7FDB" w:rsidRPr="007C5A7F">
        <w:rPr>
          <w:rFonts w:ascii="Times New Roman" w:hAnsi="Times New Roman" w:cs="Times New Roman"/>
          <w:sz w:val="24"/>
          <w:szCs w:val="24"/>
        </w:rPr>
        <w:t xml:space="preserve"> erred in resolving the dispute on an erroneous acceptance by the appellant in other proceedings to the effect that payment in respect of the purchase price for the immovable property had been made in full.</w:t>
      </w:r>
    </w:p>
    <w:p w:rsidR="00F07950" w:rsidRPr="007C5A7F" w:rsidRDefault="00F07950" w:rsidP="00F07950">
      <w:pPr>
        <w:tabs>
          <w:tab w:val="left" w:pos="1440"/>
        </w:tabs>
        <w:spacing w:after="0" w:line="240" w:lineRule="auto"/>
        <w:ind w:firstLine="720"/>
        <w:jc w:val="both"/>
        <w:rPr>
          <w:rFonts w:ascii="Times New Roman" w:hAnsi="Times New Roman" w:cs="Times New Roman"/>
          <w:sz w:val="24"/>
          <w:szCs w:val="24"/>
        </w:rPr>
      </w:pPr>
    </w:p>
    <w:p w:rsidR="007F143C" w:rsidRPr="007C5A7F" w:rsidRDefault="00B70C18" w:rsidP="00F07950">
      <w:pPr>
        <w:ind w:firstLine="1440"/>
        <w:jc w:val="both"/>
        <w:rPr>
          <w:rFonts w:ascii="Times New Roman" w:hAnsi="Times New Roman" w:cs="Times New Roman"/>
          <w:sz w:val="24"/>
          <w:szCs w:val="24"/>
        </w:rPr>
      </w:pPr>
      <w:r w:rsidRPr="007C5A7F">
        <w:rPr>
          <w:rFonts w:ascii="Times New Roman" w:hAnsi="Times New Roman" w:cs="Times New Roman"/>
          <w:sz w:val="24"/>
          <w:szCs w:val="24"/>
        </w:rPr>
        <w:t xml:space="preserve">It is fair to state that the papers filed in the court </w:t>
      </w:r>
      <w:r w:rsidRPr="007C5A7F">
        <w:rPr>
          <w:rFonts w:ascii="Times New Roman" w:hAnsi="Times New Roman" w:cs="Times New Roman"/>
          <w:i/>
          <w:sz w:val="24"/>
          <w:szCs w:val="24"/>
        </w:rPr>
        <w:t>a quo</w:t>
      </w:r>
      <w:r w:rsidRPr="007C5A7F">
        <w:rPr>
          <w:rFonts w:ascii="Times New Roman" w:hAnsi="Times New Roman" w:cs="Times New Roman"/>
          <w:sz w:val="24"/>
          <w:szCs w:val="24"/>
        </w:rPr>
        <w:t xml:space="preserve"> by both parties are the cause of the confusion which </w:t>
      </w:r>
      <w:r w:rsidR="00487B43" w:rsidRPr="007C5A7F">
        <w:rPr>
          <w:rFonts w:ascii="Times New Roman" w:hAnsi="Times New Roman" w:cs="Times New Roman"/>
          <w:sz w:val="24"/>
          <w:szCs w:val="24"/>
        </w:rPr>
        <w:t xml:space="preserve">bedevilled the learned judge who had to deal with this matter. </w:t>
      </w:r>
      <w:r w:rsidR="00F07950" w:rsidRPr="007C5A7F">
        <w:rPr>
          <w:rFonts w:ascii="Times New Roman" w:hAnsi="Times New Roman" w:cs="Times New Roman"/>
          <w:sz w:val="24"/>
          <w:szCs w:val="24"/>
        </w:rPr>
        <w:t xml:space="preserve"> </w:t>
      </w:r>
      <w:r w:rsidR="00487B43" w:rsidRPr="007C5A7F">
        <w:rPr>
          <w:rFonts w:ascii="Times New Roman" w:hAnsi="Times New Roman" w:cs="Times New Roman"/>
          <w:sz w:val="24"/>
          <w:szCs w:val="24"/>
        </w:rPr>
        <w:t xml:space="preserve">Due to the multiplicity of actions and the extended period over which such actions were dealt </w:t>
      </w:r>
      <w:r w:rsidR="00487B43" w:rsidRPr="007C5A7F">
        <w:rPr>
          <w:rFonts w:ascii="Times New Roman" w:hAnsi="Times New Roman" w:cs="Times New Roman"/>
          <w:sz w:val="24"/>
          <w:szCs w:val="24"/>
        </w:rPr>
        <w:lastRenderedPageBreak/>
        <w:t xml:space="preserve">with the parties thereto had to make statements on oath as to their respective positions. For this reason in seeking to defeat the application by the first and </w:t>
      </w:r>
      <w:r w:rsidR="00F07950" w:rsidRPr="007C5A7F">
        <w:rPr>
          <w:rFonts w:ascii="Times New Roman" w:hAnsi="Times New Roman" w:cs="Times New Roman"/>
          <w:sz w:val="24"/>
          <w:szCs w:val="24"/>
        </w:rPr>
        <w:t xml:space="preserve">the </w:t>
      </w:r>
      <w:r w:rsidR="00487B43" w:rsidRPr="007C5A7F">
        <w:rPr>
          <w:rFonts w:ascii="Times New Roman" w:hAnsi="Times New Roman" w:cs="Times New Roman"/>
          <w:sz w:val="24"/>
          <w:szCs w:val="24"/>
        </w:rPr>
        <w:t>second respondents for an interdict against transfer to the fourth respondent, the appellant stated that having cance</w:t>
      </w:r>
      <w:r w:rsidR="00FD7E43" w:rsidRPr="007C5A7F">
        <w:rPr>
          <w:rFonts w:ascii="Times New Roman" w:hAnsi="Times New Roman" w:cs="Times New Roman"/>
          <w:sz w:val="24"/>
          <w:szCs w:val="24"/>
        </w:rPr>
        <w:t>lled his agreement with them he</w:t>
      </w:r>
      <w:r w:rsidR="00487B43" w:rsidRPr="007C5A7F">
        <w:rPr>
          <w:rFonts w:ascii="Times New Roman" w:hAnsi="Times New Roman" w:cs="Times New Roman"/>
          <w:sz w:val="24"/>
          <w:szCs w:val="24"/>
        </w:rPr>
        <w:t xml:space="preserve"> had concluded another with the fourth respondent whom he said had fully complied with his obligations under the second agreement. </w:t>
      </w:r>
      <w:r w:rsidR="00F07950" w:rsidRPr="007C5A7F">
        <w:rPr>
          <w:rFonts w:ascii="Times New Roman" w:hAnsi="Times New Roman" w:cs="Times New Roman"/>
          <w:sz w:val="24"/>
          <w:szCs w:val="24"/>
        </w:rPr>
        <w:t xml:space="preserve"> </w:t>
      </w:r>
      <w:r w:rsidR="00487B43" w:rsidRPr="007C5A7F">
        <w:rPr>
          <w:rFonts w:ascii="Times New Roman" w:hAnsi="Times New Roman" w:cs="Times New Roman"/>
          <w:sz w:val="24"/>
          <w:szCs w:val="24"/>
        </w:rPr>
        <w:t xml:space="preserve">The affidavit in question was deposed </w:t>
      </w:r>
      <w:r w:rsidR="00F07950" w:rsidRPr="007C5A7F">
        <w:rPr>
          <w:rFonts w:ascii="Times New Roman" w:hAnsi="Times New Roman" w:cs="Times New Roman"/>
          <w:sz w:val="24"/>
          <w:szCs w:val="24"/>
        </w:rPr>
        <w:t>to on 6 </w:t>
      </w:r>
      <w:r w:rsidR="007D15C7" w:rsidRPr="007C5A7F">
        <w:rPr>
          <w:rFonts w:ascii="Times New Roman" w:hAnsi="Times New Roman" w:cs="Times New Roman"/>
          <w:sz w:val="24"/>
          <w:szCs w:val="24"/>
        </w:rPr>
        <w:t xml:space="preserve">November 2002. </w:t>
      </w:r>
      <w:r w:rsidR="00F07950" w:rsidRPr="007C5A7F">
        <w:rPr>
          <w:rFonts w:ascii="Times New Roman" w:hAnsi="Times New Roman" w:cs="Times New Roman"/>
          <w:sz w:val="24"/>
          <w:szCs w:val="24"/>
        </w:rPr>
        <w:t xml:space="preserve"> </w:t>
      </w:r>
      <w:r w:rsidR="007D15C7" w:rsidRPr="007C5A7F">
        <w:rPr>
          <w:rFonts w:ascii="Times New Roman" w:hAnsi="Times New Roman" w:cs="Times New Roman"/>
          <w:sz w:val="24"/>
          <w:szCs w:val="24"/>
        </w:rPr>
        <w:t xml:space="preserve">On 16 October 2008, the appellant, in the affidavit in support of his application for the </w:t>
      </w:r>
      <w:proofErr w:type="spellStart"/>
      <w:r w:rsidR="007D15C7" w:rsidRPr="007C5A7F">
        <w:rPr>
          <w:rFonts w:ascii="Times New Roman" w:hAnsi="Times New Roman" w:cs="Times New Roman"/>
          <w:sz w:val="24"/>
          <w:szCs w:val="24"/>
        </w:rPr>
        <w:t>upliftment</w:t>
      </w:r>
      <w:proofErr w:type="spellEnd"/>
      <w:r w:rsidR="007D15C7" w:rsidRPr="007C5A7F">
        <w:rPr>
          <w:rFonts w:ascii="Times New Roman" w:hAnsi="Times New Roman" w:cs="Times New Roman"/>
          <w:sz w:val="24"/>
          <w:szCs w:val="24"/>
        </w:rPr>
        <w:t xml:space="preserve"> of the </w:t>
      </w:r>
      <w:r w:rsidR="007F143C" w:rsidRPr="007C5A7F">
        <w:rPr>
          <w:rFonts w:ascii="Times New Roman" w:hAnsi="Times New Roman" w:cs="Times New Roman"/>
          <w:sz w:val="24"/>
          <w:szCs w:val="24"/>
        </w:rPr>
        <w:t xml:space="preserve">automatic </w:t>
      </w:r>
      <w:r w:rsidR="007D15C7" w:rsidRPr="007C5A7F">
        <w:rPr>
          <w:rFonts w:ascii="Times New Roman" w:hAnsi="Times New Roman" w:cs="Times New Roman"/>
          <w:sz w:val="24"/>
          <w:szCs w:val="24"/>
        </w:rPr>
        <w:t>bar</w:t>
      </w:r>
      <w:r w:rsidR="00CD42BE" w:rsidRPr="007C5A7F">
        <w:rPr>
          <w:rFonts w:ascii="Times New Roman" w:hAnsi="Times New Roman" w:cs="Times New Roman"/>
          <w:sz w:val="24"/>
          <w:szCs w:val="24"/>
        </w:rPr>
        <w:t>,</w:t>
      </w:r>
      <w:r w:rsidR="007D15C7" w:rsidRPr="007C5A7F">
        <w:rPr>
          <w:rFonts w:ascii="Times New Roman" w:hAnsi="Times New Roman" w:cs="Times New Roman"/>
          <w:sz w:val="24"/>
          <w:szCs w:val="24"/>
        </w:rPr>
        <w:t xml:space="preserve"> averred that the fourth respondent had furnished him with cheques which were returned unpaid by his bankers. </w:t>
      </w:r>
    </w:p>
    <w:p w:rsidR="00E72756" w:rsidRPr="007C5A7F" w:rsidRDefault="00E72756" w:rsidP="00E72756">
      <w:pPr>
        <w:spacing w:line="240" w:lineRule="auto"/>
        <w:ind w:firstLine="1440"/>
        <w:jc w:val="both"/>
        <w:rPr>
          <w:rFonts w:ascii="Times New Roman" w:hAnsi="Times New Roman" w:cs="Times New Roman"/>
          <w:sz w:val="24"/>
          <w:szCs w:val="24"/>
        </w:rPr>
      </w:pPr>
    </w:p>
    <w:p w:rsidR="003613FB" w:rsidRPr="007C5A7F" w:rsidRDefault="00A862C3" w:rsidP="00F07950">
      <w:pPr>
        <w:ind w:firstLine="1440"/>
        <w:jc w:val="both"/>
        <w:rPr>
          <w:rFonts w:ascii="Times New Roman" w:hAnsi="Times New Roman" w:cs="Times New Roman"/>
          <w:sz w:val="24"/>
          <w:szCs w:val="24"/>
        </w:rPr>
      </w:pPr>
      <w:r w:rsidRPr="007C5A7F">
        <w:rPr>
          <w:rFonts w:ascii="Times New Roman" w:hAnsi="Times New Roman" w:cs="Times New Roman"/>
          <w:sz w:val="24"/>
          <w:szCs w:val="24"/>
        </w:rPr>
        <w:t xml:space="preserve">A statement produced by the appellant tends to show that a cheque in the sum of Z$2 697 236.53 deposited into the appellant’s account with </w:t>
      </w:r>
      <w:proofErr w:type="spellStart"/>
      <w:r w:rsidRPr="007C5A7F">
        <w:rPr>
          <w:rFonts w:ascii="Times New Roman" w:hAnsi="Times New Roman" w:cs="Times New Roman"/>
          <w:sz w:val="24"/>
          <w:szCs w:val="24"/>
        </w:rPr>
        <w:t>Intermarket</w:t>
      </w:r>
      <w:proofErr w:type="spellEnd"/>
      <w:r w:rsidRPr="007C5A7F">
        <w:rPr>
          <w:rFonts w:ascii="Times New Roman" w:hAnsi="Times New Roman" w:cs="Times New Roman"/>
          <w:sz w:val="24"/>
          <w:szCs w:val="24"/>
        </w:rPr>
        <w:t xml:space="preserve"> Building Society on three occasions was returned </w:t>
      </w:r>
      <w:r w:rsidR="007F143C" w:rsidRPr="007C5A7F">
        <w:rPr>
          <w:rFonts w:ascii="Times New Roman" w:hAnsi="Times New Roman" w:cs="Times New Roman"/>
          <w:sz w:val="24"/>
          <w:szCs w:val="24"/>
        </w:rPr>
        <w:t xml:space="preserve">unpaid </w:t>
      </w:r>
      <w:r w:rsidRPr="007C5A7F">
        <w:rPr>
          <w:rFonts w:ascii="Times New Roman" w:hAnsi="Times New Roman" w:cs="Times New Roman"/>
          <w:sz w:val="24"/>
          <w:szCs w:val="24"/>
        </w:rPr>
        <w:t>each time. The amount in question was never credited to the appellant’s account.</w:t>
      </w:r>
    </w:p>
    <w:p w:rsidR="008F7FDB" w:rsidRPr="007C5A7F" w:rsidRDefault="00A862C3" w:rsidP="003613FB">
      <w:pPr>
        <w:spacing w:line="240" w:lineRule="auto"/>
        <w:ind w:firstLine="1440"/>
        <w:jc w:val="both"/>
        <w:rPr>
          <w:rFonts w:ascii="Times New Roman" w:hAnsi="Times New Roman" w:cs="Times New Roman"/>
          <w:sz w:val="24"/>
          <w:szCs w:val="24"/>
        </w:rPr>
      </w:pPr>
      <w:r w:rsidRPr="007C5A7F">
        <w:rPr>
          <w:rFonts w:ascii="Times New Roman" w:hAnsi="Times New Roman" w:cs="Times New Roman"/>
          <w:sz w:val="24"/>
          <w:szCs w:val="24"/>
        </w:rPr>
        <w:t xml:space="preserve"> </w:t>
      </w:r>
    </w:p>
    <w:p w:rsidR="00F07950" w:rsidRPr="007C5A7F" w:rsidRDefault="00F07950" w:rsidP="00F07950">
      <w:pPr>
        <w:spacing w:after="0" w:line="240" w:lineRule="auto"/>
        <w:ind w:firstLine="1440"/>
        <w:jc w:val="both"/>
        <w:rPr>
          <w:rFonts w:ascii="Times New Roman" w:hAnsi="Times New Roman" w:cs="Times New Roman"/>
          <w:sz w:val="24"/>
          <w:szCs w:val="24"/>
        </w:rPr>
      </w:pPr>
    </w:p>
    <w:p w:rsidR="00E72756" w:rsidRPr="007C5A7F" w:rsidRDefault="008A151F" w:rsidP="007F143C">
      <w:pPr>
        <w:ind w:firstLine="1440"/>
        <w:jc w:val="both"/>
        <w:rPr>
          <w:rFonts w:ascii="Times New Roman" w:hAnsi="Times New Roman" w:cs="Times New Roman"/>
          <w:sz w:val="24"/>
          <w:szCs w:val="24"/>
        </w:rPr>
      </w:pPr>
      <w:r w:rsidRPr="007C5A7F">
        <w:rPr>
          <w:rFonts w:ascii="Times New Roman" w:hAnsi="Times New Roman" w:cs="Times New Roman"/>
          <w:sz w:val="24"/>
          <w:szCs w:val="24"/>
        </w:rPr>
        <w:t xml:space="preserve">Although the court </w:t>
      </w:r>
      <w:r w:rsidRPr="007C5A7F">
        <w:rPr>
          <w:rFonts w:ascii="Times New Roman" w:hAnsi="Times New Roman" w:cs="Times New Roman"/>
          <w:i/>
          <w:sz w:val="24"/>
          <w:szCs w:val="24"/>
        </w:rPr>
        <w:t>a quo</w:t>
      </w:r>
      <w:r w:rsidRPr="007C5A7F">
        <w:rPr>
          <w:rFonts w:ascii="Times New Roman" w:hAnsi="Times New Roman" w:cs="Times New Roman"/>
          <w:sz w:val="24"/>
          <w:szCs w:val="24"/>
        </w:rPr>
        <w:t xml:space="preserve"> found as a fact that a cheque in the said sum was pr</w:t>
      </w:r>
      <w:r w:rsidR="00064836" w:rsidRPr="007C5A7F">
        <w:rPr>
          <w:rFonts w:ascii="Times New Roman" w:hAnsi="Times New Roman" w:cs="Times New Roman"/>
          <w:sz w:val="24"/>
          <w:szCs w:val="24"/>
        </w:rPr>
        <w:t>esented and paid on 14 December </w:t>
      </w:r>
      <w:r w:rsidRPr="007C5A7F">
        <w:rPr>
          <w:rFonts w:ascii="Times New Roman" w:hAnsi="Times New Roman" w:cs="Times New Roman"/>
          <w:sz w:val="24"/>
          <w:szCs w:val="24"/>
        </w:rPr>
        <w:t xml:space="preserve">2001, the statement from the appellant which was not challenged by the fourth respondent paints a different picture. </w:t>
      </w:r>
      <w:r w:rsidR="007F143C" w:rsidRPr="007C5A7F">
        <w:rPr>
          <w:rFonts w:ascii="Times New Roman" w:hAnsi="Times New Roman" w:cs="Times New Roman"/>
          <w:sz w:val="24"/>
          <w:szCs w:val="24"/>
        </w:rPr>
        <w:t xml:space="preserve">In August 2005 </w:t>
      </w:r>
      <w:proofErr w:type="spellStart"/>
      <w:r w:rsidR="007F143C" w:rsidRPr="007C5A7F">
        <w:rPr>
          <w:rFonts w:ascii="Times New Roman" w:hAnsi="Times New Roman" w:cs="Times New Roman"/>
          <w:sz w:val="24"/>
          <w:szCs w:val="24"/>
        </w:rPr>
        <w:t>Intermarket</w:t>
      </w:r>
      <w:proofErr w:type="spellEnd"/>
      <w:r w:rsidR="007F143C" w:rsidRPr="007C5A7F">
        <w:rPr>
          <w:rFonts w:ascii="Times New Roman" w:hAnsi="Times New Roman" w:cs="Times New Roman"/>
          <w:sz w:val="24"/>
          <w:szCs w:val="24"/>
        </w:rPr>
        <w:t xml:space="preserve"> Building Society advertised the immovable property for sale in execution.  In my view these two factors tend to negate the fourth respondent’s claim that he had settled all of the appellant’s debts and that all his cheques were met on presentation. </w:t>
      </w:r>
    </w:p>
    <w:p w:rsidR="007F143C" w:rsidRPr="007C5A7F" w:rsidRDefault="007F143C" w:rsidP="00E72756">
      <w:pPr>
        <w:spacing w:line="240" w:lineRule="auto"/>
        <w:ind w:firstLine="1440"/>
        <w:jc w:val="both"/>
        <w:rPr>
          <w:rFonts w:ascii="Times New Roman" w:hAnsi="Times New Roman" w:cs="Times New Roman"/>
          <w:sz w:val="24"/>
          <w:szCs w:val="24"/>
        </w:rPr>
      </w:pPr>
      <w:r w:rsidRPr="007C5A7F">
        <w:rPr>
          <w:rFonts w:ascii="Times New Roman" w:hAnsi="Times New Roman" w:cs="Times New Roman"/>
          <w:sz w:val="24"/>
          <w:szCs w:val="24"/>
        </w:rPr>
        <w:t xml:space="preserve">        </w:t>
      </w:r>
    </w:p>
    <w:p w:rsidR="008A151F" w:rsidRPr="007C5A7F" w:rsidRDefault="008A151F" w:rsidP="00F07950">
      <w:pPr>
        <w:ind w:firstLine="1440"/>
        <w:jc w:val="both"/>
        <w:rPr>
          <w:rFonts w:ascii="Times New Roman" w:hAnsi="Times New Roman" w:cs="Times New Roman"/>
          <w:sz w:val="24"/>
          <w:szCs w:val="24"/>
        </w:rPr>
      </w:pPr>
      <w:r w:rsidRPr="007C5A7F">
        <w:rPr>
          <w:rFonts w:ascii="Times New Roman" w:hAnsi="Times New Roman" w:cs="Times New Roman"/>
          <w:sz w:val="24"/>
          <w:szCs w:val="24"/>
        </w:rPr>
        <w:t xml:space="preserve">There exists a clear dispute of fact on the manner of payment of the purchase price on the part of the fourth respondent. Those disputes of facts are not capable of </w:t>
      </w:r>
      <w:r w:rsidRPr="007C5A7F">
        <w:rPr>
          <w:rFonts w:ascii="Times New Roman" w:hAnsi="Times New Roman" w:cs="Times New Roman"/>
          <w:sz w:val="24"/>
          <w:szCs w:val="24"/>
        </w:rPr>
        <w:lastRenderedPageBreak/>
        <w:t xml:space="preserve">resolution on the papers and for this reason the order for specific performance in the circumstances would not be </w:t>
      </w:r>
      <w:r w:rsidR="006B6A12" w:rsidRPr="007C5A7F">
        <w:rPr>
          <w:rFonts w:ascii="Times New Roman" w:hAnsi="Times New Roman" w:cs="Times New Roman"/>
          <w:sz w:val="24"/>
          <w:szCs w:val="24"/>
        </w:rPr>
        <w:t>merite</w:t>
      </w:r>
      <w:r w:rsidRPr="007C5A7F">
        <w:rPr>
          <w:rFonts w:ascii="Times New Roman" w:hAnsi="Times New Roman" w:cs="Times New Roman"/>
          <w:sz w:val="24"/>
          <w:szCs w:val="24"/>
        </w:rPr>
        <w:t>d.</w:t>
      </w:r>
    </w:p>
    <w:p w:rsidR="00F07950" w:rsidRPr="007C5A7F" w:rsidRDefault="00F07950" w:rsidP="00F07950">
      <w:pPr>
        <w:spacing w:after="0" w:line="240" w:lineRule="auto"/>
        <w:ind w:firstLine="1440"/>
        <w:jc w:val="both"/>
        <w:rPr>
          <w:rFonts w:ascii="Times New Roman" w:hAnsi="Times New Roman" w:cs="Times New Roman"/>
          <w:sz w:val="24"/>
          <w:szCs w:val="24"/>
        </w:rPr>
      </w:pPr>
    </w:p>
    <w:p w:rsidR="001C71E4" w:rsidRPr="007C5A7F" w:rsidRDefault="008A151F" w:rsidP="00F07950">
      <w:pPr>
        <w:ind w:firstLine="1440"/>
        <w:jc w:val="both"/>
        <w:rPr>
          <w:rFonts w:ascii="Times New Roman" w:hAnsi="Times New Roman" w:cs="Times New Roman"/>
          <w:sz w:val="24"/>
          <w:szCs w:val="24"/>
        </w:rPr>
      </w:pPr>
      <w:r w:rsidRPr="007C5A7F">
        <w:rPr>
          <w:rFonts w:ascii="Times New Roman" w:hAnsi="Times New Roman" w:cs="Times New Roman"/>
          <w:sz w:val="24"/>
          <w:szCs w:val="24"/>
        </w:rPr>
        <w:t xml:space="preserve">In my view the court </w:t>
      </w:r>
      <w:r w:rsidRPr="007C5A7F">
        <w:rPr>
          <w:rFonts w:ascii="Times New Roman" w:hAnsi="Times New Roman" w:cs="Times New Roman"/>
          <w:i/>
          <w:sz w:val="24"/>
          <w:szCs w:val="24"/>
        </w:rPr>
        <w:t>a quo</w:t>
      </w:r>
      <w:r w:rsidRPr="007C5A7F">
        <w:rPr>
          <w:rFonts w:ascii="Times New Roman" w:hAnsi="Times New Roman" w:cs="Times New Roman"/>
          <w:sz w:val="24"/>
          <w:szCs w:val="24"/>
        </w:rPr>
        <w:t xml:space="preserve"> misdirected itself in several aspects as detailed above. </w:t>
      </w:r>
      <w:r w:rsidR="00F07950" w:rsidRPr="007C5A7F">
        <w:rPr>
          <w:rFonts w:ascii="Times New Roman" w:hAnsi="Times New Roman" w:cs="Times New Roman"/>
          <w:sz w:val="24"/>
          <w:szCs w:val="24"/>
        </w:rPr>
        <w:t xml:space="preserve"> </w:t>
      </w:r>
      <w:r w:rsidRPr="007C5A7F">
        <w:rPr>
          <w:rFonts w:ascii="Times New Roman" w:hAnsi="Times New Roman" w:cs="Times New Roman"/>
          <w:sz w:val="24"/>
          <w:szCs w:val="24"/>
        </w:rPr>
        <w:t xml:space="preserve">In the premises the appeal has merit. It was for these reasons that the court allowed the appeal </w:t>
      </w:r>
      <w:r w:rsidR="001C71E4" w:rsidRPr="007C5A7F">
        <w:rPr>
          <w:rFonts w:ascii="Times New Roman" w:hAnsi="Times New Roman" w:cs="Times New Roman"/>
          <w:sz w:val="24"/>
          <w:szCs w:val="24"/>
        </w:rPr>
        <w:t>and issued the following order.</w:t>
      </w:r>
    </w:p>
    <w:p w:rsidR="00E72756" w:rsidRPr="007C5A7F" w:rsidRDefault="00E72756" w:rsidP="00E72756">
      <w:pPr>
        <w:spacing w:line="240" w:lineRule="auto"/>
        <w:ind w:firstLine="1440"/>
        <w:jc w:val="both"/>
        <w:rPr>
          <w:rFonts w:ascii="Times New Roman" w:hAnsi="Times New Roman" w:cs="Times New Roman"/>
          <w:sz w:val="24"/>
          <w:szCs w:val="24"/>
        </w:rPr>
      </w:pPr>
    </w:p>
    <w:p w:rsidR="001C71E4" w:rsidRPr="007C5A7F" w:rsidRDefault="001C71E4" w:rsidP="00F07950">
      <w:pPr>
        <w:ind w:firstLine="1440"/>
        <w:jc w:val="both"/>
        <w:rPr>
          <w:rFonts w:ascii="Times New Roman" w:hAnsi="Times New Roman" w:cs="Times New Roman"/>
          <w:sz w:val="24"/>
          <w:szCs w:val="24"/>
        </w:rPr>
      </w:pPr>
      <w:r w:rsidRPr="007C5A7F">
        <w:rPr>
          <w:rFonts w:ascii="Times New Roman" w:hAnsi="Times New Roman" w:cs="Times New Roman"/>
          <w:sz w:val="24"/>
          <w:szCs w:val="24"/>
        </w:rPr>
        <w:t>IT IS ORDERED THAT:</w:t>
      </w:r>
    </w:p>
    <w:p w:rsidR="001C71E4" w:rsidRPr="007C5A7F" w:rsidRDefault="001C71E4" w:rsidP="001C71E4">
      <w:pPr>
        <w:pStyle w:val="ListParagraph"/>
        <w:numPr>
          <w:ilvl w:val="0"/>
          <w:numId w:val="3"/>
        </w:numPr>
        <w:jc w:val="both"/>
        <w:rPr>
          <w:rFonts w:ascii="Times New Roman" w:hAnsi="Times New Roman" w:cs="Times New Roman"/>
          <w:sz w:val="24"/>
          <w:szCs w:val="24"/>
        </w:rPr>
      </w:pPr>
      <w:r w:rsidRPr="007C5A7F">
        <w:rPr>
          <w:rFonts w:ascii="Times New Roman" w:hAnsi="Times New Roman" w:cs="Times New Roman"/>
          <w:sz w:val="24"/>
          <w:szCs w:val="24"/>
        </w:rPr>
        <w:t>The appeal be and is hereby allowed with costs.</w:t>
      </w:r>
    </w:p>
    <w:p w:rsidR="001C71E4" w:rsidRPr="007C5A7F" w:rsidRDefault="001C71E4" w:rsidP="001C71E4">
      <w:pPr>
        <w:pStyle w:val="ListParagraph"/>
        <w:numPr>
          <w:ilvl w:val="0"/>
          <w:numId w:val="3"/>
        </w:numPr>
        <w:jc w:val="both"/>
        <w:rPr>
          <w:rFonts w:ascii="Times New Roman" w:hAnsi="Times New Roman" w:cs="Times New Roman"/>
          <w:sz w:val="24"/>
          <w:szCs w:val="24"/>
        </w:rPr>
      </w:pPr>
      <w:r w:rsidRPr="007C5A7F">
        <w:rPr>
          <w:rFonts w:ascii="Times New Roman" w:hAnsi="Times New Roman" w:cs="Times New Roman"/>
          <w:sz w:val="24"/>
          <w:szCs w:val="24"/>
        </w:rPr>
        <w:t xml:space="preserve">The judgment of the court </w:t>
      </w:r>
      <w:r w:rsidRPr="007C5A7F">
        <w:rPr>
          <w:rFonts w:ascii="Times New Roman" w:hAnsi="Times New Roman" w:cs="Times New Roman"/>
          <w:i/>
          <w:sz w:val="24"/>
          <w:szCs w:val="24"/>
        </w:rPr>
        <w:t>a quo</w:t>
      </w:r>
      <w:r w:rsidRPr="007C5A7F">
        <w:rPr>
          <w:rFonts w:ascii="Times New Roman" w:hAnsi="Times New Roman" w:cs="Times New Roman"/>
          <w:sz w:val="24"/>
          <w:szCs w:val="24"/>
        </w:rPr>
        <w:t xml:space="preserve"> is hereby set aside and substituted with the following:-</w:t>
      </w:r>
    </w:p>
    <w:p w:rsidR="001C71E4" w:rsidRPr="007C5A7F" w:rsidRDefault="001C71E4" w:rsidP="00E72756">
      <w:pPr>
        <w:pStyle w:val="ListParagraph"/>
        <w:spacing w:line="240" w:lineRule="auto"/>
        <w:ind w:left="1800"/>
        <w:jc w:val="both"/>
        <w:rPr>
          <w:rFonts w:ascii="Times New Roman" w:hAnsi="Times New Roman" w:cs="Times New Roman"/>
          <w:sz w:val="24"/>
          <w:szCs w:val="24"/>
        </w:rPr>
      </w:pPr>
      <w:r w:rsidRPr="007C5A7F">
        <w:rPr>
          <w:rFonts w:ascii="Times New Roman" w:hAnsi="Times New Roman" w:cs="Times New Roman"/>
          <w:sz w:val="24"/>
          <w:szCs w:val="24"/>
        </w:rPr>
        <w:t>“The counter-application be and is hereby struck off the roll with costs.”</w:t>
      </w:r>
    </w:p>
    <w:p w:rsidR="00F07950" w:rsidRDefault="008A151F" w:rsidP="003613FB">
      <w:pPr>
        <w:ind w:firstLine="1440"/>
        <w:jc w:val="both"/>
        <w:rPr>
          <w:rFonts w:ascii="Times New Roman" w:hAnsi="Times New Roman" w:cs="Times New Roman"/>
          <w:sz w:val="24"/>
          <w:szCs w:val="24"/>
        </w:rPr>
      </w:pPr>
      <w:r w:rsidRPr="007C5A7F">
        <w:rPr>
          <w:rFonts w:ascii="Times New Roman" w:hAnsi="Times New Roman" w:cs="Times New Roman"/>
          <w:sz w:val="24"/>
          <w:szCs w:val="24"/>
        </w:rPr>
        <w:t xml:space="preserve"> </w:t>
      </w:r>
      <w:r w:rsidR="002C40B6" w:rsidRPr="007C5A7F">
        <w:rPr>
          <w:rFonts w:ascii="Times New Roman" w:hAnsi="Times New Roman" w:cs="Times New Roman"/>
          <w:sz w:val="24"/>
          <w:szCs w:val="24"/>
        </w:rPr>
        <w:t xml:space="preserve">  </w:t>
      </w:r>
      <w:r w:rsidR="004C234D" w:rsidRPr="007C5A7F">
        <w:rPr>
          <w:rFonts w:ascii="Times New Roman" w:hAnsi="Times New Roman" w:cs="Times New Roman"/>
          <w:sz w:val="24"/>
          <w:szCs w:val="24"/>
        </w:rPr>
        <w:t xml:space="preserve"> </w:t>
      </w:r>
      <w:r w:rsidR="001A7CBB" w:rsidRPr="007C5A7F">
        <w:rPr>
          <w:rFonts w:ascii="Times New Roman" w:hAnsi="Times New Roman" w:cs="Times New Roman"/>
          <w:sz w:val="24"/>
          <w:szCs w:val="24"/>
        </w:rPr>
        <w:t xml:space="preserve"> </w:t>
      </w:r>
    </w:p>
    <w:p w:rsidR="00770611" w:rsidRPr="007C5A7F" w:rsidRDefault="00770611" w:rsidP="003613FB">
      <w:pPr>
        <w:ind w:firstLine="1440"/>
        <w:jc w:val="both"/>
        <w:rPr>
          <w:rFonts w:ascii="Times New Roman" w:hAnsi="Times New Roman" w:cs="Times New Roman"/>
          <w:sz w:val="24"/>
          <w:szCs w:val="24"/>
        </w:rPr>
      </w:pPr>
    </w:p>
    <w:p w:rsidR="00F07950" w:rsidRPr="007C5A7F" w:rsidRDefault="00F07950" w:rsidP="00F07950">
      <w:pPr>
        <w:spacing w:after="0" w:line="240" w:lineRule="auto"/>
        <w:ind w:left="720" w:firstLine="720"/>
        <w:jc w:val="both"/>
        <w:rPr>
          <w:rFonts w:ascii="Times New Roman" w:hAnsi="Times New Roman" w:cs="Times New Roman"/>
          <w:sz w:val="24"/>
          <w:szCs w:val="24"/>
        </w:rPr>
      </w:pPr>
      <w:r w:rsidRPr="007C5A7F">
        <w:rPr>
          <w:rFonts w:ascii="Times New Roman" w:hAnsi="Times New Roman" w:cs="Times New Roman"/>
          <w:b/>
          <w:sz w:val="24"/>
          <w:szCs w:val="24"/>
        </w:rPr>
        <w:t>GWAUNZA JA:</w:t>
      </w:r>
      <w:r w:rsidRPr="007C5A7F">
        <w:rPr>
          <w:rFonts w:ascii="Times New Roman" w:hAnsi="Times New Roman" w:cs="Times New Roman"/>
          <w:b/>
          <w:sz w:val="24"/>
          <w:szCs w:val="24"/>
        </w:rPr>
        <w:tab/>
      </w:r>
      <w:r w:rsidRPr="007C5A7F">
        <w:rPr>
          <w:rFonts w:ascii="Times New Roman" w:hAnsi="Times New Roman" w:cs="Times New Roman"/>
          <w:b/>
          <w:sz w:val="24"/>
          <w:szCs w:val="24"/>
        </w:rPr>
        <w:tab/>
      </w:r>
      <w:r w:rsidR="00257F04">
        <w:rPr>
          <w:rFonts w:ascii="Times New Roman" w:hAnsi="Times New Roman" w:cs="Times New Roman"/>
          <w:b/>
          <w:sz w:val="24"/>
          <w:szCs w:val="24"/>
        </w:rPr>
        <w:tab/>
      </w:r>
      <w:r w:rsidRPr="007C5A7F">
        <w:rPr>
          <w:rFonts w:ascii="Times New Roman" w:hAnsi="Times New Roman" w:cs="Times New Roman"/>
          <w:sz w:val="24"/>
          <w:szCs w:val="24"/>
        </w:rPr>
        <w:t>I agree</w:t>
      </w:r>
    </w:p>
    <w:p w:rsidR="00F07950" w:rsidRPr="007C5A7F" w:rsidRDefault="00F07950" w:rsidP="00F07950">
      <w:pPr>
        <w:spacing w:after="0" w:line="240" w:lineRule="auto"/>
        <w:jc w:val="both"/>
        <w:rPr>
          <w:rFonts w:ascii="Times New Roman" w:hAnsi="Times New Roman" w:cs="Times New Roman"/>
          <w:b/>
          <w:sz w:val="24"/>
          <w:szCs w:val="24"/>
        </w:rPr>
      </w:pPr>
    </w:p>
    <w:p w:rsidR="00F07950" w:rsidRPr="007C5A7F" w:rsidRDefault="00F07950" w:rsidP="00F07950">
      <w:pPr>
        <w:spacing w:after="0" w:line="240" w:lineRule="auto"/>
        <w:ind w:left="720" w:firstLine="720"/>
        <w:jc w:val="both"/>
        <w:rPr>
          <w:rFonts w:ascii="Times New Roman" w:hAnsi="Times New Roman" w:cs="Times New Roman"/>
          <w:b/>
          <w:sz w:val="24"/>
          <w:szCs w:val="24"/>
        </w:rPr>
      </w:pPr>
    </w:p>
    <w:p w:rsidR="00F07950" w:rsidRPr="007C5A7F" w:rsidRDefault="00F07950" w:rsidP="00F07950">
      <w:pPr>
        <w:spacing w:after="0" w:line="240" w:lineRule="auto"/>
        <w:ind w:left="720" w:firstLine="720"/>
        <w:jc w:val="both"/>
        <w:rPr>
          <w:rFonts w:ascii="Times New Roman" w:hAnsi="Times New Roman" w:cs="Times New Roman"/>
          <w:b/>
          <w:sz w:val="24"/>
          <w:szCs w:val="24"/>
        </w:rPr>
      </w:pPr>
    </w:p>
    <w:p w:rsidR="00F07950" w:rsidRPr="007C5A7F" w:rsidRDefault="00F07950" w:rsidP="00F07950">
      <w:pPr>
        <w:spacing w:after="0" w:line="240" w:lineRule="auto"/>
        <w:ind w:left="720" w:firstLine="720"/>
        <w:jc w:val="both"/>
        <w:rPr>
          <w:rFonts w:ascii="Times New Roman" w:hAnsi="Times New Roman" w:cs="Times New Roman"/>
          <w:b/>
          <w:sz w:val="24"/>
          <w:szCs w:val="24"/>
        </w:rPr>
      </w:pPr>
    </w:p>
    <w:p w:rsidR="00F07950" w:rsidRPr="007C5A7F" w:rsidRDefault="00F07950" w:rsidP="00F07950">
      <w:pPr>
        <w:spacing w:after="0" w:line="240" w:lineRule="auto"/>
        <w:ind w:left="720" w:firstLine="720"/>
        <w:jc w:val="both"/>
        <w:rPr>
          <w:rFonts w:ascii="Times New Roman" w:hAnsi="Times New Roman" w:cs="Times New Roman"/>
          <w:b/>
          <w:sz w:val="24"/>
          <w:szCs w:val="24"/>
        </w:rPr>
      </w:pPr>
    </w:p>
    <w:p w:rsidR="008461BB" w:rsidRPr="007C5A7F" w:rsidRDefault="00F07950" w:rsidP="00F07950">
      <w:pPr>
        <w:spacing w:after="0" w:line="240" w:lineRule="auto"/>
        <w:ind w:left="720" w:firstLine="720"/>
        <w:jc w:val="both"/>
        <w:rPr>
          <w:rFonts w:ascii="Times New Roman" w:hAnsi="Times New Roman" w:cs="Times New Roman"/>
          <w:sz w:val="24"/>
          <w:szCs w:val="24"/>
        </w:rPr>
      </w:pPr>
      <w:r w:rsidRPr="007C5A7F">
        <w:rPr>
          <w:rFonts w:ascii="Times New Roman" w:hAnsi="Times New Roman" w:cs="Times New Roman"/>
          <w:b/>
          <w:sz w:val="24"/>
          <w:szCs w:val="24"/>
        </w:rPr>
        <w:t>HLATSHWAYO JA:</w:t>
      </w:r>
      <w:r w:rsidRPr="007C5A7F">
        <w:rPr>
          <w:rFonts w:ascii="Times New Roman" w:hAnsi="Times New Roman" w:cs="Times New Roman"/>
          <w:b/>
          <w:sz w:val="24"/>
          <w:szCs w:val="24"/>
        </w:rPr>
        <w:tab/>
      </w:r>
      <w:r w:rsidRPr="007C5A7F">
        <w:rPr>
          <w:rFonts w:ascii="Times New Roman" w:hAnsi="Times New Roman" w:cs="Times New Roman"/>
          <w:sz w:val="24"/>
          <w:szCs w:val="24"/>
        </w:rPr>
        <w:t xml:space="preserve"> </w:t>
      </w:r>
      <w:r w:rsidRPr="007C5A7F">
        <w:rPr>
          <w:rFonts w:ascii="Times New Roman" w:hAnsi="Times New Roman" w:cs="Times New Roman"/>
          <w:sz w:val="24"/>
          <w:szCs w:val="24"/>
        </w:rPr>
        <w:tab/>
        <w:t>I agree</w:t>
      </w:r>
    </w:p>
    <w:p w:rsidR="00F07950" w:rsidRPr="007C5A7F" w:rsidRDefault="00F07950" w:rsidP="00F07950">
      <w:pPr>
        <w:spacing w:after="0" w:line="240" w:lineRule="auto"/>
        <w:jc w:val="both"/>
        <w:rPr>
          <w:rFonts w:ascii="Times New Roman" w:hAnsi="Times New Roman" w:cs="Times New Roman"/>
          <w:b/>
          <w:sz w:val="24"/>
          <w:szCs w:val="24"/>
        </w:rPr>
      </w:pPr>
    </w:p>
    <w:p w:rsidR="00F07950" w:rsidRPr="007C5A7F" w:rsidRDefault="00F07950" w:rsidP="00F07950">
      <w:pPr>
        <w:spacing w:after="0" w:line="240" w:lineRule="auto"/>
        <w:jc w:val="both"/>
        <w:rPr>
          <w:rFonts w:ascii="Times New Roman" w:hAnsi="Times New Roman" w:cs="Times New Roman"/>
          <w:b/>
          <w:sz w:val="24"/>
          <w:szCs w:val="24"/>
        </w:rPr>
      </w:pPr>
    </w:p>
    <w:p w:rsidR="00F07950" w:rsidRPr="007C5A7F" w:rsidRDefault="00F07950" w:rsidP="00F07950">
      <w:pPr>
        <w:spacing w:after="0" w:line="240" w:lineRule="auto"/>
        <w:jc w:val="both"/>
        <w:rPr>
          <w:rFonts w:ascii="Times New Roman" w:hAnsi="Times New Roman" w:cs="Times New Roman"/>
          <w:b/>
          <w:sz w:val="24"/>
          <w:szCs w:val="24"/>
        </w:rPr>
      </w:pPr>
    </w:p>
    <w:p w:rsidR="00F07950" w:rsidRPr="007C5A7F" w:rsidRDefault="00F07950" w:rsidP="00F07950">
      <w:pPr>
        <w:spacing w:after="0" w:line="240" w:lineRule="auto"/>
        <w:jc w:val="both"/>
        <w:rPr>
          <w:rFonts w:ascii="Times New Roman" w:hAnsi="Times New Roman" w:cs="Times New Roman"/>
          <w:b/>
          <w:sz w:val="24"/>
          <w:szCs w:val="24"/>
        </w:rPr>
      </w:pPr>
    </w:p>
    <w:p w:rsidR="00F07950" w:rsidRPr="007C5A7F" w:rsidRDefault="00F07950" w:rsidP="00F07950">
      <w:pPr>
        <w:spacing w:after="0" w:line="240" w:lineRule="auto"/>
        <w:jc w:val="both"/>
        <w:rPr>
          <w:rFonts w:ascii="Times New Roman" w:hAnsi="Times New Roman" w:cs="Times New Roman"/>
          <w:i/>
          <w:sz w:val="24"/>
          <w:szCs w:val="24"/>
        </w:rPr>
      </w:pPr>
    </w:p>
    <w:p w:rsidR="00F07950" w:rsidRPr="007C5A7F" w:rsidRDefault="00F07950" w:rsidP="00F07950">
      <w:pPr>
        <w:spacing w:after="0" w:line="240" w:lineRule="auto"/>
        <w:jc w:val="both"/>
        <w:rPr>
          <w:rFonts w:ascii="Times New Roman" w:hAnsi="Times New Roman" w:cs="Times New Roman"/>
          <w:sz w:val="24"/>
          <w:szCs w:val="24"/>
        </w:rPr>
      </w:pPr>
      <w:r w:rsidRPr="007C5A7F">
        <w:rPr>
          <w:rFonts w:ascii="Times New Roman" w:hAnsi="Times New Roman" w:cs="Times New Roman"/>
          <w:i/>
          <w:sz w:val="24"/>
          <w:szCs w:val="24"/>
        </w:rPr>
        <w:t xml:space="preserve">Kantor &amp; </w:t>
      </w:r>
      <w:proofErr w:type="spellStart"/>
      <w:r w:rsidRPr="007C5A7F">
        <w:rPr>
          <w:rFonts w:ascii="Times New Roman" w:hAnsi="Times New Roman" w:cs="Times New Roman"/>
          <w:i/>
          <w:sz w:val="24"/>
          <w:szCs w:val="24"/>
        </w:rPr>
        <w:t>Immerman</w:t>
      </w:r>
      <w:proofErr w:type="spellEnd"/>
      <w:r w:rsidRPr="007C5A7F">
        <w:rPr>
          <w:rFonts w:ascii="Times New Roman" w:hAnsi="Times New Roman" w:cs="Times New Roman"/>
          <w:sz w:val="24"/>
          <w:szCs w:val="24"/>
        </w:rPr>
        <w:t>, appellant’s legal practitioners</w:t>
      </w:r>
    </w:p>
    <w:p w:rsidR="00F07950" w:rsidRPr="007C5A7F" w:rsidRDefault="00F07950" w:rsidP="00F07950">
      <w:pPr>
        <w:spacing w:after="0" w:line="240" w:lineRule="auto"/>
        <w:jc w:val="both"/>
        <w:rPr>
          <w:rFonts w:ascii="Times New Roman" w:hAnsi="Times New Roman" w:cs="Times New Roman"/>
          <w:sz w:val="24"/>
          <w:szCs w:val="24"/>
        </w:rPr>
      </w:pPr>
    </w:p>
    <w:p w:rsidR="00F07950" w:rsidRPr="007C5A7F" w:rsidRDefault="00F07950" w:rsidP="00F07950">
      <w:pPr>
        <w:spacing w:after="0" w:line="240" w:lineRule="auto"/>
        <w:jc w:val="both"/>
        <w:rPr>
          <w:rFonts w:ascii="Times New Roman" w:hAnsi="Times New Roman" w:cs="Times New Roman"/>
          <w:sz w:val="24"/>
          <w:szCs w:val="24"/>
        </w:rPr>
      </w:pPr>
      <w:proofErr w:type="spellStart"/>
      <w:r w:rsidRPr="007C5A7F">
        <w:rPr>
          <w:rFonts w:ascii="Times New Roman" w:hAnsi="Times New Roman" w:cs="Times New Roman"/>
          <w:i/>
          <w:sz w:val="24"/>
          <w:szCs w:val="24"/>
        </w:rPr>
        <w:t>Mandizha</w:t>
      </w:r>
      <w:proofErr w:type="spellEnd"/>
      <w:r w:rsidRPr="007C5A7F">
        <w:rPr>
          <w:rFonts w:ascii="Times New Roman" w:hAnsi="Times New Roman" w:cs="Times New Roman"/>
          <w:i/>
          <w:sz w:val="24"/>
          <w:szCs w:val="24"/>
        </w:rPr>
        <w:t xml:space="preserve"> &amp; Company</w:t>
      </w:r>
      <w:r w:rsidRPr="007C5A7F">
        <w:rPr>
          <w:rFonts w:ascii="Times New Roman" w:hAnsi="Times New Roman" w:cs="Times New Roman"/>
          <w:sz w:val="24"/>
          <w:szCs w:val="24"/>
        </w:rPr>
        <w:t>, respondent’s legal practitioners</w:t>
      </w:r>
    </w:p>
    <w:p w:rsidR="00304528" w:rsidRPr="007C5A7F" w:rsidRDefault="00E42A05" w:rsidP="00445745">
      <w:pPr>
        <w:ind w:firstLine="720"/>
        <w:jc w:val="both"/>
        <w:rPr>
          <w:rFonts w:ascii="Times New Roman" w:hAnsi="Times New Roman" w:cs="Times New Roman"/>
          <w:sz w:val="24"/>
          <w:szCs w:val="24"/>
        </w:rPr>
      </w:pPr>
      <w:r w:rsidRPr="007C5A7F">
        <w:rPr>
          <w:rFonts w:ascii="Times New Roman" w:hAnsi="Times New Roman" w:cs="Times New Roman"/>
          <w:sz w:val="24"/>
          <w:szCs w:val="24"/>
        </w:rPr>
        <w:t xml:space="preserve">  </w:t>
      </w:r>
    </w:p>
    <w:sectPr w:rsidR="00304528" w:rsidRPr="007C5A7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1BF" w:rsidRDefault="00B631BF" w:rsidP="00C93D8A">
      <w:pPr>
        <w:spacing w:after="0" w:line="240" w:lineRule="auto"/>
      </w:pPr>
      <w:r>
        <w:separator/>
      </w:r>
    </w:p>
  </w:endnote>
  <w:endnote w:type="continuationSeparator" w:id="0">
    <w:p w:rsidR="00B631BF" w:rsidRDefault="00B631BF" w:rsidP="00C93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1BF" w:rsidRDefault="00B631BF" w:rsidP="00C93D8A">
      <w:pPr>
        <w:spacing w:after="0" w:line="240" w:lineRule="auto"/>
      </w:pPr>
      <w:r>
        <w:separator/>
      </w:r>
    </w:p>
  </w:footnote>
  <w:footnote w:type="continuationSeparator" w:id="0">
    <w:p w:rsidR="00B631BF" w:rsidRDefault="00B631BF" w:rsidP="00C93D8A">
      <w:pPr>
        <w:spacing w:after="0" w:line="240" w:lineRule="auto"/>
      </w:pPr>
      <w:r>
        <w:continuationSeparator/>
      </w:r>
    </w:p>
  </w:footnote>
  <w:footnote w:id="1">
    <w:p w:rsidR="00620A75" w:rsidRDefault="007F143C">
      <w:pPr>
        <w:pStyle w:val="FootnoteText"/>
      </w:pPr>
      <w:r>
        <w:rPr>
          <w:rStyle w:val="FootnoteReference"/>
        </w:rPr>
        <w:t>1</w:t>
      </w:r>
      <w:r w:rsidR="00620A75">
        <w:t xml:space="preserve"> </w:t>
      </w:r>
      <w:proofErr w:type="spellStart"/>
      <w:r w:rsidR="00620A75">
        <w:t>Blumo</w:t>
      </w:r>
      <w:proofErr w:type="spellEnd"/>
      <w:r w:rsidR="00620A75">
        <w:t xml:space="preserve"> Trading  (Pvt)  Ltd v </w:t>
      </w:r>
      <w:proofErr w:type="spellStart"/>
      <w:r w:rsidR="00620A75">
        <w:t>Nelmah</w:t>
      </w:r>
      <w:proofErr w:type="spellEnd"/>
      <w:r w:rsidR="00620A75">
        <w:t xml:space="preserve"> Milling Co (Pvt) Ltd &amp; </w:t>
      </w:r>
      <w:proofErr w:type="spellStart"/>
      <w:r w:rsidR="00620A75">
        <w:t>Anor</w:t>
      </w:r>
      <w:proofErr w:type="spellEnd"/>
      <w:r w:rsidR="00620A75">
        <w:t xml:space="preserve"> 20</w:t>
      </w:r>
      <w:r w:rsidR="00A32F3E">
        <w:t>1</w:t>
      </w:r>
      <w:r w:rsidR="00620A75">
        <w:t xml:space="preserve">1 (1) ZLR 196  at  201F-H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C93D8A">
      <w:tc>
        <w:tcPr>
          <w:tcW w:w="0" w:type="auto"/>
          <w:tcBorders>
            <w:right w:val="single" w:sz="6" w:space="0" w:color="000000" w:themeColor="text1"/>
          </w:tcBorders>
        </w:tcPr>
        <w:sdt>
          <w:sdtPr>
            <w:alias w:val="Company"/>
            <w:id w:val="78735422"/>
            <w:placeholder>
              <w:docPart w:val="99F7FBD14E504D56AAF6FB44645924C6"/>
            </w:placeholder>
            <w:dataBinding w:prefixMappings="xmlns:ns0='http://schemas.openxmlformats.org/officeDocument/2006/extended-properties'" w:xpath="/ns0:Properties[1]/ns0:Company[1]" w:storeItemID="{6668398D-A668-4E3E-A5EB-62B293D839F1}"/>
            <w:text/>
          </w:sdtPr>
          <w:sdtEndPr/>
          <w:sdtContent>
            <w:p w:rsidR="00C93D8A" w:rsidRDefault="003613FB">
              <w:pPr>
                <w:pStyle w:val="Header"/>
                <w:jc w:val="right"/>
              </w:pPr>
              <w:r>
                <w:t>Judgment No. SC 16</w:t>
              </w:r>
              <w:r w:rsidR="00C93D8A">
                <w:t>/2016</w:t>
              </w:r>
            </w:p>
          </w:sdtContent>
        </w:sdt>
        <w:sdt>
          <w:sdtPr>
            <w:rPr>
              <w:b/>
              <w:bCs/>
            </w:rPr>
            <w:alias w:val="Title"/>
            <w:id w:val="78735415"/>
            <w:placeholder>
              <w:docPart w:val="6C2A2F27C08D4E5EAF5B446DD0DB8DE7"/>
            </w:placeholder>
            <w:dataBinding w:prefixMappings="xmlns:ns0='http://schemas.openxmlformats.org/package/2006/metadata/core-properties' xmlns:ns1='http://purl.org/dc/elements/1.1/'" w:xpath="/ns0:coreProperties[1]/ns1:title[1]" w:storeItemID="{6C3C8BC8-F283-45AE-878A-BAB7291924A1}"/>
            <w:text/>
          </w:sdtPr>
          <w:sdtEndPr/>
          <w:sdtContent>
            <w:p w:rsidR="00C93D8A" w:rsidRDefault="00C93D8A" w:rsidP="00C93D8A">
              <w:pPr>
                <w:pStyle w:val="Header"/>
                <w:jc w:val="right"/>
                <w:rPr>
                  <w:b/>
                  <w:bCs/>
                </w:rPr>
              </w:pPr>
              <w:r>
                <w:rPr>
                  <w:b/>
                  <w:bCs/>
                </w:rPr>
                <w:t>Civil Appeal No. SC 174/11</w:t>
              </w:r>
            </w:p>
          </w:sdtContent>
        </w:sdt>
      </w:tc>
      <w:tc>
        <w:tcPr>
          <w:tcW w:w="1152" w:type="dxa"/>
          <w:tcBorders>
            <w:left w:val="single" w:sz="6" w:space="0" w:color="000000" w:themeColor="text1"/>
          </w:tcBorders>
        </w:tcPr>
        <w:p w:rsidR="00C93D8A" w:rsidRDefault="00C93D8A">
          <w:pPr>
            <w:pStyle w:val="Header"/>
            <w:rPr>
              <w:b/>
              <w:bCs/>
            </w:rPr>
          </w:pPr>
          <w:r>
            <w:fldChar w:fldCharType="begin"/>
          </w:r>
          <w:r>
            <w:instrText xml:space="preserve"> PAGE   \* MERGEFORMAT </w:instrText>
          </w:r>
          <w:r>
            <w:fldChar w:fldCharType="separate"/>
          </w:r>
          <w:r w:rsidR="00F52F12">
            <w:rPr>
              <w:noProof/>
            </w:rPr>
            <w:t>1</w:t>
          </w:r>
          <w:r>
            <w:rPr>
              <w:noProof/>
            </w:rPr>
            <w:fldChar w:fldCharType="end"/>
          </w:r>
        </w:p>
      </w:tc>
    </w:tr>
  </w:tbl>
  <w:p w:rsidR="00C93D8A" w:rsidRDefault="00C93D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9337A"/>
    <w:multiLevelType w:val="hybridMultilevel"/>
    <w:tmpl w:val="29AABDA8"/>
    <w:lvl w:ilvl="0" w:tplc="1FF43846">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3D6E63A4"/>
    <w:multiLevelType w:val="hybridMultilevel"/>
    <w:tmpl w:val="D43A6896"/>
    <w:lvl w:ilvl="0" w:tplc="91029EAC">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
    <w:nsid w:val="4C60326C"/>
    <w:multiLevelType w:val="hybridMultilevel"/>
    <w:tmpl w:val="824C0AF4"/>
    <w:lvl w:ilvl="0" w:tplc="B8146D9C">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95E"/>
    <w:rsid w:val="00013AE7"/>
    <w:rsid w:val="00025249"/>
    <w:rsid w:val="0003753D"/>
    <w:rsid w:val="00046457"/>
    <w:rsid w:val="00051535"/>
    <w:rsid w:val="0006259A"/>
    <w:rsid w:val="00064836"/>
    <w:rsid w:val="00082A86"/>
    <w:rsid w:val="000C1EA2"/>
    <w:rsid w:val="00102004"/>
    <w:rsid w:val="001778BA"/>
    <w:rsid w:val="001A7CBB"/>
    <w:rsid w:val="001C71E4"/>
    <w:rsid w:val="0022364C"/>
    <w:rsid w:val="00255A63"/>
    <w:rsid w:val="00257F04"/>
    <w:rsid w:val="00270724"/>
    <w:rsid w:val="00272808"/>
    <w:rsid w:val="00273320"/>
    <w:rsid w:val="002C40B6"/>
    <w:rsid w:val="002D525E"/>
    <w:rsid w:val="002F63E8"/>
    <w:rsid w:val="00304528"/>
    <w:rsid w:val="003147B5"/>
    <w:rsid w:val="003613FB"/>
    <w:rsid w:val="00377278"/>
    <w:rsid w:val="00381BAB"/>
    <w:rsid w:val="003C5219"/>
    <w:rsid w:val="00445745"/>
    <w:rsid w:val="00463389"/>
    <w:rsid w:val="00464595"/>
    <w:rsid w:val="00474BFB"/>
    <w:rsid w:val="00487B43"/>
    <w:rsid w:val="004B4093"/>
    <w:rsid w:val="004C234D"/>
    <w:rsid w:val="00507FC9"/>
    <w:rsid w:val="00523E0E"/>
    <w:rsid w:val="00572866"/>
    <w:rsid w:val="006100C7"/>
    <w:rsid w:val="00620A75"/>
    <w:rsid w:val="0062110C"/>
    <w:rsid w:val="00634C5E"/>
    <w:rsid w:val="006804EA"/>
    <w:rsid w:val="0068539C"/>
    <w:rsid w:val="00685F1C"/>
    <w:rsid w:val="00686080"/>
    <w:rsid w:val="00691175"/>
    <w:rsid w:val="00692EE0"/>
    <w:rsid w:val="006A1304"/>
    <w:rsid w:val="006B190E"/>
    <w:rsid w:val="006B6A12"/>
    <w:rsid w:val="006C38DD"/>
    <w:rsid w:val="006D32BB"/>
    <w:rsid w:val="006F34F7"/>
    <w:rsid w:val="006F3EC2"/>
    <w:rsid w:val="00716E35"/>
    <w:rsid w:val="00770611"/>
    <w:rsid w:val="007864FB"/>
    <w:rsid w:val="00797340"/>
    <w:rsid w:val="007C5A7F"/>
    <w:rsid w:val="007C695E"/>
    <w:rsid w:val="007D15C7"/>
    <w:rsid w:val="007E44C1"/>
    <w:rsid w:val="007F143C"/>
    <w:rsid w:val="008411A9"/>
    <w:rsid w:val="008461BB"/>
    <w:rsid w:val="008525D8"/>
    <w:rsid w:val="00860422"/>
    <w:rsid w:val="008A151F"/>
    <w:rsid w:val="008B2331"/>
    <w:rsid w:val="008F7FDB"/>
    <w:rsid w:val="00952D1B"/>
    <w:rsid w:val="00980E37"/>
    <w:rsid w:val="00981C74"/>
    <w:rsid w:val="009A0EB6"/>
    <w:rsid w:val="009B6059"/>
    <w:rsid w:val="00A03DB3"/>
    <w:rsid w:val="00A1221F"/>
    <w:rsid w:val="00A32F3E"/>
    <w:rsid w:val="00A46BA2"/>
    <w:rsid w:val="00A70307"/>
    <w:rsid w:val="00A816CE"/>
    <w:rsid w:val="00A862C3"/>
    <w:rsid w:val="00AB7A7F"/>
    <w:rsid w:val="00AC275F"/>
    <w:rsid w:val="00AD1213"/>
    <w:rsid w:val="00AD4D7E"/>
    <w:rsid w:val="00B631BF"/>
    <w:rsid w:val="00B70C18"/>
    <w:rsid w:val="00BB7462"/>
    <w:rsid w:val="00BD4E6B"/>
    <w:rsid w:val="00C15F61"/>
    <w:rsid w:val="00C4012D"/>
    <w:rsid w:val="00C41306"/>
    <w:rsid w:val="00C66393"/>
    <w:rsid w:val="00C767F8"/>
    <w:rsid w:val="00C93D8A"/>
    <w:rsid w:val="00C94AD1"/>
    <w:rsid w:val="00C95E3C"/>
    <w:rsid w:val="00CB3D91"/>
    <w:rsid w:val="00CD42BE"/>
    <w:rsid w:val="00CE567D"/>
    <w:rsid w:val="00CF3AC0"/>
    <w:rsid w:val="00D3736A"/>
    <w:rsid w:val="00D43013"/>
    <w:rsid w:val="00D5506E"/>
    <w:rsid w:val="00D6254F"/>
    <w:rsid w:val="00DA3289"/>
    <w:rsid w:val="00DC6734"/>
    <w:rsid w:val="00E1792E"/>
    <w:rsid w:val="00E42A05"/>
    <w:rsid w:val="00E600B5"/>
    <w:rsid w:val="00E65145"/>
    <w:rsid w:val="00E72756"/>
    <w:rsid w:val="00E767E5"/>
    <w:rsid w:val="00F06F4F"/>
    <w:rsid w:val="00F07950"/>
    <w:rsid w:val="00F2343E"/>
    <w:rsid w:val="00F402D8"/>
    <w:rsid w:val="00F52F12"/>
    <w:rsid w:val="00F77168"/>
    <w:rsid w:val="00F96DE4"/>
    <w:rsid w:val="00FA616E"/>
    <w:rsid w:val="00FD7E43"/>
    <w:rsid w:val="00FE7E3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8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866"/>
    <w:pPr>
      <w:ind w:left="720"/>
      <w:contextualSpacing/>
    </w:pPr>
  </w:style>
  <w:style w:type="paragraph" w:styleId="Header">
    <w:name w:val="header"/>
    <w:basedOn w:val="Normal"/>
    <w:link w:val="HeaderChar"/>
    <w:uiPriority w:val="99"/>
    <w:unhideWhenUsed/>
    <w:rsid w:val="00C93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D8A"/>
  </w:style>
  <w:style w:type="paragraph" w:styleId="Footer">
    <w:name w:val="footer"/>
    <w:basedOn w:val="Normal"/>
    <w:link w:val="FooterChar"/>
    <w:uiPriority w:val="99"/>
    <w:unhideWhenUsed/>
    <w:rsid w:val="00C93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D8A"/>
  </w:style>
  <w:style w:type="paragraph" w:styleId="BalloonText">
    <w:name w:val="Balloon Text"/>
    <w:basedOn w:val="Normal"/>
    <w:link w:val="BalloonTextChar"/>
    <w:uiPriority w:val="99"/>
    <w:semiHidden/>
    <w:unhideWhenUsed/>
    <w:rsid w:val="00C93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D8A"/>
    <w:rPr>
      <w:rFonts w:ascii="Tahoma" w:hAnsi="Tahoma" w:cs="Tahoma"/>
      <w:sz w:val="16"/>
      <w:szCs w:val="16"/>
    </w:rPr>
  </w:style>
  <w:style w:type="paragraph" w:styleId="FootnoteText">
    <w:name w:val="footnote text"/>
    <w:basedOn w:val="Normal"/>
    <w:link w:val="FootnoteTextChar"/>
    <w:uiPriority w:val="99"/>
    <w:semiHidden/>
    <w:unhideWhenUsed/>
    <w:rsid w:val="00620A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0A75"/>
    <w:rPr>
      <w:sz w:val="20"/>
      <w:szCs w:val="20"/>
    </w:rPr>
  </w:style>
  <w:style w:type="character" w:styleId="FootnoteReference">
    <w:name w:val="footnote reference"/>
    <w:basedOn w:val="DefaultParagraphFont"/>
    <w:uiPriority w:val="99"/>
    <w:semiHidden/>
    <w:unhideWhenUsed/>
    <w:rsid w:val="00620A7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8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866"/>
    <w:pPr>
      <w:ind w:left="720"/>
      <w:contextualSpacing/>
    </w:pPr>
  </w:style>
  <w:style w:type="paragraph" w:styleId="Header">
    <w:name w:val="header"/>
    <w:basedOn w:val="Normal"/>
    <w:link w:val="HeaderChar"/>
    <w:uiPriority w:val="99"/>
    <w:unhideWhenUsed/>
    <w:rsid w:val="00C93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D8A"/>
  </w:style>
  <w:style w:type="paragraph" w:styleId="Footer">
    <w:name w:val="footer"/>
    <w:basedOn w:val="Normal"/>
    <w:link w:val="FooterChar"/>
    <w:uiPriority w:val="99"/>
    <w:unhideWhenUsed/>
    <w:rsid w:val="00C93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D8A"/>
  </w:style>
  <w:style w:type="paragraph" w:styleId="BalloonText">
    <w:name w:val="Balloon Text"/>
    <w:basedOn w:val="Normal"/>
    <w:link w:val="BalloonTextChar"/>
    <w:uiPriority w:val="99"/>
    <w:semiHidden/>
    <w:unhideWhenUsed/>
    <w:rsid w:val="00C93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D8A"/>
    <w:rPr>
      <w:rFonts w:ascii="Tahoma" w:hAnsi="Tahoma" w:cs="Tahoma"/>
      <w:sz w:val="16"/>
      <w:szCs w:val="16"/>
    </w:rPr>
  </w:style>
  <w:style w:type="paragraph" w:styleId="FootnoteText">
    <w:name w:val="footnote text"/>
    <w:basedOn w:val="Normal"/>
    <w:link w:val="FootnoteTextChar"/>
    <w:uiPriority w:val="99"/>
    <w:semiHidden/>
    <w:unhideWhenUsed/>
    <w:rsid w:val="00620A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0A75"/>
    <w:rPr>
      <w:sz w:val="20"/>
      <w:szCs w:val="20"/>
    </w:rPr>
  </w:style>
  <w:style w:type="character" w:styleId="FootnoteReference">
    <w:name w:val="footnote reference"/>
    <w:basedOn w:val="DefaultParagraphFont"/>
    <w:uiPriority w:val="99"/>
    <w:semiHidden/>
    <w:unhideWhenUsed/>
    <w:rsid w:val="00620A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F7FBD14E504D56AAF6FB44645924C6"/>
        <w:category>
          <w:name w:val="General"/>
          <w:gallery w:val="placeholder"/>
        </w:category>
        <w:types>
          <w:type w:val="bbPlcHdr"/>
        </w:types>
        <w:behaviors>
          <w:behavior w:val="content"/>
        </w:behaviors>
        <w:guid w:val="{9B2272E8-17C6-440E-ADB3-E974250EC247}"/>
      </w:docPartPr>
      <w:docPartBody>
        <w:p w:rsidR="00236347" w:rsidRDefault="006D7C8B" w:rsidP="006D7C8B">
          <w:pPr>
            <w:pStyle w:val="99F7FBD14E504D56AAF6FB44645924C6"/>
          </w:pPr>
          <w:r>
            <w:t>[Type the company name]</w:t>
          </w:r>
        </w:p>
      </w:docPartBody>
    </w:docPart>
    <w:docPart>
      <w:docPartPr>
        <w:name w:val="6C2A2F27C08D4E5EAF5B446DD0DB8DE7"/>
        <w:category>
          <w:name w:val="General"/>
          <w:gallery w:val="placeholder"/>
        </w:category>
        <w:types>
          <w:type w:val="bbPlcHdr"/>
        </w:types>
        <w:behaviors>
          <w:behavior w:val="content"/>
        </w:behaviors>
        <w:guid w:val="{F44114BC-675E-4DA2-8808-9C36F7586C6F}"/>
      </w:docPartPr>
      <w:docPartBody>
        <w:p w:rsidR="00236347" w:rsidRDefault="006D7C8B" w:rsidP="006D7C8B">
          <w:pPr>
            <w:pStyle w:val="6C2A2F27C08D4E5EAF5B446DD0DB8DE7"/>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C8B"/>
    <w:rsid w:val="00040FFD"/>
    <w:rsid w:val="00064B9E"/>
    <w:rsid w:val="000D3740"/>
    <w:rsid w:val="000E2C52"/>
    <w:rsid w:val="001741B2"/>
    <w:rsid w:val="001B660C"/>
    <w:rsid w:val="00236347"/>
    <w:rsid w:val="00513256"/>
    <w:rsid w:val="00652C65"/>
    <w:rsid w:val="00675E08"/>
    <w:rsid w:val="006D7C8B"/>
    <w:rsid w:val="008E2250"/>
    <w:rsid w:val="009324EC"/>
    <w:rsid w:val="00A9309B"/>
    <w:rsid w:val="00CF1AD5"/>
    <w:rsid w:val="00E77A1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F7FBD14E504D56AAF6FB44645924C6">
    <w:name w:val="99F7FBD14E504D56AAF6FB44645924C6"/>
    <w:rsid w:val="006D7C8B"/>
  </w:style>
  <w:style w:type="paragraph" w:customStyle="1" w:styleId="6C2A2F27C08D4E5EAF5B446DD0DB8DE7">
    <w:name w:val="6C2A2F27C08D4E5EAF5B446DD0DB8DE7"/>
    <w:rsid w:val="006D7C8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F7FBD14E504D56AAF6FB44645924C6">
    <w:name w:val="99F7FBD14E504D56AAF6FB44645924C6"/>
    <w:rsid w:val="006D7C8B"/>
  </w:style>
  <w:style w:type="paragraph" w:customStyle="1" w:styleId="6C2A2F27C08D4E5EAF5B446DD0DB8DE7">
    <w:name w:val="6C2A2F27C08D4E5EAF5B446DD0DB8DE7"/>
    <w:rsid w:val="006D7C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65DCD-F836-4101-928B-11BBC47D3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2977</Words>
  <Characters>16973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Civil Appeal No. SC 174/11</vt:lpstr>
    </vt:vector>
  </TitlesOfParts>
  <Company>Judgment No. SC 16/2016</Company>
  <LinksUpToDate>false</LinksUpToDate>
  <CharactersWithSpaces>19911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174/11</dc:title>
  <dc:creator>JSC9</dc:creator>
  <cp:lastModifiedBy>jomic</cp:lastModifiedBy>
  <cp:revision>12</cp:revision>
  <cp:lastPrinted>2016-05-03T13:58:00Z</cp:lastPrinted>
  <dcterms:created xsi:type="dcterms:W3CDTF">2016-03-23T13:31:00Z</dcterms:created>
  <dcterms:modified xsi:type="dcterms:W3CDTF">2016-05-05T14:06:00Z</dcterms:modified>
</cp:coreProperties>
</file>