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857125" w14:textId="489E8421" w:rsidR="00DB6B8B" w:rsidRPr="009A0F1C" w:rsidRDefault="009A0F1C" w:rsidP="009A0F1C">
      <w:pPr>
        <w:spacing w:after="0" w:line="240" w:lineRule="auto"/>
        <w:rPr>
          <w:rFonts w:ascii="Times New Roman" w:hAnsi="Times New Roman" w:cs="Times New Roman"/>
          <w:b/>
          <w:sz w:val="24"/>
          <w:szCs w:val="24"/>
        </w:rPr>
      </w:pPr>
      <w:bookmarkStart w:id="0" w:name="_GoBack"/>
      <w:bookmarkEnd w:id="0"/>
      <w:r>
        <w:rPr>
          <w:rFonts w:ascii="Times New Roman" w:hAnsi="Times New Roman" w:cs="Times New Roman"/>
          <w:b/>
          <w:sz w:val="24"/>
          <w:szCs w:val="24"/>
          <w:u w:val="single"/>
        </w:rPr>
        <w:t>REPORTABLE</w:t>
      </w:r>
      <w:r>
        <w:rPr>
          <w:rFonts w:ascii="Times New Roman" w:hAnsi="Times New Roman" w:cs="Times New Roman"/>
          <w:b/>
          <w:sz w:val="24"/>
          <w:szCs w:val="24"/>
        </w:rPr>
        <w:tab/>
        <w:t>(</w:t>
      </w:r>
      <w:r w:rsidR="00870FDF">
        <w:rPr>
          <w:rFonts w:ascii="Times New Roman" w:hAnsi="Times New Roman" w:cs="Times New Roman"/>
          <w:b/>
          <w:sz w:val="24"/>
          <w:szCs w:val="24"/>
        </w:rPr>
        <w:t>86</w:t>
      </w:r>
      <w:r w:rsidR="003A622A">
        <w:rPr>
          <w:rFonts w:ascii="Times New Roman" w:hAnsi="Times New Roman" w:cs="Times New Roman"/>
          <w:b/>
          <w:sz w:val="24"/>
          <w:szCs w:val="24"/>
        </w:rPr>
        <w:t>)</w:t>
      </w:r>
    </w:p>
    <w:p w14:paraId="4A4AFA40" w14:textId="77777777" w:rsidR="009A0F1C" w:rsidRDefault="009A0F1C" w:rsidP="009A0F1C">
      <w:pPr>
        <w:spacing w:after="0" w:line="240" w:lineRule="auto"/>
        <w:jc w:val="center"/>
        <w:rPr>
          <w:rFonts w:ascii="Times New Roman" w:hAnsi="Times New Roman" w:cs="Times New Roman"/>
          <w:b/>
          <w:sz w:val="24"/>
          <w:szCs w:val="24"/>
        </w:rPr>
      </w:pPr>
    </w:p>
    <w:p w14:paraId="5EDC17E6" w14:textId="77777777" w:rsidR="009A0F1C" w:rsidRDefault="009A0F1C" w:rsidP="009A0F1C">
      <w:pPr>
        <w:spacing w:after="0" w:line="240" w:lineRule="auto"/>
        <w:jc w:val="center"/>
        <w:rPr>
          <w:rFonts w:ascii="Times New Roman" w:hAnsi="Times New Roman" w:cs="Times New Roman"/>
          <w:b/>
          <w:sz w:val="24"/>
          <w:szCs w:val="24"/>
        </w:rPr>
      </w:pPr>
    </w:p>
    <w:p w14:paraId="396F5320" w14:textId="77777777" w:rsidR="009A0F1C" w:rsidRDefault="009A0F1C" w:rsidP="009A0F1C">
      <w:pPr>
        <w:spacing w:after="0" w:line="240" w:lineRule="auto"/>
        <w:jc w:val="center"/>
        <w:rPr>
          <w:rFonts w:ascii="Times New Roman" w:hAnsi="Times New Roman" w:cs="Times New Roman"/>
          <w:b/>
          <w:sz w:val="24"/>
          <w:szCs w:val="24"/>
        </w:rPr>
      </w:pPr>
    </w:p>
    <w:p w14:paraId="247D4BAA" w14:textId="3995FD96" w:rsidR="003A622A" w:rsidRPr="003A622A" w:rsidRDefault="003A622A" w:rsidP="003A622A">
      <w:pPr>
        <w:pStyle w:val="ListParagraph"/>
        <w:numPr>
          <w:ilvl w:val="0"/>
          <w:numId w:val="11"/>
        </w:num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Pr="003A622A">
        <w:rPr>
          <w:rFonts w:ascii="Times New Roman" w:hAnsi="Times New Roman" w:cs="Times New Roman"/>
          <w:b/>
          <w:sz w:val="24"/>
          <w:szCs w:val="24"/>
        </w:rPr>
        <w:t>TENDAI     BOTHWELL     NDORO     N.O.</w:t>
      </w:r>
      <w:r>
        <w:rPr>
          <w:rFonts w:ascii="Times New Roman" w:hAnsi="Times New Roman" w:cs="Times New Roman"/>
          <w:b/>
          <w:sz w:val="24"/>
          <w:szCs w:val="24"/>
        </w:rPr>
        <w:t xml:space="preserve">     </w:t>
      </w:r>
      <w:r w:rsidRPr="003A622A">
        <w:rPr>
          <w:rFonts w:ascii="Times New Roman" w:hAnsi="Times New Roman" w:cs="Times New Roman"/>
          <w:b/>
          <w:sz w:val="24"/>
          <w:szCs w:val="24"/>
        </w:rPr>
        <w:t xml:space="preserve">In his capacity as the executor testamentary of the estate of the late Grace Mandaza     (2)     CATHERINE     CONSTANCE     MANDAZA    In her capacity as the </w:t>
      </w:r>
      <w:r w:rsidRPr="00F13D0A">
        <w:rPr>
          <w:rFonts w:ascii="Times New Roman" w:hAnsi="Times New Roman" w:cs="Times New Roman"/>
          <w:b/>
          <w:i/>
          <w:sz w:val="24"/>
          <w:szCs w:val="24"/>
        </w:rPr>
        <w:t>curator bon</w:t>
      </w:r>
      <w:r w:rsidR="00970102">
        <w:rPr>
          <w:rFonts w:ascii="Times New Roman" w:hAnsi="Times New Roman" w:cs="Times New Roman"/>
          <w:b/>
          <w:i/>
          <w:sz w:val="24"/>
          <w:szCs w:val="24"/>
        </w:rPr>
        <w:t>i</w:t>
      </w:r>
      <w:r w:rsidRPr="00F13D0A">
        <w:rPr>
          <w:rFonts w:ascii="Times New Roman" w:hAnsi="Times New Roman" w:cs="Times New Roman"/>
          <w:b/>
          <w:i/>
          <w:sz w:val="24"/>
          <w:szCs w:val="24"/>
        </w:rPr>
        <w:t xml:space="preserve">s </w:t>
      </w:r>
      <w:r w:rsidRPr="003A622A">
        <w:rPr>
          <w:rFonts w:ascii="Times New Roman" w:hAnsi="Times New Roman" w:cs="Times New Roman"/>
          <w:b/>
          <w:sz w:val="24"/>
          <w:szCs w:val="24"/>
        </w:rPr>
        <w:t xml:space="preserve">of the estate of the late Joel Mandaza   </w:t>
      </w:r>
    </w:p>
    <w:p w14:paraId="05D017C5" w14:textId="750D0E16" w:rsidR="00C50819" w:rsidRDefault="00C50819" w:rsidP="009A0F1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v</w:t>
      </w:r>
    </w:p>
    <w:p w14:paraId="0F4253FF" w14:textId="4D6352A1" w:rsidR="00816C89" w:rsidRPr="005156A3" w:rsidRDefault="003A622A" w:rsidP="0086294A">
      <w:pPr>
        <w:pStyle w:val="ListParagraph"/>
        <w:numPr>
          <w:ilvl w:val="0"/>
          <w:numId w:val="16"/>
        </w:num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DOROTHY     MANDAZA</w:t>
      </w:r>
      <w:r w:rsidR="00113F41" w:rsidRPr="005156A3">
        <w:rPr>
          <w:rFonts w:ascii="Times New Roman" w:hAnsi="Times New Roman" w:cs="Times New Roman"/>
          <w:b/>
          <w:sz w:val="24"/>
          <w:szCs w:val="24"/>
        </w:rPr>
        <w:t xml:space="preserve">     (2)     </w:t>
      </w:r>
      <w:r>
        <w:rPr>
          <w:rFonts w:ascii="Times New Roman" w:hAnsi="Times New Roman" w:cs="Times New Roman"/>
          <w:b/>
          <w:sz w:val="24"/>
          <w:szCs w:val="24"/>
        </w:rPr>
        <w:t>MASTER     OF     THE     HIGH     COURT</w:t>
      </w:r>
      <w:r w:rsidR="001544A4">
        <w:rPr>
          <w:rFonts w:ascii="Times New Roman" w:hAnsi="Times New Roman" w:cs="Times New Roman"/>
          <w:b/>
          <w:sz w:val="24"/>
          <w:szCs w:val="24"/>
        </w:rPr>
        <w:t xml:space="preserve">     (3)     </w:t>
      </w:r>
      <w:r w:rsidR="007577AB">
        <w:rPr>
          <w:rFonts w:ascii="Times New Roman" w:hAnsi="Times New Roman" w:cs="Times New Roman"/>
          <w:b/>
          <w:sz w:val="24"/>
          <w:szCs w:val="24"/>
        </w:rPr>
        <w:t>THE     REGISTRAR     OF     DEEDS</w:t>
      </w:r>
    </w:p>
    <w:p w14:paraId="77506E05" w14:textId="77777777" w:rsidR="00113F41" w:rsidRDefault="00113F41" w:rsidP="009A0F1C">
      <w:pPr>
        <w:spacing w:after="0" w:line="240" w:lineRule="auto"/>
        <w:jc w:val="both"/>
        <w:rPr>
          <w:rFonts w:ascii="Times New Roman" w:hAnsi="Times New Roman" w:cs="Times New Roman"/>
          <w:b/>
          <w:sz w:val="24"/>
          <w:szCs w:val="24"/>
        </w:rPr>
      </w:pPr>
    </w:p>
    <w:p w14:paraId="44E4743B" w14:textId="77777777" w:rsidR="00113F41" w:rsidRDefault="00113F41" w:rsidP="009A0F1C">
      <w:pPr>
        <w:spacing w:after="0" w:line="240" w:lineRule="auto"/>
        <w:jc w:val="both"/>
        <w:rPr>
          <w:rFonts w:ascii="Times New Roman" w:hAnsi="Times New Roman" w:cs="Times New Roman"/>
          <w:b/>
          <w:sz w:val="24"/>
          <w:szCs w:val="24"/>
        </w:rPr>
      </w:pPr>
    </w:p>
    <w:p w14:paraId="3C8DCD83" w14:textId="77777777" w:rsidR="009A0F1C" w:rsidRDefault="009A0F1C" w:rsidP="009A0F1C">
      <w:pPr>
        <w:spacing w:after="0" w:line="240" w:lineRule="auto"/>
        <w:jc w:val="both"/>
        <w:rPr>
          <w:rFonts w:ascii="Times New Roman" w:hAnsi="Times New Roman" w:cs="Times New Roman"/>
          <w:b/>
          <w:sz w:val="24"/>
          <w:szCs w:val="24"/>
        </w:rPr>
      </w:pPr>
    </w:p>
    <w:p w14:paraId="6C38C519" w14:textId="77777777" w:rsidR="00816C89" w:rsidRPr="000C5C06" w:rsidRDefault="00816C89" w:rsidP="009A0F1C">
      <w:pPr>
        <w:spacing w:after="0" w:line="240" w:lineRule="auto"/>
        <w:jc w:val="both"/>
        <w:rPr>
          <w:rFonts w:ascii="Times New Roman" w:eastAsia="Calibri" w:hAnsi="Times New Roman" w:cs="Times New Roman"/>
          <w:b/>
          <w:sz w:val="24"/>
          <w:szCs w:val="24"/>
          <w:lang w:val="en-GB"/>
        </w:rPr>
      </w:pPr>
      <w:r w:rsidRPr="000C5C06">
        <w:rPr>
          <w:rFonts w:ascii="Times New Roman" w:eastAsia="Calibri" w:hAnsi="Times New Roman" w:cs="Times New Roman"/>
          <w:b/>
          <w:sz w:val="24"/>
          <w:szCs w:val="24"/>
          <w:lang w:val="en-GB"/>
        </w:rPr>
        <w:t>SUPREME COURT OF ZIMBABWE</w:t>
      </w:r>
    </w:p>
    <w:p w14:paraId="58EE4E7C" w14:textId="68B1D4FF" w:rsidR="00816C89" w:rsidRPr="000C5C06" w:rsidRDefault="007577AB" w:rsidP="009A0F1C">
      <w:pPr>
        <w:spacing w:after="0" w:line="240" w:lineRule="auto"/>
        <w:jc w:val="both"/>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GUVAVA</w:t>
      </w:r>
      <w:r w:rsidR="00816C89">
        <w:rPr>
          <w:rFonts w:ascii="Times New Roman" w:eastAsia="Calibri" w:hAnsi="Times New Roman" w:cs="Times New Roman"/>
          <w:b/>
          <w:sz w:val="24"/>
          <w:szCs w:val="24"/>
          <w:lang w:val="en-GB"/>
        </w:rPr>
        <w:t xml:space="preserve"> </w:t>
      </w:r>
      <w:r w:rsidR="00816C89" w:rsidRPr="000C5C06">
        <w:rPr>
          <w:rFonts w:ascii="Times New Roman" w:eastAsia="Calibri" w:hAnsi="Times New Roman" w:cs="Times New Roman"/>
          <w:b/>
          <w:sz w:val="24"/>
          <w:szCs w:val="24"/>
          <w:lang w:val="en-GB"/>
        </w:rPr>
        <w:t xml:space="preserve">JA, </w:t>
      </w:r>
      <w:r>
        <w:rPr>
          <w:rFonts w:ascii="Times New Roman" w:eastAsia="Calibri" w:hAnsi="Times New Roman" w:cs="Times New Roman"/>
          <w:b/>
          <w:sz w:val="24"/>
          <w:szCs w:val="24"/>
          <w:lang w:val="en-GB"/>
        </w:rPr>
        <w:t>UCHENA</w:t>
      </w:r>
      <w:r w:rsidR="00816C89">
        <w:rPr>
          <w:rFonts w:ascii="Times New Roman" w:eastAsia="Calibri" w:hAnsi="Times New Roman" w:cs="Times New Roman"/>
          <w:b/>
          <w:sz w:val="24"/>
          <w:szCs w:val="24"/>
          <w:lang w:val="en-GB"/>
        </w:rPr>
        <w:t xml:space="preserve"> JA &amp; </w:t>
      </w:r>
      <w:r>
        <w:rPr>
          <w:rFonts w:ascii="Times New Roman" w:eastAsia="Calibri" w:hAnsi="Times New Roman" w:cs="Times New Roman"/>
          <w:b/>
          <w:sz w:val="24"/>
          <w:szCs w:val="24"/>
          <w:lang w:val="en-GB"/>
        </w:rPr>
        <w:t>MATHONSI</w:t>
      </w:r>
      <w:r w:rsidR="00816C89">
        <w:rPr>
          <w:rFonts w:ascii="Times New Roman" w:eastAsia="Calibri" w:hAnsi="Times New Roman" w:cs="Times New Roman"/>
          <w:b/>
          <w:sz w:val="24"/>
          <w:szCs w:val="24"/>
          <w:lang w:val="en-GB"/>
        </w:rPr>
        <w:t xml:space="preserve"> JA</w:t>
      </w:r>
    </w:p>
    <w:p w14:paraId="4945D55F" w14:textId="6408414E" w:rsidR="00816C89" w:rsidRPr="000C5C06" w:rsidRDefault="009A0F1C" w:rsidP="009A0F1C">
      <w:pPr>
        <w:spacing w:after="0" w:line="240" w:lineRule="auto"/>
        <w:jc w:val="both"/>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 xml:space="preserve">HARARE: </w:t>
      </w:r>
      <w:r w:rsidR="007577AB">
        <w:rPr>
          <w:rFonts w:ascii="Times New Roman" w:eastAsia="Calibri" w:hAnsi="Times New Roman" w:cs="Times New Roman"/>
          <w:b/>
          <w:sz w:val="24"/>
          <w:szCs w:val="24"/>
          <w:lang w:val="en-GB"/>
        </w:rPr>
        <w:t>8</w:t>
      </w:r>
      <w:r w:rsidR="00113F41">
        <w:rPr>
          <w:rFonts w:ascii="Times New Roman" w:eastAsia="Calibri" w:hAnsi="Times New Roman" w:cs="Times New Roman"/>
          <w:b/>
          <w:sz w:val="24"/>
          <w:szCs w:val="24"/>
          <w:lang w:val="en-GB"/>
        </w:rPr>
        <w:t xml:space="preserve"> </w:t>
      </w:r>
      <w:r w:rsidR="007577AB">
        <w:rPr>
          <w:rFonts w:ascii="Times New Roman" w:eastAsia="Calibri" w:hAnsi="Times New Roman" w:cs="Times New Roman"/>
          <w:b/>
          <w:sz w:val="24"/>
          <w:szCs w:val="24"/>
          <w:lang w:val="en-GB"/>
        </w:rPr>
        <w:t>JULY 2024</w:t>
      </w:r>
      <w:r w:rsidR="00E03AB5">
        <w:rPr>
          <w:rFonts w:ascii="Times New Roman" w:eastAsia="Calibri" w:hAnsi="Times New Roman" w:cs="Times New Roman"/>
          <w:b/>
          <w:sz w:val="24"/>
          <w:szCs w:val="24"/>
          <w:lang w:val="en-GB"/>
        </w:rPr>
        <w:t>,</w:t>
      </w:r>
      <w:r w:rsidR="007577AB">
        <w:rPr>
          <w:rFonts w:ascii="Times New Roman" w:eastAsia="Calibri" w:hAnsi="Times New Roman" w:cs="Times New Roman"/>
          <w:b/>
          <w:sz w:val="24"/>
          <w:szCs w:val="24"/>
          <w:lang w:val="en-GB"/>
        </w:rPr>
        <w:t xml:space="preserve"> 24 JULY 2024</w:t>
      </w:r>
      <w:r w:rsidR="00E03AB5">
        <w:rPr>
          <w:rFonts w:ascii="Times New Roman" w:eastAsia="Calibri" w:hAnsi="Times New Roman" w:cs="Times New Roman"/>
          <w:b/>
          <w:sz w:val="24"/>
          <w:szCs w:val="24"/>
          <w:lang w:val="en-GB"/>
        </w:rPr>
        <w:t xml:space="preserve"> &amp;</w:t>
      </w:r>
      <w:r w:rsidR="0070093E">
        <w:rPr>
          <w:rFonts w:ascii="Times New Roman" w:eastAsia="Calibri" w:hAnsi="Times New Roman" w:cs="Times New Roman"/>
          <w:b/>
          <w:sz w:val="24"/>
          <w:szCs w:val="24"/>
          <w:lang w:val="en-GB"/>
        </w:rPr>
        <w:t xml:space="preserve"> 19 </w:t>
      </w:r>
      <w:r w:rsidR="00E03AB5">
        <w:rPr>
          <w:rFonts w:ascii="Times New Roman" w:eastAsia="Calibri" w:hAnsi="Times New Roman" w:cs="Times New Roman"/>
          <w:b/>
          <w:sz w:val="24"/>
          <w:szCs w:val="24"/>
          <w:lang w:val="en-GB"/>
        </w:rPr>
        <w:t>SEPTEMBER 2024</w:t>
      </w:r>
    </w:p>
    <w:p w14:paraId="54E59B1D" w14:textId="77777777" w:rsidR="00FC1C1A" w:rsidRPr="007577AB" w:rsidRDefault="00FC1C1A" w:rsidP="00B321DC">
      <w:pPr>
        <w:spacing w:after="0" w:line="240" w:lineRule="auto"/>
        <w:jc w:val="both"/>
        <w:rPr>
          <w:rFonts w:ascii="Times New Roman" w:eastAsia="Calibri" w:hAnsi="Times New Roman" w:cs="Times New Roman"/>
          <w:iCs/>
          <w:sz w:val="24"/>
          <w:szCs w:val="24"/>
          <w:lang w:val="en-ZW"/>
        </w:rPr>
      </w:pPr>
    </w:p>
    <w:p w14:paraId="077C81FA" w14:textId="77777777" w:rsidR="00FC1C1A" w:rsidRPr="007577AB" w:rsidRDefault="00FC1C1A" w:rsidP="007577AB">
      <w:pPr>
        <w:spacing w:after="0" w:line="360" w:lineRule="auto"/>
        <w:jc w:val="both"/>
        <w:rPr>
          <w:rFonts w:ascii="Times New Roman" w:eastAsia="Calibri" w:hAnsi="Times New Roman" w:cs="Times New Roman"/>
          <w:iCs/>
          <w:sz w:val="24"/>
          <w:szCs w:val="24"/>
          <w:lang w:val="en-ZW"/>
        </w:rPr>
      </w:pPr>
    </w:p>
    <w:p w14:paraId="17176DB0" w14:textId="19DED423" w:rsidR="00816C89" w:rsidRPr="00816C89" w:rsidRDefault="007577AB" w:rsidP="009A0F1C">
      <w:pPr>
        <w:spacing w:after="0" w:line="480" w:lineRule="auto"/>
        <w:jc w:val="both"/>
        <w:rPr>
          <w:rFonts w:ascii="Times New Roman" w:eastAsia="Calibri" w:hAnsi="Times New Roman" w:cs="Times New Roman"/>
          <w:i/>
          <w:iCs/>
          <w:sz w:val="24"/>
          <w:szCs w:val="24"/>
          <w:lang w:val="en-ZW"/>
        </w:rPr>
      </w:pPr>
      <w:r>
        <w:rPr>
          <w:rFonts w:ascii="Times New Roman" w:eastAsia="Calibri" w:hAnsi="Times New Roman" w:cs="Times New Roman"/>
          <w:i/>
          <w:iCs/>
          <w:sz w:val="24"/>
          <w:szCs w:val="24"/>
          <w:lang w:val="en-ZW"/>
        </w:rPr>
        <w:t>R.H Goba,</w:t>
      </w:r>
      <w:r w:rsidR="00816C89" w:rsidRPr="00816C89">
        <w:rPr>
          <w:rFonts w:ascii="Times New Roman" w:eastAsia="Calibri" w:hAnsi="Times New Roman" w:cs="Times New Roman"/>
          <w:i/>
          <w:iCs/>
          <w:sz w:val="24"/>
          <w:szCs w:val="24"/>
          <w:lang w:val="en-ZW"/>
        </w:rPr>
        <w:t xml:space="preserve"> </w:t>
      </w:r>
      <w:r w:rsidR="00816C89" w:rsidRPr="00113F41">
        <w:rPr>
          <w:rFonts w:ascii="Times New Roman" w:eastAsia="Calibri" w:hAnsi="Times New Roman" w:cs="Times New Roman"/>
          <w:iCs/>
          <w:sz w:val="24"/>
          <w:szCs w:val="24"/>
          <w:lang w:val="en-ZW"/>
        </w:rPr>
        <w:t>for the</w:t>
      </w:r>
      <w:r>
        <w:rPr>
          <w:rFonts w:ascii="Times New Roman" w:eastAsia="Calibri" w:hAnsi="Times New Roman" w:cs="Times New Roman"/>
          <w:iCs/>
          <w:sz w:val="24"/>
          <w:szCs w:val="24"/>
          <w:lang w:val="en-ZW"/>
        </w:rPr>
        <w:t xml:space="preserve"> first and second</w:t>
      </w:r>
      <w:r w:rsidR="00816C89" w:rsidRPr="00113F41">
        <w:rPr>
          <w:rFonts w:ascii="Times New Roman" w:eastAsia="Calibri" w:hAnsi="Times New Roman" w:cs="Times New Roman"/>
          <w:iCs/>
          <w:sz w:val="24"/>
          <w:szCs w:val="24"/>
          <w:lang w:val="en-ZW"/>
        </w:rPr>
        <w:t xml:space="preserve"> appellant</w:t>
      </w:r>
      <w:r>
        <w:rPr>
          <w:rFonts w:ascii="Times New Roman" w:eastAsia="Calibri" w:hAnsi="Times New Roman" w:cs="Times New Roman"/>
          <w:iCs/>
          <w:sz w:val="24"/>
          <w:szCs w:val="24"/>
          <w:lang w:val="en-ZW"/>
        </w:rPr>
        <w:t>s</w:t>
      </w:r>
    </w:p>
    <w:p w14:paraId="13BD17C0" w14:textId="1A1FE175" w:rsidR="00113F41" w:rsidRDefault="007577AB" w:rsidP="009A0F1C">
      <w:pPr>
        <w:spacing w:after="0" w:line="480" w:lineRule="auto"/>
        <w:jc w:val="both"/>
        <w:rPr>
          <w:rFonts w:ascii="Times New Roman" w:eastAsia="Calibri" w:hAnsi="Times New Roman" w:cs="Times New Roman"/>
          <w:i/>
          <w:iCs/>
          <w:sz w:val="24"/>
          <w:szCs w:val="24"/>
          <w:lang w:val="en-ZW"/>
        </w:rPr>
      </w:pPr>
      <w:r>
        <w:rPr>
          <w:rFonts w:ascii="Times New Roman" w:eastAsia="Calibri" w:hAnsi="Times New Roman" w:cs="Times New Roman"/>
          <w:i/>
          <w:iCs/>
          <w:sz w:val="24"/>
          <w:szCs w:val="24"/>
          <w:lang w:val="en-ZW"/>
        </w:rPr>
        <w:t>T. Biti,</w:t>
      </w:r>
      <w:r w:rsidR="00816C89" w:rsidRPr="00816C89">
        <w:rPr>
          <w:rFonts w:ascii="Times New Roman" w:eastAsia="Calibri" w:hAnsi="Times New Roman" w:cs="Times New Roman"/>
          <w:i/>
          <w:iCs/>
          <w:sz w:val="24"/>
          <w:szCs w:val="24"/>
          <w:lang w:val="en-ZW"/>
        </w:rPr>
        <w:t xml:space="preserve"> </w:t>
      </w:r>
      <w:r w:rsidR="005156A3">
        <w:rPr>
          <w:rFonts w:ascii="Times New Roman" w:eastAsia="Calibri" w:hAnsi="Times New Roman" w:cs="Times New Roman"/>
          <w:iCs/>
          <w:sz w:val="24"/>
          <w:szCs w:val="24"/>
          <w:lang w:val="en-ZW"/>
        </w:rPr>
        <w:t>for the</w:t>
      </w:r>
      <w:r>
        <w:rPr>
          <w:rFonts w:ascii="Times New Roman" w:eastAsia="Calibri" w:hAnsi="Times New Roman" w:cs="Times New Roman"/>
          <w:iCs/>
          <w:sz w:val="24"/>
          <w:szCs w:val="24"/>
          <w:lang w:val="en-ZW"/>
        </w:rPr>
        <w:t xml:space="preserve"> first </w:t>
      </w:r>
      <w:r w:rsidR="00816C89" w:rsidRPr="00113F41">
        <w:rPr>
          <w:rFonts w:ascii="Times New Roman" w:eastAsia="Calibri" w:hAnsi="Times New Roman" w:cs="Times New Roman"/>
          <w:iCs/>
          <w:sz w:val="24"/>
          <w:szCs w:val="24"/>
          <w:lang w:val="en-ZW"/>
        </w:rPr>
        <w:t>respondent</w:t>
      </w:r>
    </w:p>
    <w:p w14:paraId="35597E48" w14:textId="145CEE68" w:rsidR="0082070B" w:rsidRDefault="005156A3" w:rsidP="007577AB">
      <w:pPr>
        <w:spacing w:after="0" w:line="480" w:lineRule="auto"/>
        <w:jc w:val="both"/>
        <w:rPr>
          <w:rFonts w:ascii="Times New Roman" w:eastAsia="Calibri" w:hAnsi="Times New Roman" w:cs="Times New Roman"/>
          <w:iCs/>
          <w:sz w:val="24"/>
          <w:szCs w:val="24"/>
          <w:lang w:val="en-ZW"/>
        </w:rPr>
      </w:pPr>
      <w:r>
        <w:rPr>
          <w:rFonts w:ascii="Times New Roman" w:eastAsia="Calibri" w:hAnsi="Times New Roman" w:cs="Times New Roman"/>
          <w:iCs/>
          <w:sz w:val="24"/>
          <w:szCs w:val="24"/>
          <w:lang w:val="en-ZW"/>
        </w:rPr>
        <w:t xml:space="preserve">No appearance for the </w:t>
      </w:r>
      <w:r w:rsidR="007577AB">
        <w:rPr>
          <w:rFonts w:ascii="Times New Roman" w:eastAsia="Calibri" w:hAnsi="Times New Roman" w:cs="Times New Roman"/>
          <w:iCs/>
          <w:sz w:val="24"/>
          <w:szCs w:val="24"/>
          <w:lang w:val="en-ZW"/>
        </w:rPr>
        <w:t>second and third</w:t>
      </w:r>
      <w:r>
        <w:rPr>
          <w:rFonts w:ascii="Times New Roman" w:eastAsia="Calibri" w:hAnsi="Times New Roman" w:cs="Times New Roman"/>
          <w:iCs/>
          <w:sz w:val="24"/>
          <w:szCs w:val="24"/>
          <w:lang w:val="en-ZW"/>
        </w:rPr>
        <w:t xml:space="preserve"> </w:t>
      </w:r>
      <w:r w:rsidR="00816C89" w:rsidRPr="00113F41">
        <w:rPr>
          <w:rFonts w:ascii="Times New Roman" w:eastAsia="Calibri" w:hAnsi="Times New Roman" w:cs="Times New Roman"/>
          <w:iCs/>
          <w:sz w:val="24"/>
          <w:szCs w:val="24"/>
          <w:lang w:val="en-ZW"/>
        </w:rPr>
        <w:t>respondents</w:t>
      </w:r>
      <w:r w:rsidR="006B2ACB">
        <w:rPr>
          <w:rFonts w:ascii="Times New Roman" w:eastAsia="Calibri" w:hAnsi="Times New Roman" w:cs="Times New Roman"/>
          <w:iCs/>
          <w:sz w:val="24"/>
          <w:szCs w:val="24"/>
          <w:lang w:val="en-ZW"/>
        </w:rPr>
        <w:t xml:space="preserve"> </w:t>
      </w:r>
    </w:p>
    <w:p w14:paraId="4C32B6F1" w14:textId="77777777" w:rsidR="007577AB" w:rsidRDefault="007577AB" w:rsidP="007577AB">
      <w:pPr>
        <w:spacing w:after="0" w:line="480" w:lineRule="auto"/>
        <w:jc w:val="both"/>
        <w:rPr>
          <w:rFonts w:ascii="Times New Roman" w:eastAsia="Calibri" w:hAnsi="Times New Roman" w:cs="Times New Roman"/>
          <w:iCs/>
          <w:sz w:val="24"/>
          <w:szCs w:val="24"/>
          <w:lang w:val="en-ZW"/>
        </w:rPr>
      </w:pPr>
    </w:p>
    <w:p w14:paraId="719549AC" w14:textId="127AC528" w:rsidR="009E3758" w:rsidRDefault="007577AB" w:rsidP="007577AB">
      <w:pPr>
        <w:spacing w:after="0" w:line="480" w:lineRule="auto"/>
        <w:ind w:firstLine="1134"/>
        <w:jc w:val="both"/>
        <w:rPr>
          <w:rFonts w:ascii="Times New Roman" w:eastAsia="Calibri" w:hAnsi="Times New Roman" w:cs="Times New Roman"/>
          <w:iCs/>
          <w:sz w:val="24"/>
          <w:szCs w:val="24"/>
          <w:lang w:val="en-ZW"/>
        </w:rPr>
      </w:pPr>
      <w:r w:rsidRPr="007577AB">
        <w:rPr>
          <w:rFonts w:ascii="Times New Roman" w:eastAsia="Calibri" w:hAnsi="Times New Roman" w:cs="Times New Roman"/>
          <w:b/>
          <w:iCs/>
          <w:sz w:val="24"/>
          <w:szCs w:val="24"/>
          <w:lang w:val="en-ZW"/>
        </w:rPr>
        <w:t>MATHONSI JA:</w:t>
      </w:r>
      <w:r>
        <w:rPr>
          <w:rFonts w:ascii="Times New Roman" w:eastAsia="Calibri" w:hAnsi="Times New Roman" w:cs="Times New Roman"/>
          <w:b/>
          <w:iCs/>
          <w:sz w:val="24"/>
          <w:szCs w:val="24"/>
          <w:lang w:val="en-ZW"/>
        </w:rPr>
        <w:tab/>
      </w:r>
      <w:r>
        <w:rPr>
          <w:rFonts w:ascii="Times New Roman" w:eastAsia="Calibri" w:hAnsi="Times New Roman" w:cs="Times New Roman"/>
          <w:iCs/>
          <w:sz w:val="24"/>
          <w:szCs w:val="24"/>
          <w:lang w:val="en-ZW"/>
        </w:rPr>
        <w:t>T</w:t>
      </w:r>
      <w:r w:rsidRPr="007577AB">
        <w:rPr>
          <w:rFonts w:ascii="Times New Roman" w:eastAsia="Calibri" w:hAnsi="Times New Roman" w:cs="Times New Roman"/>
          <w:iCs/>
          <w:sz w:val="24"/>
          <w:szCs w:val="24"/>
          <w:lang w:val="en-ZW"/>
        </w:rPr>
        <w:t>his appeal</w:t>
      </w:r>
      <w:r w:rsidR="00441B59">
        <w:rPr>
          <w:rFonts w:ascii="Times New Roman" w:eastAsia="Calibri" w:hAnsi="Times New Roman" w:cs="Times New Roman"/>
          <w:iCs/>
          <w:sz w:val="24"/>
          <w:szCs w:val="24"/>
          <w:lang w:val="en-ZW"/>
        </w:rPr>
        <w:t>,</w:t>
      </w:r>
      <w:r w:rsidRPr="007577AB">
        <w:rPr>
          <w:rFonts w:ascii="Times New Roman" w:eastAsia="Calibri" w:hAnsi="Times New Roman" w:cs="Times New Roman"/>
          <w:iCs/>
          <w:sz w:val="24"/>
          <w:szCs w:val="24"/>
          <w:lang w:val="en-ZW"/>
        </w:rPr>
        <w:t xml:space="preserve"> against the whole judgment</w:t>
      </w:r>
      <w:r>
        <w:rPr>
          <w:rFonts w:ascii="Times New Roman" w:eastAsia="Calibri" w:hAnsi="Times New Roman" w:cs="Times New Roman"/>
          <w:b/>
          <w:iCs/>
          <w:sz w:val="24"/>
          <w:szCs w:val="24"/>
          <w:lang w:val="en-ZW"/>
        </w:rPr>
        <w:t xml:space="preserve"> </w:t>
      </w:r>
      <w:r w:rsidRPr="007577AB">
        <w:rPr>
          <w:rFonts w:ascii="Times New Roman" w:eastAsia="Calibri" w:hAnsi="Times New Roman" w:cs="Times New Roman"/>
          <w:iCs/>
          <w:sz w:val="24"/>
          <w:szCs w:val="24"/>
          <w:lang w:val="en-ZW"/>
        </w:rPr>
        <w:t>of the</w:t>
      </w:r>
      <w:r>
        <w:rPr>
          <w:rFonts w:ascii="Times New Roman" w:eastAsia="Calibri" w:hAnsi="Times New Roman" w:cs="Times New Roman"/>
          <w:b/>
          <w:iCs/>
          <w:sz w:val="24"/>
          <w:szCs w:val="24"/>
          <w:lang w:val="en-ZW"/>
        </w:rPr>
        <w:t xml:space="preserve"> </w:t>
      </w:r>
      <w:r w:rsidR="00420708">
        <w:rPr>
          <w:rFonts w:ascii="Times New Roman" w:eastAsia="Calibri" w:hAnsi="Times New Roman" w:cs="Times New Roman"/>
          <w:iCs/>
          <w:sz w:val="24"/>
          <w:szCs w:val="24"/>
          <w:lang w:val="en-ZW"/>
        </w:rPr>
        <w:t>Hi</w:t>
      </w:r>
      <w:r w:rsidRPr="007577AB">
        <w:rPr>
          <w:rFonts w:ascii="Times New Roman" w:eastAsia="Calibri" w:hAnsi="Times New Roman" w:cs="Times New Roman"/>
          <w:iCs/>
          <w:sz w:val="24"/>
          <w:szCs w:val="24"/>
          <w:lang w:val="en-ZW"/>
        </w:rPr>
        <w:t>gh</w:t>
      </w:r>
      <w:r w:rsidR="00F13D0A">
        <w:rPr>
          <w:rFonts w:ascii="Times New Roman" w:eastAsia="Calibri" w:hAnsi="Times New Roman" w:cs="Times New Roman"/>
          <w:iCs/>
          <w:sz w:val="24"/>
          <w:szCs w:val="24"/>
          <w:lang w:val="en-ZW"/>
        </w:rPr>
        <w:t xml:space="preserve"> Court</w:t>
      </w:r>
      <w:r>
        <w:rPr>
          <w:rFonts w:ascii="Times New Roman" w:eastAsia="Calibri" w:hAnsi="Times New Roman" w:cs="Times New Roman"/>
          <w:b/>
          <w:iCs/>
          <w:sz w:val="24"/>
          <w:szCs w:val="24"/>
          <w:lang w:val="en-ZW"/>
        </w:rPr>
        <w:t xml:space="preserve"> </w:t>
      </w:r>
      <w:r w:rsidRPr="007577AB">
        <w:rPr>
          <w:rFonts w:ascii="Times New Roman" w:eastAsia="Calibri" w:hAnsi="Times New Roman" w:cs="Times New Roman"/>
          <w:iCs/>
          <w:sz w:val="24"/>
          <w:szCs w:val="24"/>
          <w:lang w:val="en-ZW"/>
        </w:rPr>
        <w:t>sitting</w:t>
      </w:r>
      <w:r>
        <w:rPr>
          <w:rFonts w:ascii="Times New Roman" w:eastAsia="Calibri" w:hAnsi="Times New Roman" w:cs="Times New Roman"/>
          <w:b/>
          <w:iCs/>
          <w:sz w:val="24"/>
          <w:szCs w:val="24"/>
          <w:lang w:val="en-ZW"/>
        </w:rPr>
        <w:t xml:space="preserve"> </w:t>
      </w:r>
      <w:r w:rsidR="009E3758">
        <w:rPr>
          <w:rFonts w:ascii="Times New Roman" w:eastAsia="Calibri" w:hAnsi="Times New Roman" w:cs="Times New Roman"/>
          <w:iCs/>
          <w:sz w:val="24"/>
          <w:szCs w:val="24"/>
          <w:lang w:val="en-ZW"/>
        </w:rPr>
        <w:t xml:space="preserve">at Harare (the court </w:t>
      </w:r>
      <w:r w:rsidR="009E3758" w:rsidRPr="009E3758">
        <w:rPr>
          <w:rFonts w:ascii="Times New Roman" w:eastAsia="Calibri" w:hAnsi="Times New Roman" w:cs="Times New Roman"/>
          <w:i/>
          <w:iCs/>
          <w:sz w:val="24"/>
          <w:szCs w:val="24"/>
          <w:lang w:val="en-ZW"/>
        </w:rPr>
        <w:t>a quo</w:t>
      </w:r>
      <w:r w:rsidR="009E3758">
        <w:rPr>
          <w:rFonts w:ascii="Times New Roman" w:eastAsia="Calibri" w:hAnsi="Times New Roman" w:cs="Times New Roman"/>
          <w:iCs/>
          <w:sz w:val="24"/>
          <w:szCs w:val="24"/>
          <w:lang w:val="en-ZW"/>
        </w:rPr>
        <w:t>) handed down on 19 October 2023</w:t>
      </w:r>
      <w:r w:rsidR="00441B59">
        <w:rPr>
          <w:rFonts w:ascii="Times New Roman" w:eastAsia="Calibri" w:hAnsi="Times New Roman" w:cs="Times New Roman"/>
          <w:iCs/>
          <w:sz w:val="24"/>
          <w:szCs w:val="24"/>
          <w:lang w:val="en-ZW"/>
        </w:rPr>
        <w:t>,</w:t>
      </w:r>
      <w:r w:rsidR="009E3758">
        <w:rPr>
          <w:rFonts w:ascii="Times New Roman" w:eastAsia="Calibri" w:hAnsi="Times New Roman" w:cs="Times New Roman"/>
          <w:iCs/>
          <w:sz w:val="24"/>
          <w:szCs w:val="24"/>
          <w:lang w:val="en-ZW"/>
        </w:rPr>
        <w:t xml:space="preserve"> was initially launched only by the first appellant in his capacity as the executor testamentary of the es</w:t>
      </w:r>
      <w:r w:rsidR="001B58CB">
        <w:rPr>
          <w:rFonts w:ascii="Times New Roman" w:eastAsia="Calibri" w:hAnsi="Times New Roman" w:cs="Times New Roman"/>
          <w:iCs/>
          <w:sz w:val="24"/>
          <w:szCs w:val="24"/>
          <w:lang w:val="en-ZW"/>
        </w:rPr>
        <w:t xml:space="preserve">tate of the late Grace Mandaza.  </w:t>
      </w:r>
      <w:r w:rsidR="009E3758">
        <w:rPr>
          <w:rFonts w:ascii="Times New Roman" w:eastAsia="Calibri" w:hAnsi="Times New Roman" w:cs="Times New Roman"/>
          <w:iCs/>
          <w:sz w:val="24"/>
          <w:szCs w:val="24"/>
          <w:lang w:val="en-ZW"/>
        </w:rPr>
        <w:t xml:space="preserve">The late Grace Mandaza was sued by the first respondent in the court </w:t>
      </w:r>
      <w:r w:rsidR="009E3758" w:rsidRPr="009E3758">
        <w:rPr>
          <w:rFonts w:ascii="Times New Roman" w:eastAsia="Calibri" w:hAnsi="Times New Roman" w:cs="Times New Roman"/>
          <w:i/>
          <w:iCs/>
          <w:sz w:val="24"/>
          <w:szCs w:val="24"/>
          <w:lang w:val="en-ZW"/>
        </w:rPr>
        <w:t>a quo</w:t>
      </w:r>
      <w:r w:rsidR="009E3758">
        <w:rPr>
          <w:rFonts w:ascii="Times New Roman" w:eastAsia="Calibri" w:hAnsi="Times New Roman" w:cs="Times New Roman"/>
          <w:iCs/>
          <w:sz w:val="24"/>
          <w:szCs w:val="24"/>
          <w:lang w:val="en-ZW"/>
        </w:rPr>
        <w:t xml:space="preserve"> in her capacity as the executrix dative of the estate of her late husband Joel Mandaza as well as in her personal capacity. </w:t>
      </w:r>
    </w:p>
    <w:p w14:paraId="0F9B4468" w14:textId="77777777" w:rsidR="009E3758" w:rsidRDefault="009E3758" w:rsidP="00B321DC">
      <w:pPr>
        <w:spacing w:after="0" w:line="480" w:lineRule="auto"/>
        <w:ind w:firstLine="1134"/>
        <w:jc w:val="both"/>
        <w:rPr>
          <w:rFonts w:ascii="Times New Roman" w:eastAsia="Calibri" w:hAnsi="Times New Roman" w:cs="Times New Roman"/>
          <w:iCs/>
          <w:sz w:val="24"/>
          <w:szCs w:val="24"/>
          <w:lang w:val="en-ZW"/>
        </w:rPr>
      </w:pPr>
    </w:p>
    <w:p w14:paraId="4EE96735" w14:textId="0913B3BB" w:rsidR="00C7651C" w:rsidRDefault="007F2F1A" w:rsidP="007577AB">
      <w:pPr>
        <w:spacing w:after="0" w:line="480" w:lineRule="auto"/>
        <w:ind w:firstLine="1134"/>
        <w:jc w:val="both"/>
        <w:rPr>
          <w:rFonts w:ascii="Times New Roman" w:eastAsia="Calibri" w:hAnsi="Times New Roman" w:cs="Times New Roman"/>
          <w:iCs/>
          <w:sz w:val="24"/>
          <w:szCs w:val="24"/>
          <w:lang w:val="en-ZW"/>
        </w:rPr>
      </w:pPr>
      <w:r>
        <w:rPr>
          <w:rFonts w:ascii="Times New Roman" w:eastAsia="Calibri" w:hAnsi="Times New Roman" w:cs="Times New Roman"/>
          <w:iCs/>
          <w:sz w:val="24"/>
          <w:szCs w:val="24"/>
          <w:lang w:val="en-ZW"/>
        </w:rPr>
        <w:t>Shortly before judgment was handed down</w:t>
      </w:r>
      <w:r w:rsidR="009E3758">
        <w:rPr>
          <w:rFonts w:ascii="Times New Roman" w:eastAsia="Calibri" w:hAnsi="Times New Roman" w:cs="Times New Roman"/>
          <w:iCs/>
          <w:sz w:val="24"/>
          <w:szCs w:val="24"/>
          <w:lang w:val="en-ZW"/>
        </w:rPr>
        <w:t xml:space="preserve"> Grace Mandaza passed away. </w:t>
      </w:r>
      <w:r w:rsidR="001B58CB">
        <w:rPr>
          <w:rFonts w:ascii="Times New Roman" w:eastAsia="Calibri" w:hAnsi="Times New Roman" w:cs="Times New Roman"/>
          <w:iCs/>
          <w:sz w:val="24"/>
          <w:szCs w:val="24"/>
          <w:lang w:val="en-ZW"/>
        </w:rPr>
        <w:t xml:space="preserve"> </w:t>
      </w:r>
      <w:r w:rsidR="009E3758">
        <w:rPr>
          <w:rFonts w:ascii="Times New Roman" w:eastAsia="Calibri" w:hAnsi="Times New Roman" w:cs="Times New Roman"/>
          <w:iCs/>
          <w:sz w:val="24"/>
          <w:szCs w:val="24"/>
          <w:lang w:val="en-ZW"/>
        </w:rPr>
        <w:t>The executor of her estate, the first appellant herein</w:t>
      </w:r>
      <w:r w:rsidR="000006FE">
        <w:rPr>
          <w:rFonts w:ascii="Times New Roman" w:eastAsia="Calibri" w:hAnsi="Times New Roman" w:cs="Times New Roman"/>
          <w:iCs/>
          <w:sz w:val="24"/>
          <w:szCs w:val="24"/>
          <w:lang w:val="en-ZW"/>
        </w:rPr>
        <w:t>,</w:t>
      </w:r>
      <w:r w:rsidR="009E3758">
        <w:rPr>
          <w:rFonts w:ascii="Times New Roman" w:eastAsia="Calibri" w:hAnsi="Times New Roman" w:cs="Times New Roman"/>
          <w:iCs/>
          <w:sz w:val="24"/>
          <w:szCs w:val="24"/>
          <w:lang w:val="en-ZW"/>
        </w:rPr>
        <w:t xml:space="preserve"> replaced her as the appellant leaving a </w:t>
      </w:r>
      <w:r w:rsidR="009E3758" w:rsidRPr="009E3758">
        <w:rPr>
          <w:rFonts w:ascii="Times New Roman" w:eastAsia="Calibri" w:hAnsi="Times New Roman" w:cs="Times New Roman"/>
          <w:i/>
          <w:iCs/>
          <w:sz w:val="24"/>
          <w:szCs w:val="24"/>
          <w:lang w:val="en-ZW"/>
        </w:rPr>
        <w:t>lacuna</w:t>
      </w:r>
      <w:r w:rsidR="009E3758">
        <w:rPr>
          <w:rFonts w:ascii="Times New Roman" w:eastAsia="Calibri" w:hAnsi="Times New Roman" w:cs="Times New Roman"/>
          <w:i/>
          <w:iCs/>
          <w:sz w:val="24"/>
          <w:szCs w:val="24"/>
          <w:lang w:val="en-ZW"/>
        </w:rPr>
        <w:t xml:space="preserve"> </w:t>
      </w:r>
      <w:r w:rsidR="009E3758" w:rsidRPr="009E3758">
        <w:rPr>
          <w:rFonts w:ascii="Times New Roman" w:eastAsia="Calibri" w:hAnsi="Times New Roman" w:cs="Times New Roman"/>
          <w:iCs/>
          <w:sz w:val="24"/>
          <w:szCs w:val="24"/>
          <w:lang w:val="en-ZW"/>
        </w:rPr>
        <w:t>in the proceedings</w:t>
      </w:r>
      <w:r w:rsidR="000006FE">
        <w:rPr>
          <w:rFonts w:ascii="Times New Roman" w:eastAsia="Calibri" w:hAnsi="Times New Roman" w:cs="Times New Roman"/>
          <w:iCs/>
          <w:sz w:val="24"/>
          <w:szCs w:val="24"/>
          <w:lang w:val="en-ZW"/>
        </w:rPr>
        <w:t>,</w:t>
      </w:r>
      <w:r w:rsidR="009E3758">
        <w:rPr>
          <w:rFonts w:ascii="Times New Roman" w:eastAsia="Calibri" w:hAnsi="Times New Roman" w:cs="Times New Roman"/>
          <w:iCs/>
          <w:sz w:val="24"/>
          <w:szCs w:val="24"/>
          <w:lang w:val="en-ZW"/>
        </w:rPr>
        <w:t xml:space="preserve"> namely</w:t>
      </w:r>
      <w:r w:rsidR="000006FE">
        <w:rPr>
          <w:rFonts w:ascii="Times New Roman" w:eastAsia="Calibri" w:hAnsi="Times New Roman" w:cs="Times New Roman"/>
          <w:iCs/>
          <w:sz w:val="24"/>
          <w:szCs w:val="24"/>
          <w:lang w:val="en-ZW"/>
        </w:rPr>
        <w:t>,</w:t>
      </w:r>
      <w:r w:rsidR="009E3758">
        <w:rPr>
          <w:rFonts w:ascii="Times New Roman" w:eastAsia="Calibri" w:hAnsi="Times New Roman" w:cs="Times New Roman"/>
          <w:iCs/>
          <w:sz w:val="24"/>
          <w:szCs w:val="24"/>
          <w:lang w:val="en-ZW"/>
        </w:rPr>
        <w:t xml:space="preserve"> that the interest of the late Joel Mandaza, who was represented </w:t>
      </w:r>
      <w:r w:rsidR="009E3758" w:rsidRPr="009E3758">
        <w:rPr>
          <w:rFonts w:ascii="Times New Roman" w:eastAsia="Calibri" w:hAnsi="Times New Roman" w:cs="Times New Roman"/>
          <w:i/>
          <w:iCs/>
          <w:sz w:val="24"/>
          <w:szCs w:val="24"/>
          <w:lang w:val="en-ZW"/>
        </w:rPr>
        <w:t>a quo</w:t>
      </w:r>
      <w:r w:rsidR="009E3758">
        <w:rPr>
          <w:rFonts w:ascii="Times New Roman" w:eastAsia="Calibri" w:hAnsi="Times New Roman" w:cs="Times New Roman"/>
          <w:iCs/>
          <w:sz w:val="24"/>
          <w:szCs w:val="24"/>
          <w:lang w:val="en-ZW"/>
        </w:rPr>
        <w:t xml:space="preserve"> by the </w:t>
      </w:r>
      <w:r w:rsidR="009E3758">
        <w:rPr>
          <w:rFonts w:ascii="Times New Roman" w:eastAsia="Calibri" w:hAnsi="Times New Roman" w:cs="Times New Roman"/>
          <w:iCs/>
          <w:sz w:val="24"/>
          <w:szCs w:val="24"/>
          <w:lang w:val="en-ZW"/>
        </w:rPr>
        <w:lastRenderedPageBreak/>
        <w:t>late Grace Mandaza</w:t>
      </w:r>
      <w:r w:rsidR="000006FE">
        <w:rPr>
          <w:rFonts w:ascii="Times New Roman" w:eastAsia="Calibri" w:hAnsi="Times New Roman" w:cs="Times New Roman"/>
          <w:iCs/>
          <w:sz w:val="24"/>
          <w:szCs w:val="24"/>
          <w:lang w:val="en-ZW"/>
        </w:rPr>
        <w:t>,</w:t>
      </w:r>
      <w:r w:rsidR="009E3758">
        <w:rPr>
          <w:rFonts w:ascii="Times New Roman" w:eastAsia="Calibri" w:hAnsi="Times New Roman" w:cs="Times New Roman"/>
          <w:iCs/>
          <w:sz w:val="24"/>
          <w:szCs w:val="24"/>
          <w:lang w:val="en-ZW"/>
        </w:rPr>
        <w:t xml:space="preserve"> were not protec</w:t>
      </w:r>
      <w:r w:rsidR="00D83B5C">
        <w:rPr>
          <w:rFonts w:ascii="Times New Roman" w:eastAsia="Calibri" w:hAnsi="Times New Roman" w:cs="Times New Roman"/>
          <w:iCs/>
          <w:sz w:val="24"/>
          <w:szCs w:val="24"/>
          <w:lang w:val="en-ZW"/>
        </w:rPr>
        <w:t xml:space="preserve">ted. </w:t>
      </w:r>
      <w:r w:rsidR="001B58CB">
        <w:rPr>
          <w:rFonts w:ascii="Times New Roman" w:eastAsia="Calibri" w:hAnsi="Times New Roman" w:cs="Times New Roman"/>
          <w:iCs/>
          <w:sz w:val="24"/>
          <w:szCs w:val="24"/>
          <w:lang w:val="en-ZW"/>
        </w:rPr>
        <w:t xml:space="preserve"> </w:t>
      </w:r>
      <w:r w:rsidR="00D83B5C">
        <w:rPr>
          <w:rFonts w:ascii="Times New Roman" w:eastAsia="Calibri" w:hAnsi="Times New Roman" w:cs="Times New Roman"/>
          <w:iCs/>
          <w:sz w:val="24"/>
          <w:szCs w:val="24"/>
          <w:lang w:val="en-ZW"/>
        </w:rPr>
        <w:t>On an application for joinder</w:t>
      </w:r>
      <w:r w:rsidR="009E3758">
        <w:rPr>
          <w:rFonts w:ascii="Times New Roman" w:eastAsia="Calibri" w:hAnsi="Times New Roman" w:cs="Times New Roman"/>
          <w:iCs/>
          <w:sz w:val="24"/>
          <w:szCs w:val="24"/>
          <w:lang w:val="en-ZW"/>
        </w:rPr>
        <w:t xml:space="preserve"> made by the first </w:t>
      </w:r>
      <w:r w:rsidR="00C7651C">
        <w:rPr>
          <w:rFonts w:ascii="Times New Roman" w:eastAsia="Calibri" w:hAnsi="Times New Roman" w:cs="Times New Roman"/>
          <w:iCs/>
          <w:sz w:val="24"/>
          <w:szCs w:val="24"/>
          <w:lang w:val="en-ZW"/>
        </w:rPr>
        <w:t>appellant and Catherine Constance Mandaza,</w:t>
      </w:r>
      <w:r w:rsidR="00D83B5C">
        <w:rPr>
          <w:rFonts w:ascii="Times New Roman" w:eastAsia="Calibri" w:hAnsi="Times New Roman" w:cs="Times New Roman"/>
          <w:iCs/>
          <w:sz w:val="24"/>
          <w:szCs w:val="24"/>
          <w:lang w:val="en-ZW"/>
        </w:rPr>
        <w:t xml:space="preserve"> the daughter of the deceased couple</w:t>
      </w:r>
      <w:r w:rsidR="00C7651C">
        <w:rPr>
          <w:rFonts w:ascii="Times New Roman" w:eastAsia="Calibri" w:hAnsi="Times New Roman" w:cs="Times New Roman"/>
          <w:iCs/>
          <w:sz w:val="24"/>
          <w:szCs w:val="24"/>
          <w:lang w:val="en-ZW"/>
        </w:rPr>
        <w:t>, this Court granted th</w:t>
      </w:r>
      <w:r w:rsidR="00D83B5C">
        <w:rPr>
          <w:rFonts w:ascii="Times New Roman" w:eastAsia="Calibri" w:hAnsi="Times New Roman" w:cs="Times New Roman"/>
          <w:iCs/>
          <w:sz w:val="24"/>
          <w:szCs w:val="24"/>
          <w:lang w:val="en-ZW"/>
        </w:rPr>
        <w:t xml:space="preserve">e following order on </w:t>
      </w:r>
      <w:r w:rsidR="00C7651C">
        <w:rPr>
          <w:rFonts w:ascii="Times New Roman" w:eastAsia="Calibri" w:hAnsi="Times New Roman" w:cs="Times New Roman"/>
          <w:iCs/>
          <w:sz w:val="24"/>
          <w:szCs w:val="24"/>
          <w:lang w:val="en-ZW"/>
        </w:rPr>
        <w:t>24 July 2024:</w:t>
      </w:r>
    </w:p>
    <w:p w14:paraId="57CFEB3A" w14:textId="7DB4DB5A" w:rsidR="00B321DC" w:rsidRDefault="00C7651C" w:rsidP="00F0543A">
      <w:pPr>
        <w:spacing w:after="0" w:line="240" w:lineRule="auto"/>
        <w:ind w:firstLine="720"/>
        <w:jc w:val="both"/>
        <w:rPr>
          <w:rFonts w:ascii="Times New Roman" w:eastAsia="Calibri" w:hAnsi="Times New Roman" w:cs="Times New Roman"/>
          <w:iCs/>
          <w:sz w:val="24"/>
          <w:szCs w:val="24"/>
          <w:u w:val="single"/>
          <w:lang w:val="en-ZW"/>
        </w:rPr>
      </w:pPr>
      <w:r w:rsidRPr="00C7651C">
        <w:rPr>
          <w:rFonts w:ascii="Times New Roman" w:eastAsia="Calibri" w:hAnsi="Times New Roman" w:cs="Times New Roman"/>
          <w:iCs/>
          <w:sz w:val="24"/>
          <w:szCs w:val="24"/>
          <w:u w:val="single"/>
          <w:lang w:val="en-ZW"/>
        </w:rPr>
        <w:t>“</w:t>
      </w:r>
      <w:r w:rsidR="00CB1C26" w:rsidRPr="00CB1C26">
        <w:rPr>
          <w:rFonts w:ascii="Times New Roman" w:eastAsia="Calibri" w:hAnsi="Times New Roman" w:cs="Times New Roman"/>
          <w:b/>
          <w:iCs/>
          <w:sz w:val="24"/>
          <w:szCs w:val="24"/>
          <w:u w:val="single"/>
          <w:lang w:val="en-ZW"/>
        </w:rPr>
        <w:t>IT IS ORDERED BY CONSENT THAT</w:t>
      </w:r>
      <w:r w:rsidRPr="00C7651C">
        <w:rPr>
          <w:rFonts w:ascii="Times New Roman" w:eastAsia="Calibri" w:hAnsi="Times New Roman" w:cs="Times New Roman"/>
          <w:iCs/>
          <w:sz w:val="24"/>
          <w:szCs w:val="24"/>
          <w:u w:val="single"/>
          <w:lang w:val="en-ZW"/>
        </w:rPr>
        <w:t>:</w:t>
      </w:r>
    </w:p>
    <w:p w14:paraId="71039A50" w14:textId="44F9D661" w:rsidR="00C7651C" w:rsidRPr="00C7651C" w:rsidRDefault="00C7651C" w:rsidP="00F0543A">
      <w:pPr>
        <w:pStyle w:val="ListParagraph"/>
        <w:numPr>
          <w:ilvl w:val="0"/>
          <w:numId w:val="12"/>
        </w:numPr>
        <w:spacing w:after="0" w:line="240" w:lineRule="auto"/>
        <w:ind w:left="1170"/>
        <w:jc w:val="both"/>
        <w:rPr>
          <w:rFonts w:ascii="Times New Roman" w:eastAsia="Calibri" w:hAnsi="Times New Roman" w:cs="Times New Roman"/>
          <w:iCs/>
          <w:sz w:val="24"/>
          <w:szCs w:val="24"/>
          <w:u w:val="single"/>
          <w:lang w:val="en-ZW"/>
        </w:rPr>
      </w:pPr>
      <w:r>
        <w:rPr>
          <w:rFonts w:ascii="Times New Roman" w:eastAsia="Calibri" w:hAnsi="Times New Roman" w:cs="Times New Roman"/>
          <w:iCs/>
          <w:sz w:val="24"/>
          <w:szCs w:val="24"/>
          <w:lang w:val="en-ZW"/>
        </w:rPr>
        <w:t xml:space="preserve">The application for joinder in terms of r 54(1) of the Supreme Court Rules, 2018, be and is hereby granted. </w:t>
      </w:r>
    </w:p>
    <w:p w14:paraId="48D59675" w14:textId="1B5313DB" w:rsidR="00C7651C" w:rsidRPr="00C7651C" w:rsidRDefault="00C7651C" w:rsidP="00F0543A">
      <w:pPr>
        <w:pStyle w:val="ListParagraph"/>
        <w:numPr>
          <w:ilvl w:val="0"/>
          <w:numId w:val="12"/>
        </w:numPr>
        <w:spacing w:after="0" w:line="240" w:lineRule="auto"/>
        <w:ind w:left="1170"/>
        <w:jc w:val="both"/>
        <w:rPr>
          <w:rFonts w:ascii="Times New Roman" w:eastAsia="Calibri" w:hAnsi="Times New Roman" w:cs="Times New Roman"/>
          <w:iCs/>
          <w:sz w:val="24"/>
          <w:szCs w:val="24"/>
          <w:u w:val="single"/>
          <w:lang w:val="en-ZW"/>
        </w:rPr>
      </w:pPr>
      <w:r>
        <w:rPr>
          <w:rFonts w:ascii="Times New Roman" w:eastAsia="Calibri" w:hAnsi="Times New Roman" w:cs="Times New Roman"/>
          <w:iCs/>
          <w:sz w:val="24"/>
          <w:szCs w:val="24"/>
          <w:lang w:val="en-ZW"/>
        </w:rPr>
        <w:t xml:space="preserve">The first applicant (Catherine Constance Mandaza) be and is hereby joined to the appeal proceedings under </w:t>
      </w:r>
      <w:r w:rsidR="001C46AD">
        <w:rPr>
          <w:rFonts w:ascii="Times New Roman" w:eastAsia="Calibri" w:hAnsi="Times New Roman" w:cs="Times New Roman"/>
          <w:iCs/>
          <w:sz w:val="24"/>
          <w:szCs w:val="24"/>
          <w:lang w:val="en-ZW"/>
        </w:rPr>
        <w:t>C</w:t>
      </w:r>
      <w:r>
        <w:rPr>
          <w:rFonts w:ascii="Times New Roman" w:eastAsia="Calibri" w:hAnsi="Times New Roman" w:cs="Times New Roman"/>
          <w:iCs/>
          <w:sz w:val="24"/>
          <w:szCs w:val="24"/>
          <w:lang w:val="en-ZW"/>
        </w:rPr>
        <w:t>ase No. SC 234/24 as the second appellant.</w:t>
      </w:r>
    </w:p>
    <w:p w14:paraId="3B649C48" w14:textId="226A2222" w:rsidR="00C7651C" w:rsidRPr="00C7651C" w:rsidRDefault="00C7651C" w:rsidP="00F0543A">
      <w:pPr>
        <w:pStyle w:val="ListParagraph"/>
        <w:numPr>
          <w:ilvl w:val="0"/>
          <w:numId w:val="12"/>
        </w:numPr>
        <w:spacing w:after="0" w:line="240" w:lineRule="auto"/>
        <w:ind w:left="1170"/>
        <w:jc w:val="both"/>
        <w:rPr>
          <w:rFonts w:ascii="Times New Roman" w:eastAsia="Calibri" w:hAnsi="Times New Roman" w:cs="Times New Roman"/>
          <w:iCs/>
          <w:sz w:val="24"/>
          <w:szCs w:val="24"/>
          <w:u w:val="single"/>
          <w:lang w:val="en-ZW"/>
        </w:rPr>
      </w:pPr>
      <w:r>
        <w:rPr>
          <w:rFonts w:ascii="Times New Roman" w:eastAsia="Calibri" w:hAnsi="Times New Roman" w:cs="Times New Roman"/>
          <w:iCs/>
          <w:sz w:val="24"/>
          <w:szCs w:val="24"/>
          <w:lang w:val="en-ZW"/>
        </w:rPr>
        <w:t xml:space="preserve">The first applicant be and is hereby granted leave to adopt the heads of argument filed of record for and on behalf of the second applicant. </w:t>
      </w:r>
    </w:p>
    <w:p w14:paraId="43655B3E" w14:textId="0B09AB92" w:rsidR="00C7651C" w:rsidRPr="00C7651C" w:rsidRDefault="00C7651C" w:rsidP="00F0543A">
      <w:pPr>
        <w:pStyle w:val="ListParagraph"/>
        <w:numPr>
          <w:ilvl w:val="0"/>
          <w:numId w:val="12"/>
        </w:numPr>
        <w:tabs>
          <w:tab w:val="left" w:pos="1260"/>
        </w:tabs>
        <w:spacing w:after="0" w:line="240" w:lineRule="auto"/>
        <w:ind w:left="851" w:hanging="41"/>
        <w:jc w:val="both"/>
        <w:rPr>
          <w:rFonts w:ascii="Times New Roman" w:eastAsia="Calibri" w:hAnsi="Times New Roman" w:cs="Times New Roman"/>
          <w:iCs/>
          <w:sz w:val="24"/>
          <w:szCs w:val="24"/>
          <w:u w:val="single"/>
          <w:lang w:val="en-ZW"/>
        </w:rPr>
      </w:pPr>
      <w:r>
        <w:rPr>
          <w:rFonts w:ascii="Times New Roman" w:eastAsia="Calibri" w:hAnsi="Times New Roman" w:cs="Times New Roman"/>
          <w:iCs/>
          <w:sz w:val="24"/>
          <w:szCs w:val="24"/>
          <w:lang w:val="en-ZW"/>
        </w:rPr>
        <w:t>Each party shall bear their own costs”</w:t>
      </w:r>
    </w:p>
    <w:p w14:paraId="739BF676" w14:textId="77777777" w:rsidR="00C7651C" w:rsidRDefault="00C7651C" w:rsidP="00C7651C">
      <w:pPr>
        <w:spacing w:after="0" w:line="240" w:lineRule="auto"/>
        <w:jc w:val="both"/>
        <w:rPr>
          <w:rFonts w:ascii="Times New Roman" w:eastAsia="Calibri" w:hAnsi="Times New Roman" w:cs="Times New Roman"/>
          <w:iCs/>
          <w:sz w:val="24"/>
          <w:szCs w:val="24"/>
          <w:u w:val="single"/>
          <w:lang w:val="en-ZW"/>
        </w:rPr>
      </w:pPr>
    </w:p>
    <w:p w14:paraId="0B5F9F0B" w14:textId="77777777" w:rsidR="009F57A3" w:rsidRDefault="009F57A3" w:rsidP="00B321DC">
      <w:pPr>
        <w:spacing w:after="0" w:line="240" w:lineRule="auto"/>
        <w:ind w:firstLine="1134"/>
        <w:jc w:val="both"/>
        <w:rPr>
          <w:rFonts w:ascii="Times New Roman" w:eastAsia="Calibri" w:hAnsi="Times New Roman" w:cs="Times New Roman"/>
          <w:iCs/>
          <w:sz w:val="24"/>
          <w:szCs w:val="24"/>
          <w:lang w:val="en-ZW"/>
        </w:rPr>
      </w:pPr>
    </w:p>
    <w:p w14:paraId="24D9EFD9" w14:textId="71EC398D" w:rsidR="00C7651C" w:rsidRDefault="00C7651C" w:rsidP="009F57A3">
      <w:pPr>
        <w:spacing w:after="0" w:line="480" w:lineRule="auto"/>
        <w:ind w:firstLine="1134"/>
        <w:jc w:val="both"/>
        <w:rPr>
          <w:rFonts w:ascii="Times New Roman" w:eastAsia="Calibri" w:hAnsi="Times New Roman" w:cs="Times New Roman"/>
          <w:iCs/>
          <w:sz w:val="24"/>
          <w:szCs w:val="24"/>
          <w:lang w:val="en-ZW"/>
        </w:rPr>
      </w:pPr>
      <w:r>
        <w:rPr>
          <w:rFonts w:ascii="Times New Roman" w:eastAsia="Calibri" w:hAnsi="Times New Roman" w:cs="Times New Roman"/>
          <w:iCs/>
          <w:sz w:val="24"/>
          <w:szCs w:val="24"/>
          <w:lang w:val="en-ZW"/>
        </w:rPr>
        <w:t>The appeal hearing then proceeded with the two dece</w:t>
      </w:r>
      <w:r w:rsidR="009F57A3">
        <w:rPr>
          <w:rFonts w:ascii="Times New Roman" w:eastAsia="Calibri" w:hAnsi="Times New Roman" w:cs="Times New Roman"/>
          <w:iCs/>
          <w:sz w:val="24"/>
          <w:szCs w:val="24"/>
          <w:lang w:val="en-ZW"/>
        </w:rPr>
        <w:t>ased estat</w:t>
      </w:r>
      <w:r>
        <w:rPr>
          <w:rFonts w:ascii="Times New Roman" w:eastAsia="Calibri" w:hAnsi="Times New Roman" w:cs="Times New Roman"/>
          <w:iCs/>
          <w:sz w:val="24"/>
          <w:szCs w:val="24"/>
          <w:lang w:val="en-ZW"/>
        </w:rPr>
        <w:t>es of the couple as</w:t>
      </w:r>
      <w:r w:rsidR="00667DF4">
        <w:rPr>
          <w:rFonts w:ascii="Times New Roman" w:eastAsia="Calibri" w:hAnsi="Times New Roman" w:cs="Times New Roman"/>
          <w:iCs/>
          <w:sz w:val="24"/>
          <w:szCs w:val="24"/>
          <w:lang w:val="en-ZW"/>
        </w:rPr>
        <w:t xml:space="preserve"> the</w:t>
      </w:r>
      <w:r>
        <w:rPr>
          <w:rFonts w:ascii="Times New Roman" w:eastAsia="Calibri" w:hAnsi="Times New Roman" w:cs="Times New Roman"/>
          <w:iCs/>
          <w:sz w:val="24"/>
          <w:szCs w:val="24"/>
          <w:lang w:val="en-ZW"/>
        </w:rPr>
        <w:t xml:space="preserve"> first and second appellants duly represented </w:t>
      </w:r>
      <w:r w:rsidR="009F57A3">
        <w:rPr>
          <w:rFonts w:ascii="Times New Roman" w:eastAsia="Calibri" w:hAnsi="Times New Roman" w:cs="Times New Roman"/>
          <w:iCs/>
          <w:sz w:val="24"/>
          <w:szCs w:val="24"/>
          <w:lang w:val="en-ZW"/>
        </w:rPr>
        <w:t>according</w:t>
      </w:r>
      <w:r>
        <w:rPr>
          <w:rFonts w:ascii="Times New Roman" w:eastAsia="Calibri" w:hAnsi="Times New Roman" w:cs="Times New Roman"/>
          <w:iCs/>
          <w:sz w:val="24"/>
          <w:szCs w:val="24"/>
          <w:lang w:val="en-ZW"/>
        </w:rPr>
        <w:t xml:space="preserve"> to law. </w:t>
      </w:r>
    </w:p>
    <w:p w14:paraId="77D4B0C9" w14:textId="77777777" w:rsidR="009F57A3" w:rsidRDefault="009F57A3" w:rsidP="009F57A3">
      <w:pPr>
        <w:spacing w:after="0" w:line="480" w:lineRule="auto"/>
        <w:ind w:firstLine="1134"/>
        <w:jc w:val="both"/>
        <w:rPr>
          <w:rFonts w:ascii="Times New Roman" w:eastAsia="Calibri" w:hAnsi="Times New Roman" w:cs="Times New Roman"/>
          <w:iCs/>
          <w:sz w:val="24"/>
          <w:szCs w:val="24"/>
          <w:lang w:val="en-ZW"/>
        </w:rPr>
      </w:pPr>
    </w:p>
    <w:p w14:paraId="358F0F5F" w14:textId="77EB51CE" w:rsidR="009F57A3" w:rsidRDefault="009F57A3" w:rsidP="009F57A3">
      <w:pPr>
        <w:spacing w:after="0" w:line="480" w:lineRule="auto"/>
        <w:jc w:val="both"/>
        <w:rPr>
          <w:rFonts w:ascii="Times New Roman" w:eastAsia="Calibri" w:hAnsi="Times New Roman" w:cs="Times New Roman"/>
          <w:b/>
          <w:iCs/>
          <w:sz w:val="24"/>
          <w:szCs w:val="24"/>
          <w:u w:val="single"/>
          <w:lang w:val="en-ZW"/>
        </w:rPr>
      </w:pPr>
      <w:r w:rsidRPr="009F57A3">
        <w:rPr>
          <w:rFonts w:ascii="Times New Roman" w:eastAsia="Calibri" w:hAnsi="Times New Roman" w:cs="Times New Roman"/>
          <w:b/>
          <w:iCs/>
          <w:sz w:val="24"/>
          <w:szCs w:val="24"/>
          <w:u w:val="single"/>
          <w:lang w:val="en-ZW"/>
        </w:rPr>
        <w:t xml:space="preserve">THE FACTS </w:t>
      </w:r>
    </w:p>
    <w:p w14:paraId="34C17897" w14:textId="1E01920D" w:rsidR="00721373" w:rsidRDefault="009F57A3" w:rsidP="00B321DC">
      <w:pPr>
        <w:tabs>
          <w:tab w:val="left" w:pos="1134"/>
        </w:tabs>
        <w:spacing w:after="0" w:line="480" w:lineRule="auto"/>
        <w:ind w:firstLine="1134"/>
        <w:jc w:val="both"/>
        <w:rPr>
          <w:rFonts w:ascii="Times New Roman" w:eastAsia="Calibri" w:hAnsi="Times New Roman" w:cs="Times New Roman"/>
          <w:iCs/>
          <w:sz w:val="24"/>
          <w:szCs w:val="24"/>
          <w:lang w:val="en-ZW"/>
        </w:rPr>
      </w:pPr>
      <w:r w:rsidRPr="009F57A3">
        <w:rPr>
          <w:rFonts w:ascii="Times New Roman" w:eastAsia="Calibri" w:hAnsi="Times New Roman" w:cs="Times New Roman"/>
          <w:iCs/>
          <w:sz w:val="24"/>
          <w:szCs w:val="24"/>
          <w:lang w:val="en-ZW"/>
        </w:rPr>
        <w:t>This family</w:t>
      </w:r>
      <w:r>
        <w:rPr>
          <w:rFonts w:ascii="Times New Roman" w:eastAsia="Calibri" w:hAnsi="Times New Roman" w:cs="Times New Roman"/>
          <w:iCs/>
          <w:sz w:val="24"/>
          <w:szCs w:val="24"/>
          <w:lang w:val="en-ZW"/>
        </w:rPr>
        <w:t xml:space="preserve"> dispute over a small undeveloped house in New Canaan in Highfield Township, Harare has its parentage in colonial history. </w:t>
      </w:r>
      <w:r w:rsidR="00162EF5">
        <w:rPr>
          <w:rFonts w:ascii="Times New Roman" w:eastAsia="Calibri" w:hAnsi="Times New Roman" w:cs="Times New Roman"/>
          <w:iCs/>
          <w:sz w:val="24"/>
          <w:szCs w:val="24"/>
          <w:lang w:val="en-ZW"/>
        </w:rPr>
        <w:t xml:space="preserve"> </w:t>
      </w:r>
      <w:r>
        <w:rPr>
          <w:rFonts w:ascii="Times New Roman" w:eastAsia="Calibri" w:hAnsi="Times New Roman" w:cs="Times New Roman"/>
          <w:iCs/>
          <w:sz w:val="24"/>
          <w:szCs w:val="24"/>
          <w:lang w:val="en-ZW"/>
        </w:rPr>
        <w:t>The first appellant, as already stated, is the executor testamentary of the estate late Grace Mandaza who died on 10 October 2023 having bee</w:t>
      </w:r>
      <w:r w:rsidR="00721373">
        <w:rPr>
          <w:rFonts w:ascii="Times New Roman" w:eastAsia="Calibri" w:hAnsi="Times New Roman" w:cs="Times New Roman"/>
          <w:iCs/>
          <w:sz w:val="24"/>
          <w:szCs w:val="24"/>
          <w:lang w:val="en-ZW"/>
        </w:rPr>
        <w:t xml:space="preserve">n appointed by </w:t>
      </w:r>
      <w:r w:rsidR="003D107D">
        <w:rPr>
          <w:rFonts w:ascii="Times New Roman" w:eastAsia="Calibri" w:hAnsi="Times New Roman" w:cs="Times New Roman"/>
          <w:iCs/>
          <w:sz w:val="24"/>
          <w:szCs w:val="24"/>
          <w:lang w:val="en-ZW"/>
        </w:rPr>
        <w:t>letters</w:t>
      </w:r>
      <w:r w:rsidR="00721373">
        <w:rPr>
          <w:rFonts w:ascii="Times New Roman" w:eastAsia="Calibri" w:hAnsi="Times New Roman" w:cs="Times New Roman"/>
          <w:iCs/>
          <w:sz w:val="24"/>
          <w:szCs w:val="24"/>
          <w:lang w:val="en-ZW"/>
        </w:rPr>
        <w:t xml:space="preserve"> of </w:t>
      </w:r>
      <w:r>
        <w:rPr>
          <w:rFonts w:ascii="Times New Roman" w:eastAsia="Calibri" w:hAnsi="Times New Roman" w:cs="Times New Roman"/>
          <w:iCs/>
          <w:sz w:val="24"/>
          <w:szCs w:val="24"/>
          <w:lang w:val="en-ZW"/>
        </w:rPr>
        <w:t>administration</w:t>
      </w:r>
      <w:r w:rsidR="003D107D">
        <w:rPr>
          <w:rFonts w:ascii="Times New Roman" w:eastAsia="Calibri" w:hAnsi="Times New Roman" w:cs="Times New Roman"/>
          <w:iCs/>
          <w:sz w:val="24"/>
          <w:szCs w:val="24"/>
          <w:lang w:val="en-ZW"/>
        </w:rPr>
        <w:t>.</w:t>
      </w:r>
      <w:r>
        <w:rPr>
          <w:rFonts w:ascii="Times New Roman" w:eastAsia="Calibri" w:hAnsi="Times New Roman" w:cs="Times New Roman"/>
          <w:iCs/>
          <w:sz w:val="24"/>
          <w:szCs w:val="24"/>
          <w:lang w:val="en-ZW"/>
        </w:rPr>
        <w:t xml:space="preserve"> </w:t>
      </w:r>
      <w:r w:rsidR="003D107D">
        <w:rPr>
          <w:rFonts w:ascii="Times New Roman" w:eastAsia="Calibri" w:hAnsi="Times New Roman" w:cs="Times New Roman"/>
          <w:iCs/>
          <w:sz w:val="24"/>
          <w:szCs w:val="24"/>
          <w:lang w:val="en-ZW"/>
        </w:rPr>
        <w:t>S</w:t>
      </w:r>
      <w:r>
        <w:rPr>
          <w:rFonts w:ascii="Times New Roman" w:eastAsia="Calibri" w:hAnsi="Times New Roman" w:cs="Times New Roman"/>
          <w:iCs/>
          <w:sz w:val="24"/>
          <w:szCs w:val="24"/>
          <w:lang w:val="en-ZW"/>
        </w:rPr>
        <w:t xml:space="preserve">he was married to the late Joel Mandaza who died on </w:t>
      </w:r>
      <w:r w:rsidR="00D83B5C">
        <w:rPr>
          <w:rFonts w:ascii="Times New Roman" w:eastAsia="Calibri" w:hAnsi="Times New Roman" w:cs="Times New Roman"/>
          <w:iCs/>
          <w:sz w:val="24"/>
          <w:szCs w:val="24"/>
          <w:lang w:val="en-ZW"/>
        </w:rPr>
        <w:t xml:space="preserve">                </w:t>
      </w:r>
      <w:r>
        <w:rPr>
          <w:rFonts w:ascii="Times New Roman" w:eastAsia="Calibri" w:hAnsi="Times New Roman" w:cs="Times New Roman"/>
          <w:iCs/>
          <w:sz w:val="24"/>
          <w:szCs w:val="24"/>
          <w:lang w:val="en-ZW"/>
        </w:rPr>
        <w:t xml:space="preserve">26 January 2011. </w:t>
      </w:r>
      <w:r w:rsidR="00162EF5">
        <w:rPr>
          <w:rFonts w:ascii="Times New Roman" w:eastAsia="Calibri" w:hAnsi="Times New Roman" w:cs="Times New Roman"/>
          <w:iCs/>
          <w:sz w:val="24"/>
          <w:szCs w:val="24"/>
          <w:lang w:val="en-ZW"/>
        </w:rPr>
        <w:t xml:space="preserve"> </w:t>
      </w:r>
      <w:r>
        <w:rPr>
          <w:rFonts w:ascii="Times New Roman" w:eastAsia="Calibri" w:hAnsi="Times New Roman" w:cs="Times New Roman"/>
          <w:iCs/>
          <w:sz w:val="24"/>
          <w:szCs w:val="24"/>
          <w:lang w:val="en-ZW"/>
        </w:rPr>
        <w:t>After the death of Joel Mandaza, his then surviving spouse, Grace M</w:t>
      </w:r>
      <w:r w:rsidR="00721373">
        <w:rPr>
          <w:rFonts w:ascii="Times New Roman" w:eastAsia="Calibri" w:hAnsi="Times New Roman" w:cs="Times New Roman"/>
          <w:iCs/>
          <w:sz w:val="24"/>
          <w:szCs w:val="24"/>
          <w:lang w:val="en-ZW"/>
        </w:rPr>
        <w:t>andaza</w:t>
      </w:r>
      <w:r w:rsidR="005D4071">
        <w:rPr>
          <w:rFonts w:ascii="Times New Roman" w:eastAsia="Calibri" w:hAnsi="Times New Roman" w:cs="Times New Roman"/>
          <w:iCs/>
          <w:sz w:val="24"/>
          <w:szCs w:val="24"/>
          <w:lang w:val="en-ZW"/>
        </w:rPr>
        <w:t>,</w:t>
      </w:r>
      <w:r w:rsidR="00721373">
        <w:rPr>
          <w:rFonts w:ascii="Times New Roman" w:eastAsia="Calibri" w:hAnsi="Times New Roman" w:cs="Times New Roman"/>
          <w:iCs/>
          <w:sz w:val="24"/>
          <w:szCs w:val="24"/>
          <w:lang w:val="en-ZW"/>
        </w:rPr>
        <w:t xml:space="preserve"> was appointed the executrix dative of his deceased estate. </w:t>
      </w:r>
    </w:p>
    <w:p w14:paraId="0047DAA6" w14:textId="77777777" w:rsidR="00721373" w:rsidRDefault="00721373" w:rsidP="00B321DC">
      <w:pPr>
        <w:spacing w:after="0" w:line="480" w:lineRule="auto"/>
        <w:ind w:firstLine="1134"/>
        <w:jc w:val="both"/>
        <w:rPr>
          <w:rFonts w:ascii="Times New Roman" w:eastAsia="Calibri" w:hAnsi="Times New Roman" w:cs="Times New Roman"/>
          <w:iCs/>
          <w:sz w:val="24"/>
          <w:szCs w:val="24"/>
          <w:lang w:val="en-ZW"/>
        </w:rPr>
      </w:pPr>
    </w:p>
    <w:p w14:paraId="0D021A3C" w14:textId="0B480ECE" w:rsidR="0080630B" w:rsidRDefault="00721373" w:rsidP="00721373">
      <w:pPr>
        <w:spacing w:after="0" w:line="480" w:lineRule="auto"/>
        <w:ind w:firstLine="1134"/>
        <w:jc w:val="both"/>
        <w:rPr>
          <w:rFonts w:ascii="Times New Roman" w:eastAsia="Calibri" w:hAnsi="Times New Roman" w:cs="Times New Roman"/>
          <w:iCs/>
          <w:sz w:val="24"/>
          <w:szCs w:val="24"/>
          <w:lang w:val="en-ZW"/>
        </w:rPr>
      </w:pPr>
      <w:r>
        <w:rPr>
          <w:rFonts w:ascii="Times New Roman" w:eastAsia="Calibri" w:hAnsi="Times New Roman" w:cs="Times New Roman"/>
          <w:iCs/>
          <w:sz w:val="24"/>
          <w:szCs w:val="24"/>
          <w:lang w:val="en-ZW"/>
        </w:rPr>
        <w:t xml:space="preserve">The second appellant is the </w:t>
      </w:r>
      <w:r w:rsidRPr="00721373">
        <w:rPr>
          <w:rFonts w:ascii="Times New Roman" w:eastAsia="Calibri" w:hAnsi="Times New Roman" w:cs="Times New Roman"/>
          <w:i/>
          <w:iCs/>
          <w:sz w:val="24"/>
          <w:szCs w:val="24"/>
          <w:lang w:val="en-ZW"/>
        </w:rPr>
        <w:t>curator bonis</w:t>
      </w:r>
      <w:r>
        <w:rPr>
          <w:rFonts w:ascii="Times New Roman" w:eastAsia="Calibri" w:hAnsi="Times New Roman" w:cs="Times New Roman"/>
          <w:iCs/>
          <w:sz w:val="24"/>
          <w:szCs w:val="24"/>
          <w:lang w:val="en-ZW"/>
        </w:rPr>
        <w:t xml:space="preserve"> of the estate late Joel M</w:t>
      </w:r>
      <w:r w:rsidR="0080630B">
        <w:rPr>
          <w:rFonts w:ascii="Times New Roman" w:eastAsia="Calibri" w:hAnsi="Times New Roman" w:cs="Times New Roman"/>
          <w:iCs/>
          <w:sz w:val="24"/>
          <w:szCs w:val="24"/>
          <w:lang w:val="en-ZW"/>
        </w:rPr>
        <w:t xml:space="preserve">andaza by virtue of letters of confirmation issued by the second respondent on 5 July 2024, following the death </w:t>
      </w:r>
      <w:r w:rsidR="00162EF5">
        <w:rPr>
          <w:rFonts w:ascii="Times New Roman" w:eastAsia="Calibri" w:hAnsi="Times New Roman" w:cs="Times New Roman"/>
          <w:iCs/>
          <w:sz w:val="24"/>
          <w:szCs w:val="24"/>
          <w:lang w:val="en-ZW"/>
        </w:rPr>
        <w:t xml:space="preserve">of the executrix of the estate.  </w:t>
      </w:r>
      <w:r w:rsidR="0080630B">
        <w:rPr>
          <w:rFonts w:ascii="Times New Roman" w:eastAsia="Calibri" w:hAnsi="Times New Roman" w:cs="Times New Roman"/>
          <w:iCs/>
          <w:sz w:val="24"/>
          <w:szCs w:val="24"/>
          <w:lang w:val="en-ZW"/>
        </w:rPr>
        <w:t>The first respondent is the widow of the late Addison Mandaza</w:t>
      </w:r>
      <w:r w:rsidR="00162EF5">
        <w:rPr>
          <w:rFonts w:ascii="Times New Roman" w:eastAsia="Calibri" w:hAnsi="Times New Roman" w:cs="Times New Roman"/>
          <w:iCs/>
          <w:sz w:val="24"/>
          <w:szCs w:val="24"/>
          <w:lang w:val="en-ZW"/>
        </w:rPr>
        <w:t xml:space="preserve">, who died on 22 November 2009.  </w:t>
      </w:r>
      <w:r w:rsidR="0080630B">
        <w:rPr>
          <w:rFonts w:ascii="Times New Roman" w:eastAsia="Calibri" w:hAnsi="Times New Roman" w:cs="Times New Roman"/>
          <w:iCs/>
          <w:sz w:val="24"/>
          <w:szCs w:val="24"/>
          <w:lang w:val="en-ZW"/>
        </w:rPr>
        <w:t xml:space="preserve">The second respondent is the Master of the High Court while the third </w:t>
      </w:r>
      <w:r w:rsidR="0080630B">
        <w:rPr>
          <w:rFonts w:ascii="Times New Roman" w:eastAsia="Calibri" w:hAnsi="Times New Roman" w:cs="Times New Roman"/>
          <w:iCs/>
          <w:sz w:val="24"/>
          <w:szCs w:val="24"/>
          <w:lang w:val="en-ZW"/>
        </w:rPr>
        <w:lastRenderedPageBreak/>
        <w:t>respondent is the Registrar of Deeds who are both cited in their official capacities.</w:t>
      </w:r>
      <w:r w:rsidR="00162EF5">
        <w:rPr>
          <w:rFonts w:ascii="Times New Roman" w:eastAsia="Calibri" w:hAnsi="Times New Roman" w:cs="Times New Roman"/>
          <w:iCs/>
          <w:sz w:val="24"/>
          <w:szCs w:val="24"/>
          <w:lang w:val="en-ZW"/>
        </w:rPr>
        <w:t xml:space="preserve"> </w:t>
      </w:r>
      <w:r w:rsidR="0080630B">
        <w:rPr>
          <w:rFonts w:ascii="Times New Roman" w:eastAsia="Calibri" w:hAnsi="Times New Roman" w:cs="Times New Roman"/>
          <w:iCs/>
          <w:sz w:val="24"/>
          <w:szCs w:val="24"/>
          <w:lang w:val="en-ZW"/>
        </w:rPr>
        <w:t xml:space="preserve"> They have both not participated in the proceedings either </w:t>
      </w:r>
      <w:r w:rsidR="0080630B" w:rsidRPr="00595C66">
        <w:rPr>
          <w:rFonts w:ascii="Times New Roman" w:eastAsia="Calibri" w:hAnsi="Times New Roman" w:cs="Times New Roman"/>
          <w:i/>
          <w:sz w:val="24"/>
          <w:szCs w:val="24"/>
          <w:lang w:val="en-ZW"/>
        </w:rPr>
        <w:t>a quo</w:t>
      </w:r>
      <w:r w:rsidR="0080630B">
        <w:rPr>
          <w:rFonts w:ascii="Times New Roman" w:eastAsia="Calibri" w:hAnsi="Times New Roman" w:cs="Times New Roman"/>
          <w:iCs/>
          <w:sz w:val="24"/>
          <w:szCs w:val="24"/>
          <w:lang w:val="en-ZW"/>
        </w:rPr>
        <w:t xml:space="preserve"> or in the appeal. </w:t>
      </w:r>
    </w:p>
    <w:p w14:paraId="5547B864" w14:textId="77777777" w:rsidR="0080630B" w:rsidRDefault="0080630B" w:rsidP="00721373">
      <w:pPr>
        <w:spacing w:after="0" w:line="480" w:lineRule="auto"/>
        <w:ind w:firstLine="1134"/>
        <w:jc w:val="both"/>
        <w:rPr>
          <w:rFonts w:ascii="Times New Roman" w:eastAsia="Calibri" w:hAnsi="Times New Roman" w:cs="Times New Roman"/>
          <w:iCs/>
          <w:sz w:val="24"/>
          <w:szCs w:val="24"/>
          <w:lang w:val="en-ZW"/>
        </w:rPr>
      </w:pPr>
    </w:p>
    <w:p w14:paraId="6168605F" w14:textId="313A259B" w:rsidR="00BC619A" w:rsidRDefault="0080630B" w:rsidP="00721373">
      <w:pPr>
        <w:spacing w:after="0" w:line="480" w:lineRule="auto"/>
        <w:ind w:firstLine="1134"/>
        <w:jc w:val="both"/>
        <w:rPr>
          <w:rFonts w:ascii="Times New Roman" w:eastAsia="Calibri" w:hAnsi="Times New Roman" w:cs="Times New Roman"/>
          <w:iCs/>
          <w:sz w:val="24"/>
          <w:szCs w:val="24"/>
          <w:lang w:val="en-ZW"/>
        </w:rPr>
      </w:pPr>
      <w:r>
        <w:rPr>
          <w:rFonts w:ascii="Times New Roman" w:eastAsia="Calibri" w:hAnsi="Times New Roman" w:cs="Times New Roman"/>
          <w:iCs/>
          <w:sz w:val="24"/>
          <w:szCs w:val="24"/>
          <w:lang w:val="en-ZW"/>
        </w:rPr>
        <w:t>The late Joel Mandaza and the late Addison Mandaza</w:t>
      </w:r>
      <w:r w:rsidR="00162EF5">
        <w:rPr>
          <w:rFonts w:ascii="Times New Roman" w:eastAsia="Calibri" w:hAnsi="Times New Roman" w:cs="Times New Roman"/>
          <w:iCs/>
          <w:sz w:val="24"/>
          <w:szCs w:val="24"/>
          <w:lang w:val="en-ZW"/>
        </w:rPr>
        <w:t xml:space="preserve"> were brothers.  </w:t>
      </w:r>
      <w:r>
        <w:rPr>
          <w:rFonts w:ascii="Times New Roman" w:eastAsia="Calibri" w:hAnsi="Times New Roman" w:cs="Times New Roman"/>
          <w:iCs/>
          <w:sz w:val="24"/>
          <w:szCs w:val="24"/>
          <w:lang w:val="en-ZW"/>
        </w:rPr>
        <w:t>The house in dispute, being stand 3973 Highfield, Harare (the house) was initially a municipal house belonging to the City of Harare whose policy during colonial times was to only avail such</w:t>
      </w:r>
      <w:r w:rsidR="00162EF5">
        <w:rPr>
          <w:rFonts w:ascii="Times New Roman" w:eastAsia="Calibri" w:hAnsi="Times New Roman" w:cs="Times New Roman"/>
          <w:iCs/>
          <w:sz w:val="24"/>
          <w:szCs w:val="24"/>
          <w:lang w:val="en-ZW"/>
        </w:rPr>
        <w:t xml:space="preserve"> houses to married people.  </w:t>
      </w:r>
      <w:r w:rsidR="00BC619A">
        <w:rPr>
          <w:rFonts w:ascii="Times New Roman" w:eastAsia="Calibri" w:hAnsi="Times New Roman" w:cs="Times New Roman"/>
          <w:iCs/>
          <w:sz w:val="24"/>
          <w:szCs w:val="24"/>
          <w:lang w:val="en-ZW"/>
        </w:rPr>
        <w:t>In order to qualify for allocation of a municipal house one was required to produce a marriage certificate and would be eligible for allocation by virtue of marriage.</w:t>
      </w:r>
    </w:p>
    <w:p w14:paraId="249B1A43" w14:textId="77777777" w:rsidR="00BC619A" w:rsidRDefault="00BC619A" w:rsidP="00721373">
      <w:pPr>
        <w:spacing w:after="0" w:line="480" w:lineRule="auto"/>
        <w:ind w:firstLine="1134"/>
        <w:jc w:val="both"/>
        <w:rPr>
          <w:rFonts w:ascii="Times New Roman" w:eastAsia="Calibri" w:hAnsi="Times New Roman" w:cs="Times New Roman"/>
          <w:iCs/>
          <w:sz w:val="24"/>
          <w:szCs w:val="24"/>
          <w:lang w:val="en-ZW"/>
        </w:rPr>
      </w:pPr>
    </w:p>
    <w:p w14:paraId="00F60B5A" w14:textId="1EC18A52" w:rsidR="004066F8" w:rsidRDefault="00BC619A" w:rsidP="00721373">
      <w:pPr>
        <w:spacing w:after="0" w:line="480" w:lineRule="auto"/>
        <w:ind w:firstLine="1134"/>
        <w:jc w:val="both"/>
        <w:rPr>
          <w:rFonts w:ascii="Times New Roman" w:eastAsia="Calibri" w:hAnsi="Times New Roman" w:cs="Times New Roman"/>
          <w:iCs/>
          <w:sz w:val="24"/>
          <w:szCs w:val="24"/>
          <w:lang w:val="en-ZW"/>
        </w:rPr>
      </w:pPr>
      <w:r>
        <w:rPr>
          <w:rFonts w:ascii="Times New Roman" w:eastAsia="Calibri" w:hAnsi="Times New Roman" w:cs="Times New Roman"/>
          <w:iCs/>
          <w:sz w:val="24"/>
          <w:szCs w:val="24"/>
          <w:lang w:val="en-ZW"/>
        </w:rPr>
        <w:t xml:space="preserve">It is common cause that the </w:t>
      </w:r>
      <w:r w:rsidR="0086294A">
        <w:rPr>
          <w:rFonts w:ascii="Times New Roman" w:eastAsia="Calibri" w:hAnsi="Times New Roman" w:cs="Times New Roman"/>
          <w:iCs/>
          <w:sz w:val="24"/>
          <w:szCs w:val="24"/>
          <w:lang w:val="en-ZW"/>
        </w:rPr>
        <w:t>house was applied for about Marc</w:t>
      </w:r>
      <w:r>
        <w:rPr>
          <w:rFonts w:ascii="Times New Roman" w:eastAsia="Calibri" w:hAnsi="Times New Roman" w:cs="Times New Roman"/>
          <w:iCs/>
          <w:sz w:val="24"/>
          <w:szCs w:val="24"/>
          <w:lang w:val="en-ZW"/>
        </w:rPr>
        <w:t>h 1960 using the marriage certificat</w:t>
      </w:r>
      <w:r w:rsidR="000B4490">
        <w:rPr>
          <w:rFonts w:ascii="Times New Roman" w:eastAsia="Calibri" w:hAnsi="Times New Roman" w:cs="Times New Roman"/>
          <w:iCs/>
          <w:sz w:val="24"/>
          <w:szCs w:val="24"/>
          <w:lang w:val="en-ZW"/>
        </w:rPr>
        <w:t>e</w:t>
      </w:r>
      <w:r>
        <w:rPr>
          <w:rFonts w:ascii="Times New Roman" w:eastAsia="Calibri" w:hAnsi="Times New Roman" w:cs="Times New Roman"/>
          <w:iCs/>
          <w:sz w:val="24"/>
          <w:szCs w:val="24"/>
          <w:lang w:val="en-ZW"/>
        </w:rPr>
        <w:t xml:space="preserve"> of the late Joel and Grace Mandaza who</w:t>
      </w:r>
      <w:r w:rsidR="00F07347">
        <w:rPr>
          <w:rFonts w:ascii="Times New Roman" w:eastAsia="Calibri" w:hAnsi="Times New Roman" w:cs="Times New Roman"/>
          <w:iCs/>
          <w:sz w:val="24"/>
          <w:szCs w:val="24"/>
          <w:lang w:val="en-ZW"/>
        </w:rPr>
        <w:t xml:space="preserve"> subsequently</w:t>
      </w:r>
      <w:r>
        <w:rPr>
          <w:rFonts w:ascii="Times New Roman" w:eastAsia="Calibri" w:hAnsi="Times New Roman" w:cs="Times New Roman"/>
          <w:iCs/>
          <w:sz w:val="24"/>
          <w:szCs w:val="24"/>
          <w:lang w:val="en-ZW"/>
        </w:rPr>
        <w:t xml:space="preserve"> moved to Zambia wh</w:t>
      </w:r>
      <w:r w:rsidR="0086294A">
        <w:rPr>
          <w:rFonts w:ascii="Times New Roman" w:eastAsia="Calibri" w:hAnsi="Times New Roman" w:cs="Times New Roman"/>
          <w:iCs/>
          <w:sz w:val="24"/>
          <w:szCs w:val="24"/>
          <w:lang w:val="en-ZW"/>
        </w:rPr>
        <w:t>e</w:t>
      </w:r>
      <w:r>
        <w:rPr>
          <w:rFonts w:ascii="Times New Roman" w:eastAsia="Calibri" w:hAnsi="Times New Roman" w:cs="Times New Roman"/>
          <w:iCs/>
          <w:sz w:val="24"/>
          <w:szCs w:val="24"/>
          <w:lang w:val="en-ZW"/>
        </w:rPr>
        <w:t xml:space="preserve">re they set up residence before the house was allocated. It </w:t>
      </w:r>
      <w:r w:rsidR="004066F8">
        <w:rPr>
          <w:rFonts w:ascii="Times New Roman" w:eastAsia="Calibri" w:hAnsi="Times New Roman" w:cs="Times New Roman"/>
          <w:iCs/>
          <w:sz w:val="24"/>
          <w:szCs w:val="24"/>
          <w:lang w:val="en-ZW"/>
        </w:rPr>
        <w:t xml:space="preserve">is also common cause that the </w:t>
      </w:r>
      <w:r w:rsidR="000B4490">
        <w:rPr>
          <w:rFonts w:ascii="Times New Roman" w:eastAsia="Calibri" w:hAnsi="Times New Roman" w:cs="Times New Roman"/>
          <w:iCs/>
          <w:sz w:val="24"/>
          <w:szCs w:val="24"/>
          <w:lang w:val="en-ZW"/>
        </w:rPr>
        <w:t>C</w:t>
      </w:r>
      <w:r w:rsidR="004066F8">
        <w:rPr>
          <w:rFonts w:ascii="Times New Roman" w:eastAsia="Calibri" w:hAnsi="Times New Roman" w:cs="Times New Roman"/>
          <w:iCs/>
          <w:sz w:val="24"/>
          <w:szCs w:val="24"/>
          <w:lang w:val="en-ZW"/>
        </w:rPr>
        <w:t xml:space="preserve">ity of Harare allocated the house to Joel and Grace Mandaza sometime in 1960 at a time when they had migrated to Zambia and that when that happened, the late Addison and Dorothy Mandaza were allowed to immediately move into the house. </w:t>
      </w:r>
      <w:r w:rsidR="00162EF5">
        <w:rPr>
          <w:rFonts w:ascii="Times New Roman" w:eastAsia="Calibri" w:hAnsi="Times New Roman" w:cs="Times New Roman"/>
          <w:iCs/>
          <w:sz w:val="24"/>
          <w:szCs w:val="24"/>
          <w:lang w:val="en-ZW"/>
        </w:rPr>
        <w:t xml:space="preserve"> </w:t>
      </w:r>
      <w:r w:rsidR="004066F8">
        <w:rPr>
          <w:rFonts w:ascii="Times New Roman" w:eastAsia="Calibri" w:hAnsi="Times New Roman" w:cs="Times New Roman"/>
          <w:iCs/>
          <w:sz w:val="24"/>
          <w:szCs w:val="24"/>
          <w:lang w:val="en-ZW"/>
        </w:rPr>
        <w:t>The</w:t>
      </w:r>
      <w:r w:rsidR="00C560C8">
        <w:rPr>
          <w:rFonts w:ascii="Times New Roman" w:eastAsia="Calibri" w:hAnsi="Times New Roman" w:cs="Times New Roman"/>
          <w:iCs/>
          <w:sz w:val="24"/>
          <w:szCs w:val="24"/>
          <w:lang w:val="en-ZW"/>
        </w:rPr>
        <w:t xml:space="preserve"> late Addison lived in the house until his death while Dorothy is still residing thereon.</w:t>
      </w:r>
      <w:r w:rsidR="004066F8">
        <w:rPr>
          <w:rFonts w:ascii="Times New Roman" w:eastAsia="Calibri" w:hAnsi="Times New Roman" w:cs="Times New Roman"/>
          <w:iCs/>
          <w:sz w:val="24"/>
          <w:szCs w:val="24"/>
          <w:lang w:val="en-ZW"/>
        </w:rPr>
        <w:t xml:space="preserve">  </w:t>
      </w:r>
    </w:p>
    <w:p w14:paraId="721BA721" w14:textId="77777777" w:rsidR="004066F8" w:rsidRDefault="004066F8" w:rsidP="00721373">
      <w:pPr>
        <w:spacing w:after="0" w:line="480" w:lineRule="auto"/>
        <w:ind w:firstLine="1134"/>
        <w:jc w:val="both"/>
        <w:rPr>
          <w:rFonts w:ascii="Times New Roman" w:eastAsia="Calibri" w:hAnsi="Times New Roman" w:cs="Times New Roman"/>
          <w:iCs/>
          <w:sz w:val="24"/>
          <w:szCs w:val="24"/>
          <w:lang w:val="en-ZW"/>
        </w:rPr>
      </w:pPr>
    </w:p>
    <w:p w14:paraId="49D73A05" w14:textId="2967B02B" w:rsidR="004066F8" w:rsidRDefault="004066F8" w:rsidP="00721373">
      <w:pPr>
        <w:spacing w:after="0" w:line="480" w:lineRule="auto"/>
        <w:ind w:firstLine="1134"/>
        <w:jc w:val="both"/>
        <w:rPr>
          <w:rFonts w:ascii="Times New Roman" w:eastAsia="Calibri" w:hAnsi="Times New Roman" w:cs="Times New Roman"/>
          <w:iCs/>
          <w:sz w:val="24"/>
          <w:szCs w:val="24"/>
          <w:lang w:val="en-ZW"/>
        </w:rPr>
      </w:pPr>
      <w:r>
        <w:rPr>
          <w:rFonts w:ascii="Times New Roman" w:eastAsia="Calibri" w:hAnsi="Times New Roman" w:cs="Times New Roman"/>
          <w:iCs/>
          <w:sz w:val="24"/>
          <w:szCs w:val="24"/>
          <w:lang w:val="en-ZW"/>
        </w:rPr>
        <w:t>The late Joel and Grace Mandaza returned to Zimbabwe in 1978 but, upon their return, they did not take occupation of the house</w:t>
      </w:r>
      <w:r w:rsidR="00C31B3F">
        <w:rPr>
          <w:rFonts w:ascii="Times New Roman" w:eastAsia="Calibri" w:hAnsi="Times New Roman" w:cs="Times New Roman"/>
          <w:iCs/>
          <w:sz w:val="24"/>
          <w:szCs w:val="24"/>
          <w:lang w:val="en-ZW"/>
        </w:rPr>
        <w:t>.</w:t>
      </w:r>
      <w:r>
        <w:rPr>
          <w:rFonts w:ascii="Times New Roman" w:eastAsia="Calibri" w:hAnsi="Times New Roman" w:cs="Times New Roman"/>
          <w:iCs/>
          <w:sz w:val="24"/>
          <w:szCs w:val="24"/>
          <w:lang w:val="en-ZW"/>
        </w:rPr>
        <w:t xml:space="preserve"> </w:t>
      </w:r>
      <w:r w:rsidR="00162EF5">
        <w:rPr>
          <w:rFonts w:ascii="Times New Roman" w:eastAsia="Calibri" w:hAnsi="Times New Roman" w:cs="Times New Roman"/>
          <w:iCs/>
          <w:sz w:val="24"/>
          <w:szCs w:val="24"/>
          <w:lang w:val="en-ZW"/>
        </w:rPr>
        <w:t xml:space="preserve"> </w:t>
      </w:r>
      <w:r w:rsidR="00C31B3F">
        <w:rPr>
          <w:rFonts w:ascii="Times New Roman" w:eastAsia="Calibri" w:hAnsi="Times New Roman" w:cs="Times New Roman"/>
          <w:iCs/>
          <w:sz w:val="24"/>
          <w:szCs w:val="24"/>
          <w:lang w:val="en-ZW"/>
        </w:rPr>
        <w:t>I</w:t>
      </w:r>
      <w:r>
        <w:rPr>
          <w:rFonts w:ascii="Times New Roman" w:eastAsia="Calibri" w:hAnsi="Times New Roman" w:cs="Times New Roman"/>
          <w:iCs/>
          <w:sz w:val="24"/>
          <w:szCs w:val="24"/>
          <w:lang w:val="en-ZW"/>
        </w:rPr>
        <w:t>nstead</w:t>
      </w:r>
      <w:r w:rsidR="00854A9B">
        <w:rPr>
          <w:rFonts w:ascii="Times New Roman" w:eastAsia="Calibri" w:hAnsi="Times New Roman" w:cs="Times New Roman"/>
          <w:iCs/>
          <w:sz w:val="24"/>
          <w:szCs w:val="24"/>
          <w:lang w:val="en-ZW"/>
        </w:rPr>
        <w:t>,</w:t>
      </w:r>
      <w:r>
        <w:rPr>
          <w:rFonts w:ascii="Times New Roman" w:eastAsia="Calibri" w:hAnsi="Times New Roman" w:cs="Times New Roman"/>
          <w:iCs/>
          <w:sz w:val="24"/>
          <w:szCs w:val="24"/>
          <w:lang w:val="en-ZW"/>
        </w:rPr>
        <w:t xml:space="preserve"> they sought and </w:t>
      </w:r>
      <w:r w:rsidR="00854A9B">
        <w:rPr>
          <w:rFonts w:ascii="Times New Roman" w:eastAsia="Calibri" w:hAnsi="Times New Roman" w:cs="Times New Roman"/>
          <w:iCs/>
          <w:sz w:val="24"/>
          <w:szCs w:val="24"/>
          <w:lang w:val="en-ZW"/>
        </w:rPr>
        <w:t>purchased</w:t>
      </w:r>
      <w:r w:rsidR="002D341E">
        <w:rPr>
          <w:rFonts w:ascii="Times New Roman" w:eastAsia="Calibri" w:hAnsi="Times New Roman" w:cs="Times New Roman"/>
          <w:iCs/>
          <w:sz w:val="24"/>
          <w:szCs w:val="24"/>
          <w:lang w:val="en-ZW"/>
        </w:rPr>
        <w:t xml:space="preserve"> residence</w:t>
      </w:r>
      <w:r w:rsidR="00C31B3F">
        <w:rPr>
          <w:rFonts w:ascii="Times New Roman" w:eastAsia="Calibri" w:hAnsi="Times New Roman" w:cs="Times New Roman"/>
          <w:iCs/>
          <w:sz w:val="24"/>
          <w:szCs w:val="24"/>
          <w:lang w:val="en-ZW"/>
        </w:rPr>
        <w:t>,</w:t>
      </w:r>
      <w:r w:rsidR="002D341E">
        <w:rPr>
          <w:rFonts w:ascii="Times New Roman" w:eastAsia="Calibri" w:hAnsi="Times New Roman" w:cs="Times New Roman"/>
          <w:iCs/>
          <w:sz w:val="24"/>
          <w:szCs w:val="24"/>
          <w:lang w:val="en-ZW"/>
        </w:rPr>
        <w:t xml:space="preserve"> initially in Hou</w:t>
      </w:r>
      <w:r>
        <w:rPr>
          <w:rFonts w:ascii="Times New Roman" w:eastAsia="Calibri" w:hAnsi="Times New Roman" w:cs="Times New Roman"/>
          <w:iCs/>
          <w:sz w:val="24"/>
          <w:szCs w:val="24"/>
          <w:lang w:val="en-ZW"/>
        </w:rPr>
        <w:t xml:space="preserve">ghton Park and later in Gunhill suburbs of Harare. </w:t>
      </w:r>
      <w:r w:rsidR="00162EF5">
        <w:rPr>
          <w:rFonts w:ascii="Times New Roman" w:eastAsia="Calibri" w:hAnsi="Times New Roman" w:cs="Times New Roman"/>
          <w:iCs/>
          <w:sz w:val="24"/>
          <w:szCs w:val="24"/>
          <w:lang w:val="en-ZW"/>
        </w:rPr>
        <w:t xml:space="preserve"> </w:t>
      </w:r>
      <w:r>
        <w:rPr>
          <w:rFonts w:ascii="Times New Roman" w:eastAsia="Calibri" w:hAnsi="Times New Roman" w:cs="Times New Roman"/>
          <w:iCs/>
          <w:sz w:val="24"/>
          <w:szCs w:val="24"/>
          <w:lang w:val="en-ZW"/>
        </w:rPr>
        <w:t>There is no converge</w:t>
      </w:r>
      <w:r w:rsidR="002D341E">
        <w:rPr>
          <w:rFonts w:ascii="Times New Roman" w:eastAsia="Calibri" w:hAnsi="Times New Roman" w:cs="Times New Roman"/>
          <w:iCs/>
          <w:sz w:val="24"/>
          <w:szCs w:val="24"/>
          <w:lang w:val="en-ZW"/>
        </w:rPr>
        <w:t>nce between the feu</w:t>
      </w:r>
      <w:r>
        <w:rPr>
          <w:rFonts w:ascii="Times New Roman" w:eastAsia="Calibri" w:hAnsi="Times New Roman" w:cs="Times New Roman"/>
          <w:iCs/>
          <w:sz w:val="24"/>
          <w:szCs w:val="24"/>
          <w:lang w:val="en-ZW"/>
        </w:rPr>
        <w:t xml:space="preserve">ding family members as to what the terms of the arrangement which led to the first respondent and her family moving into the house and spending their entire lives therein were. </w:t>
      </w:r>
    </w:p>
    <w:p w14:paraId="198F9E39" w14:textId="77777777" w:rsidR="004066F8" w:rsidRDefault="004066F8" w:rsidP="00721373">
      <w:pPr>
        <w:spacing w:after="0" w:line="480" w:lineRule="auto"/>
        <w:ind w:firstLine="1134"/>
        <w:jc w:val="both"/>
        <w:rPr>
          <w:rFonts w:ascii="Times New Roman" w:eastAsia="Calibri" w:hAnsi="Times New Roman" w:cs="Times New Roman"/>
          <w:iCs/>
          <w:sz w:val="24"/>
          <w:szCs w:val="24"/>
          <w:lang w:val="en-ZW"/>
        </w:rPr>
      </w:pPr>
    </w:p>
    <w:p w14:paraId="170A9AC5" w14:textId="09DE2357" w:rsidR="006333C9" w:rsidRDefault="004066F8" w:rsidP="00721373">
      <w:pPr>
        <w:spacing w:after="0" w:line="480" w:lineRule="auto"/>
        <w:ind w:firstLine="1134"/>
        <w:jc w:val="both"/>
        <w:rPr>
          <w:rFonts w:ascii="Times New Roman" w:eastAsia="Calibri" w:hAnsi="Times New Roman" w:cs="Times New Roman"/>
          <w:iCs/>
          <w:sz w:val="24"/>
          <w:szCs w:val="24"/>
          <w:lang w:val="en-ZW"/>
        </w:rPr>
      </w:pPr>
      <w:r>
        <w:rPr>
          <w:rFonts w:ascii="Times New Roman" w:eastAsia="Calibri" w:hAnsi="Times New Roman" w:cs="Times New Roman"/>
          <w:iCs/>
          <w:sz w:val="24"/>
          <w:szCs w:val="24"/>
          <w:lang w:val="en-ZW"/>
        </w:rPr>
        <w:lastRenderedPageBreak/>
        <w:t xml:space="preserve">The appellants insist that Joel and Grace </w:t>
      </w:r>
      <w:r w:rsidR="00D43FF7">
        <w:rPr>
          <w:rFonts w:ascii="Times New Roman" w:eastAsia="Calibri" w:hAnsi="Times New Roman" w:cs="Times New Roman"/>
          <w:iCs/>
          <w:sz w:val="24"/>
          <w:szCs w:val="24"/>
          <w:lang w:val="en-ZW"/>
        </w:rPr>
        <w:t>were</w:t>
      </w:r>
      <w:r>
        <w:rPr>
          <w:rFonts w:ascii="Times New Roman" w:eastAsia="Calibri" w:hAnsi="Times New Roman" w:cs="Times New Roman"/>
          <w:iCs/>
          <w:sz w:val="24"/>
          <w:szCs w:val="24"/>
          <w:lang w:val="en-ZW"/>
        </w:rPr>
        <w:t xml:space="preserve"> the ones who used their marriage certificate to obtain the house for themselves and that </w:t>
      </w:r>
      <w:r w:rsidR="006333C9">
        <w:rPr>
          <w:rFonts w:ascii="Times New Roman" w:eastAsia="Calibri" w:hAnsi="Times New Roman" w:cs="Times New Roman"/>
          <w:iCs/>
          <w:sz w:val="24"/>
          <w:szCs w:val="24"/>
          <w:lang w:val="en-ZW"/>
        </w:rPr>
        <w:t xml:space="preserve">when it was allocated to them, out of generosity, they allowed Addison and his wife to occupy </w:t>
      </w:r>
      <w:r w:rsidR="00D43FF7">
        <w:rPr>
          <w:rFonts w:ascii="Times New Roman" w:eastAsia="Calibri" w:hAnsi="Times New Roman" w:cs="Times New Roman"/>
          <w:iCs/>
          <w:sz w:val="24"/>
          <w:szCs w:val="24"/>
          <w:lang w:val="en-ZW"/>
        </w:rPr>
        <w:t>it</w:t>
      </w:r>
      <w:r w:rsidR="006333C9">
        <w:rPr>
          <w:rFonts w:ascii="Times New Roman" w:eastAsia="Calibri" w:hAnsi="Times New Roman" w:cs="Times New Roman"/>
          <w:iCs/>
          <w:sz w:val="24"/>
          <w:szCs w:val="24"/>
          <w:lang w:val="en-ZW"/>
        </w:rPr>
        <w:t xml:space="preserve">. </w:t>
      </w:r>
      <w:r w:rsidR="00162EF5">
        <w:rPr>
          <w:rFonts w:ascii="Times New Roman" w:eastAsia="Calibri" w:hAnsi="Times New Roman" w:cs="Times New Roman"/>
          <w:iCs/>
          <w:sz w:val="24"/>
          <w:szCs w:val="24"/>
          <w:lang w:val="en-ZW"/>
        </w:rPr>
        <w:t xml:space="preserve"> </w:t>
      </w:r>
      <w:r w:rsidR="006333C9">
        <w:rPr>
          <w:rFonts w:ascii="Times New Roman" w:eastAsia="Calibri" w:hAnsi="Times New Roman" w:cs="Times New Roman"/>
          <w:iCs/>
          <w:sz w:val="24"/>
          <w:szCs w:val="24"/>
          <w:lang w:val="en-ZW"/>
        </w:rPr>
        <w:t>They maintain that the latter couple did not acquire any ownership rights over the house</w:t>
      </w:r>
      <w:r w:rsidR="00D43FF7">
        <w:rPr>
          <w:rFonts w:ascii="Times New Roman" w:eastAsia="Calibri" w:hAnsi="Times New Roman" w:cs="Times New Roman"/>
          <w:iCs/>
          <w:sz w:val="24"/>
          <w:szCs w:val="24"/>
          <w:lang w:val="en-ZW"/>
        </w:rPr>
        <w:t>.</w:t>
      </w:r>
      <w:r w:rsidR="006333C9">
        <w:rPr>
          <w:rFonts w:ascii="Times New Roman" w:eastAsia="Calibri" w:hAnsi="Times New Roman" w:cs="Times New Roman"/>
          <w:iCs/>
          <w:sz w:val="24"/>
          <w:szCs w:val="24"/>
          <w:lang w:val="en-ZW"/>
        </w:rPr>
        <w:t xml:space="preserve"> </w:t>
      </w:r>
    </w:p>
    <w:p w14:paraId="0EC357F7" w14:textId="77777777" w:rsidR="006333C9" w:rsidRDefault="006333C9" w:rsidP="00721373">
      <w:pPr>
        <w:spacing w:after="0" w:line="480" w:lineRule="auto"/>
        <w:ind w:firstLine="1134"/>
        <w:jc w:val="both"/>
        <w:rPr>
          <w:rFonts w:ascii="Times New Roman" w:eastAsia="Calibri" w:hAnsi="Times New Roman" w:cs="Times New Roman"/>
          <w:iCs/>
          <w:sz w:val="24"/>
          <w:szCs w:val="24"/>
          <w:lang w:val="en-ZW"/>
        </w:rPr>
      </w:pPr>
    </w:p>
    <w:p w14:paraId="48322511" w14:textId="29FE7030" w:rsidR="006333C9" w:rsidRDefault="006333C9" w:rsidP="00721373">
      <w:pPr>
        <w:spacing w:after="0" w:line="480" w:lineRule="auto"/>
        <w:ind w:firstLine="1134"/>
        <w:jc w:val="both"/>
        <w:rPr>
          <w:rFonts w:ascii="Times New Roman" w:eastAsia="Calibri" w:hAnsi="Times New Roman" w:cs="Times New Roman"/>
          <w:iCs/>
          <w:sz w:val="24"/>
          <w:szCs w:val="24"/>
          <w:lang w:val="en-ZW"/>
        </w:rPr>
      </w:pPr>
      <w:r>
        <w:rPr>
          <w:rFonts w:ascii="Times New Roman" w:eastAsia="Calibri" w:hAnsi="Times New Roman" w:cs="Times New Roman"/>
          <w:iCs/>
          <w:sz w:val="24"/>
          <w:szCs w:val="24"/>
          <w:lang w:val="en-ZW"/>
        </w:rPr>
        <w:t>On the other hand, the first respondent assert</w:t>
      </w:r>
      <w:r w:rsidR="0003766D">
        <w:rPr>
          <w:rFonts w:ascii="Times New Roman" w:eastAsia="Calibri" w:hAnsi="Times New Roman" w:cs="Times New Roman"/>
          <w:iCs/>
          <w:sz w:val="24"/>
          <w:szCs w:val="24"/>
          <w:lang w:val="en-ZW"/>
        </w:rPr>
        <w:t>s</w:t>
      </w:r>
      <w:r>
        <w:rPr>
          <w:rFonts w:ascii="Times New Roman" w:eastAsia="Calibri" w:hAnsi="Times New Roman" w:cs="Times New Roman"/>
          <w:iCs/>
          <w:sz w:val="24"/>
          <w:szCs w:val="24"/>
          <w:lang w:val="en-ZW"/>
        </w:rPr>
        <w:t xml:space="preserve"> that it is herself and her late husband who wanted accommodation because the other family already had a house elsewhere in Highfield, which they had obtained using the marriage certificate of another brother. </w:t>
      </w:r>
      <w:r w:rsidR="00162EF5">
        <w:rPr>
          <w:rFonts w:ascii="Times New Roman" w:eastAsia="Calibri" w:hAnsi="Times New Roman" w:cs="Times New Roman"/>
          <w:iCs/>
          <w:sz w:val="24"/>
          <w:szCs w:val="24"/>
          <w:lang w:val="en-ZW"/>
        </w:rPr>
        <w:t xml:space="preserve"> </w:t>
      </w:r>
      <w:r>
        <w:rPr>
          <w:rFonts w:ascii="Times New Roman" w:eastAsia="Calibri" w:hAnsi="Times New Roman" w:cs="Times New Roman"/>
          <w:iCs/>
          <w:sz w:val="24"/>
          <w:szCs w:val="24"/>
          <w:lang w:val="en-ZW"/>
        </w:rPr>
        <w:t>According to the first respondent, she and her late husband then approached Joel and Grace Mandaza requesting that they use their marri</w:t>
      </w:r>
      <w:r w:rsidR="00FA46DE">
        <w:rPr>
          <w:rFonts w:ascii="Times New Roman" w:eastAsia="Calibri" w:hAnsi="Times New Roman" w:cs="Times New Roman"/>
          <w:iCs/>
          <w:sz w:val="24"/>
          <w:szCs w:val="24"/>
          <w:lang w:val="en-ZW"/>
        </w:rPr>
        <w:t>age</w:t>
      </w:r>
      <w:r>
        <w:rPr>
          <w:rFonts w:ascii="Times New Roman" w:eastAsia="Calibri" w:hAnsi="Times New Roman" w:cs="Times New Roman"/>
          <w:iCs/>
          <w:sz w:val="24"/>
          <w:szCs w:val="24"/>
          <w:lang w:val="en-ZW"/>
        </w:rPr>
        <w:t xml:space="preserve"> certificate to apply for a house as they were yet to solemnise their own marriage. </w:t>
      </w:r>
    </w:p>
    <w:p w14:paraId="07CD0DE3" w14:textId="77777777" w:rsidR="006333C9" w:rsidRDefault="006333C9" w:rsidP="00B121C0">
      <w:pPr>
        <w:spacing w:after="0" w:line="480" w:lineRule="auto"/>
        <w:ind w:firstLine="1134"/>
        <w:jc w:val="both"/>
        <w:rPr>
          <w:rFonts w:ascii="Times New Roman" w:eastAsia="Calibri" w:hAnsi="Times New Roman" w:cs="Times New Roman"/>
          <w:iCs/>
          <w:sz w:val="24"/>
          <w:szCs w:val="24"/>
          <w:lang w:val="en-ZW"/>
        </w:rPr>
      </w:pPr>
    </w:p>
    <w:p w14:paraId="605A4AF2" w14:textId="2122A207" w:rsidR="0056270A" w:rsidRDefault="006333C9" w:rsidP="00721373">
      <w:pPr>
        <w:spacing w:after="0" w:line="480" w:lineRule="auto"/>
        <w:ind w:firstLine="1134"/>
        <w:jc w:val="both"/>
        <w:rPr>
          <w:rFonts w:ascii="Times New Roman" w:eastAsia="Calibri" w:hAnsi="Times New Roman" w:cs="Times New Roman"/>
          <w:iCs/>
          <w:sz w:val="24"/>
          <w:szCs w:val="24"/>
          <w:lang w:val="en-ZW"/>
        </w:rPr>
      </w:pPr>
      <w:r>
        <w:rPr>
          <w:rFonts w:ascii="Times New Roman" w:eastAsia="Calibri" w:hAnsi="Times New Roman" w:cs="Times New Roman"/>
          <w:iCs/>
          <w:sz w:val="24"/>
          <w:szCs w:val="24"/>
          <w:lang w:val="en-ZW"/>
        </w:rPr>
        <w:t>With the consent of Joel and Grace Mandaza, so the first respondent argues, they filled</w:t>
      </w:r>
      <w:r w:rsidR="00F9106C">
        <w:rPr>
          <w:rFonts w:ascii="Times New Roman" w:eastAsia="Calibri" w:hAnsi="Times New Roman" w:cs="Times New Roman"/>
          <w:iCs/>
          <w:sz w:val="24"/>
          <w:szCs w:val="24"/>
          <w:lang w:val="en-ZW"/>
        </w:rPr>
        <w:t xml:space="preserve"> in</w:t>
      </w:r>
      <w:r>
        <w:rPr>
          <w:rFonts w:ascii="Times New Roman" w:eastAsia="Calibri" w:hAnsi="Times New Roman" w:cs="Times New Roman"/>
          <w:iCs/>
          <w:sz w:val="24"/>
          <w:szCs w:val="24"/>
          <w:lang w:val="en-ZW"/>
        </w:rPr>
        <w:t xml:space="preserve"> application forms at the City of Harare offices for rented accommodation resulting in the house being allocated in those names. </w:t>
      </w:r>
      <w:r w:rsidR="00162EF5">
        <w:rPr>
          <w:rFonts w:ascii="Times New Roman" w:eastAsia="Calibri" w:hAnsi="Times New Roman" w:cs="Times New Roman"/>
          <w:iCs/>
          <w:sz w:val="24"/>
          <w:szCs w:val="24"/>
          <w:lang w:val="en-ZW"/>
        </w:rPr>
        <w:t xml:space="preserve"> </w:t>
      </w:r>
      <w:r>
        <w:rPr>
          <w:rFonts w:ascii="Times New Roman" w:eastAsia="Calibri" w:hAnsi="Times New Roman" w:cs="Times New Roman"/>
          <w:iCs/>
          <w:sz w:val="24"/>
          <w:szCs w:val="24"/>
          <w:lang w:val="en-ZW"/>
        </w:rPr>
        <w:t>In the first respondent’</w:t>
      </w:r>
      <w:r w:rsidR="0056270A">
        <w:rPr>
          <w:rFonts w:ascii="Times New Roman" w:eastAsia="Calibri" w:hAnsi="Times New Roman" w:cs="Times New Roman"/>
          <w:iCs/>
          <w:sz w:val="24"/>
          <w:szCs w:val="24"/>
          <w:lang w:val="en-ZW"/>
        </w:rPr>
        <w:t>s view, for all intents and purposes</w:t>
      </w:r>
      <w:r w:rsidR="00810BA3">
        <w:rPr>
          <w:rFonts w:ascii="Times New Roman" w:eastAsia="Calibri" w:hAnsi="Times New Roman" w:cs="Times New Roman"/>
          <w:iCs/>
          <w:sz w:val="24"/>
          <w:szCs w:val="24"/>
          <w:lang w:val="en-ZW"/>
        </w:rPr>
        <w:t>,</w:t>
      </w:r>
      <w:r w:rsidR="0056270A">
        <w:rPr>
          <w:rFonts w:ascii="Times New Roman" w:eastAsia="Calibri" w:hAnsi="Times New Roman" w:cs="Times New Roman"/>
          <w:iCs/>
          <w:sz w:val="24"/>
          <w:szCs w:val="24"/>
          <w:lang w:val="en-ZW"/>
        </w:rPr>
        <w:t xml:space="preserve"> the house belong</w:t>
      </w:r>
      <w:r w:rsidR="0003766D">
        <w:rPr>
          <w:rFonts w:ascii="Times New Roman" w:eastAsia="Calibri" w:hAnsi="Times New Roman" w:cs="Times New Roman"/>
          <w:iCs/>
          <w:sz w:val="24"/>
          <w:szCs w:val="24"/>
          <w:lang w:val="en-ZW"/>
        </w:rPr>
        <w:t>s</w:t>
      </w:r>
      <w:r w:rsidR="0056270A">
        <w:rPr>
          <w:rFonts w:ascii="Times New Roman" w:eastAsia="Calibri" w:hAnsi="Times New Roman" w:cs="Times New Roman"/>
          <w:iCs/>
          <w:sz w:val="24"/>
          <w:szCs w:val="24"/>
          <w:lang w:val="en-ZW"/>
        </w:rPr>
        <w:t xml:space="preserve"> to herself and her late husband because they applied for it, paid all that was due to the municipality and lived in it for the past sixty</w:t>
      </w:r>
      <w:r w:rsidR="0003766D">
        <w:rPr>
          <w:rFonts w:ascii="Times New Roman" w:eastAsia="Calibri" w:hAnsi="Times New Roman" w:cs="Times New Roman"/>
          <w:iCs/>
          <w:sz w:val="24"/>
          <w:szCs w:val="24"/>
          <w:lang w:val="en-ZW"/>
        </w:rPr>
        <w:t>-</w:t>
      </w:r>
      <w:r w:rsidR="0056270A">
        <w:rPr>
          <w:rFonts w:ascii="Times New Roman" w:eastAsia="Calibri" w:hAnsi="Times New Roman" w:cs="Times New Roman"/>
          <w:iCs/>
          <w:sz w:val="24"/>
          <w:szCs w:val="24"/>
          <w:lang w:val="en-ZW"/>
        </w:rPr>
        <w:t xml:space="preserve">four years. </w:t>
      </w:r>
    </w:p>
    <w:p w14:paraId="50C627E2" w14:textId="77777777" w:rsidR="0056270A" w:rsidRDefault="0056270A" w:rsidP="00721373">
      <w:pPr>
        <w:spacing w:after="0" w:line="480" w:lineRule="auto"/>
        <w:ind w:firstLine="1134"/>
        <w:jc w:val="both"/>
        <w:rPr>
          <w:rFonts w:ascii="Times New Roman" w:eastAsia="Calibri" w:hAnsi="Times New Roman" w:cs="Times New Roman"/>
          <w:iCs/>
          <w:sz w:val="24"/>
          <w:szCs w:val="24"/>
          <w:lang w:val="en-ZW"/>
        </w:rPr>
      </w:pPr>
    </w:p>
    <w:p w14:paraId="58C0B0DB" w14:textId="70A49D77" w:rsidR="0056270A" w:rsidRDefault="0056270A" w:rsidP="00B321DC">
      <w:pPr>
        <w:spacing w:after="0" w:line="480" w:lineRule="auto"/>
        <w:ind w:firstLine="1134"/>
        <w:jc w:val="both"/>
        <w:rPr>
          <w:rFonts w:ascii="Times New Roman" w:eastAsia="Calibri" w:hAnsi="Times New Roman" w:cs="Times New Roman"/>
          <w:iCs/>
          <w:sz w:val="24"/>
          <w:szCs w:val="24"/>
          <w:lang w:val="en-ZW"/>
        </w:rPr>
      </w:pPr>
      <w:r>
        <w:rPr>
          <w:rFonts w:ascii="Times New Roman" w:eastAsia="Calibri" w:hAnsi="Times New Roman" w:cs="Times New Roman"/>
          <w:iCs/>
          <w:sz w:val="24"/>
          <w:szCs w:val="24"/>
          <w:lang w:val="en-ZW"/>
        </w:rPr>
        <w:t xml:space="preserve">What is not in dispute though is that rentals and the purchase price were paid for such that in 1994 the City of Harare was ready to transfer ownership of the house. Joel and Grace Mandaza were invited to the municipal offices to complete the process of applying for transfer. </w:t>
      </w:r>
      <w:r w:rsidR="00162EF5">
        <w:rPr>
          <w:rFonts w:ascii="Times New Roman" w:eastAsia="Calibri" w:hAnsi="Times New Roman" w:cs="Times New Roman"/>
          <w:iCs/>
          <w:sz w:val="24"/>
          <w:szCs w:val="24"/>
          <w:lang w:val="en-ZW"/>
        </w:rPr>
        <w:t xml:space="preserve"> </w:t>
      </w:r>
      <w:r>
        <w:rPr>
          <w:rFonts w:ascii="Times New Roman" w:eastAsia="Calibri" w:hAnsi="Times New Roman" w:cs="Times New Roman"/>
          <w:iCs/>
          <w:sz w:val="24"/>
          <w:szCs w:val="24"/>
          <w:lang w:val="en-ZW"/>
        </w:rPr>
        <w:t xml:space="preserve">In due course, the house was transferred to their joint names and they hold title by Deed of </w:t>
      </w:r>
      <w:r w:rsidR="00810BA3">
        <w:rPr>
          <w:rFonts w:ascii="Times New Roman" w:eastAsia="Calibri" w:hAnsi="Times New Roman" w:cs="Times New Roman"/>
          <w:iCs/>
          <w:sz w:val="24"/>
          <w:szCs w:val="24"/>
          <w:lang w:val="en-ZW"/>
        </w:rPr>
        <w:t xml:space="preserve">                       </w:t>
      </w:r>
      <w:r w:rsidR="00876B9B">
        <w:rPr>
          <w:rFonts w:ascii="Times New Roman" w:eastAsia="Calibri" w:hAnsi="Times New Roman" w:cs="Times New Roman"/>
          <w:iCs/>
          <w:sz w:val="24"/>
          <w:szCs w:val="24"/>
          <w:lang w:val="en-ZW"/>
        </w:rPr>
        <w:lastRenderedPageBreak/>
        <w:t>G</w:t>
      </w:r>
      <w:r>
        <w:rPr>
          <w:rFonts w:ascii="Times New Roman" w:eastAsia="Calibri" w:hAnsi="Times New Roman" w:cs="Times New Roman"/>
          <w:iCs/>
          <w:sz w:val="24"/>
          <w:szCs w:val="24"/>
          <w:lang w:val="en-ZW"/>
        </w:rPr>
        <w:t>rant</w:t>
      </w:r>
      <w:r w:rsidR="00876B9B">
        <w:rPr>
          <w:rFonts w:ascii="Times New Roman" w:eastAsia="Calibri" w:hAnsi="Times New Roman" w:cs="Times New Roman"/>
          <w:iCs/>
          <w:sz w:val="24"/>
          <w:szCs w:val="24"/>
          <w:lang w:val="en-ZW"/>
        </w:rPr>
        <w:t xml:space="preserve"> No</w:t>
      </w:r>
      <w:r>
        <w:rPr>
          <w:rFonts w:ascii="Times New Roman" w:eastAsia="Calibri" w:hAnsi="Times New Roman" w:cs="Times New Roman"/>
          <w:iCs/>
          <w:sz w:val="24"/>
          <w:szCs w:val="24"/>
          <w:lang w:val="en-ZW"/>
        </w:rPr>
        <w:t xml:space="preserve"> 5698/94. </w:t>
      </w:r>
      <w:r w:rsidR="00162EF5">
        <w:rPr>
          <w:rFonts w:ascii="Times New Roman" w:eastAsia="Calibri" w:hAnsi="Times New Roman" w:cs="Times New Roman"/>
          <w:iCs/>
          <w:sz w:val="24"/>
          <w:szCs w:val="24"/>
          <w:lang w:val="en-ZW"/>
        </w:rPr>
        <w:t xml:space="preserve"> </w:t>
      </w:r>
      <w:r>
        <w:rPr>
          <w:rFonts w:ascii="Times New Roman" w:eastAsia="Calibri" w:hAnsi="Times New Roman" w:cs="Times New Roman"/>
          <w:iCs/>
          <w:sz w:val="24"/>
          <w:szCs w:val="24"/>
          <w:lang w:val="en-ZW"/>
        </w:rPr>
        <w:t>They fla</w:t>
      </w:r>
      <w:r w:rsidR="00411B92">
        <w:rPr>
          <w:rFonts w:ascii="Times New Roman" w:eastAsia="Calibri" w:hAnsi="Times New Roman" w:cs="Times New Roman"/>
          <w:iCs/>
          <w:sz w:val="24"/>
          <w:szCs w:val="24"/>
          <w:lang w:val="en-ZW"/>
        </w:rPr>
        <w:t>tly</w:t>
      </w:r>
      <w:r>
        <w:rPr>
          <w:rFonts w:ascii="Times New Roman" w:eastAsia="Calibri" w:hAnsi="Times New Roman" w:cs="Times New Roman"/>
          <w:iCs/>
          <w:sz w:val="24"/>
          <w:szCs w:val="24"/>
          <w:lang w:val="en-ZW"/>
        </w:rPr>
        <w:t xml:space="preserve"> refused to transfer the house to the first respondent thereby triggering litigation that </w:t>
      </w:r>
      <w:r w:rsidR="00411B92">
        <w:rPr>
          <w:rFonts w:ascii="Times New Roman" w:eastAsia="Calibri" w:hAnsi="Times New Roman" w:cs="Times New Roman"/>
          <w:iCs/>
          <w:sz w:val="24"/>
          <w:szCs w:val="24"/>
          <w:lang w:val="en-ZW"/>
        </w:rPr>
        <w:t xml:space="preserve">has </w:t>
      </w:r>
      <w:r w:rsidR="00B321DC">
        <w:rPr>
          <w:rFonts w:ascii="Times New Roman" w:eastAsia="Calibri" w:hAnsi="Times New Roman" w:cs="Times New Roman"/>
          <w:iCs/>
          <w:sz w:val="24"/>
          <w:szCs w:val="24"/>
          <w:lang w:val="en-ZW"/>
        </w:rPr>
        <w:t>split the family asunder.</w:t>
      </w:r>
    </w:p>
    <w:p w14:paraId="1859D74E" w14:textId="77777777" w:rsidR="00B121C0" w:rsidRDefault="00B121C0" w:rsidP="00B321DC">
      <w:pPr>
        <w:spacing w:after="0" w:line="480" w:lineRule="auto"/>
        <w:ind w:firstLine="1134"/>
        <w:jc w:val="both"/>
        <w:rPr>
          <w:rFonts w:ascii="Times New Roman" w:eastAsia="Calibri" w:hAnsi="Times New Roman" w:cs="Times New Roman"/>
          <w:iCs/>
          <w:sz w:val="24"/>
          <w:szCs w:val="24"/>
          <w:lang w:val="en-ZW"/>
        </w:rPr>
      </w:pPr>
    </w:p>
    <w:p w14:paraId="23A4D400" w14:textId="77777777" w:rsidR="0056270A" w:rsidRDefault="0056270A" w:rsidP="0056270A">
      <w:pPr>
        <w:spacing w:after="0" w:line="480" w:lineRule="auto"/>
        <w:jc w:val="both"/>
        <w:rPr>
          <w:rFonts w:ascii="Times New Roman" w:eastAsia="Calibri" w:hAnsi="Times New Roman" w:cs="Times New Roman"/>
          <w:b/>
          <w:iCs/>
          <w:sz w:val="24"/>
          <w:szCs w:val="24"/>
          <w:u w:val="single"/>
          <w:lang w:val="en-ZW"/>
        </w:rPr>
      </w:pPr>
      <w:r w:rsidRPr="0056270A">
        <w:rPr>
          <w:rFonts w:ascii="Times New Roman" w:eastAsia="Calibri" w:hAnsi="Times New Roman" w:cs="Times New Roman"/>
          <w:b/>
          <w:iCs/>
          <w:sz w:val="24"/>
          <w:szCs w:val="24"/>
          <w:u w:val="single"/>
          <w:lang w:val="en-ZW"/>
        </w:rPr>
        <w:t xml:space="preserve">PROCEEDINGS BEFORE THE COURT </w:t>
      </w:r>
      <w:r w:rsidRPr="0056270A">
        <w:rPr>
          <w:rFonts w:ascii="Times New Roman" w:eastAsia="Calibri" w:hAnsi="Times New Roman" w:cs="Times New Roman"/>
          <w:b/>
          <w:i/>
          <w:iCs/>
          <w:sz w:val="24"/>
          <w:szCs w:val="24"/>
          <w:u w:val="single"/>
          <w:lang w:val="en-ZW"/>
        </w:rPr>
        <w:t>A QUO</w:t>
      </w:r>
      <w:r w:rsidRPr="0056270A">
        <w:rPr>
          <w:rFonts w:ascii="Times New Roman" w:eastAsia="Calibri" w:hAnsi="Times New Roman" w:cs="Times New Roman"/>
          <w:b/>
          <w:iCs/>
          <w:sz w:val="24"/>
          <w:szCs w:val="24"/>
          <w:u w:val="single"/>
          <w:lang w:val="en-ZW"/>
        </w:rPr>
        <w:t xml:space="preserve"> </w:t>
      </w:r>
    </w:p>
    <w:p w14:paraId="3EE1C013" w14:textId="21AD4163" w:rsidR="00937815" w:rsidRDefault="0056270A" w:rsidP="0056270A">
      <w:pPr>
        <w:spacing w:after="0" w:line="480" w:lineRule="auto"/>
        <w:ind w:firstLine="1134"/>
        <w:jc w:val="both"/>
        <w:rPr>
          <w:rFonts w:ascii="Times New Roman" w:eastAsia="Calibri" w:hAnsi="Times New Roman" w:cs="Times New Roman"/>
          <w:iCs/>
          <w:sz w:val="24"/>
          <w:szCs w:val="24"/>
          <w:lang w:val="en-ZW"/>
        </w:rPr>
      </w:pPr>
      <w:r>
        <w:rPr>
          <w:rFonts w:ascii="Times New Roman" w:eastAsia="Calibri" w:hAnsi="Times New Roman" w:cs="Times New Roman"/>
          <w:iCs/>
          <w:sz w:val="24"/>
          <w:szCs w:val="24"/>
          <w:lang w:val="en-ZW"/>
        </w:rPr>
        <w:t>Having</w:t>
      </w:r>
      <w:r w:rsidR="00937815">
        <w:rPr>
          <w:rFonts w:ascii="Times New Roman" w:eastAsia="Calibri" w:hAnsi="Times New Roman" w:cs="Times New Roman"/>
          <w:iCs/>
          <w:sz w:val="24"/>
          <w:szCs w:val="24"/>
          <w:lang w:val="en-ZW"/>
        </w:rPr>
        <w:t xml:space="preserve"> found no joy in the family support structure</w:t>
      </w:r>
      <w:r w:rsidR="0066538E">
        <w:rPr>
          <w:rFonts w:ascii="Times New Roman" w:eastAsia="Calibri" w:hAnsi="Times New Roman" w:cs="Times New Roman"/>
          <w:iCs/>
          <w:sz w:val="24"/>
          <w:szCs w:val="24"/>
          <w:lang w:val="en-ZW"/>
        </w:rPr>
        <w:t>s</w:t>
      </w:r>
      <w:r w:rsidR="00937815">
        <w:rPr>
          <w:rFonts w:ascii="Times New Roman" w:eastAsia="Calibri" w:hAnsi="Times New Roman" w:cs="Times New Roman"/>
          <w:iCs/>
          <w:sz w:val="24"/>
          <w:szCs w:val="24"/>
          <w:lang w:val="en-ZW"/>
        </w:rPr>
        <w:t xml:space="preserve"> as the appellants dug in, the first respondent decided to escalate the dispute to court. </w:t>
      </w:r>
      <w:r w:rsidR="00162EF5">
        <w:rPr>
          <w:rFonts w:ascii="Times New Roman" w:eastAsia="Calibri" w:hAnsi="Times New Roman" w:cs="Times New Roman"/>
          <w:iCs/>
          <w:sz w:val="24"/>
          <w:szCs w:val="24"/>
          <w:lang w:val="en-ZW"/>
        </w:rPr>
        <w:t xml:space="preserve"> </w:t>
      </w:r>
      <w:r w:rsidR="00937815">
        <w:rPr>
          <w:rFonts w:ascii="Times New Roman" w:eastAsia="Calibri" w:hAnsi="Times New Roman" w:cs="Times New Roman"/>
          <w:iCs/>
          <w:sz w:val="24"/>
          <w:szCs w:val="24"/>
          <w:lang w:val="en-ZW"/>
        </w:rPr>
        <w:t>She issued summons on 9 December 2011 seeking an order compelling the appellant</w:t>
      </w:r>
      <w:r w:rsidR="0066538E">
        <w:rPr>
          <w:rFonts w:ascii="Times New Roman" w:eastAsia="Calibri" w:hAnsi="Times New Roman" w:cs="Times New Roman"/>
          <w:iCs/>
          <w:sz w:val="24"/>
          <w:szCs w:val="24"/>
          <w:lang w:val="en-ZW"/>
        </w:rPr>
        <w:t>s</w:t>
      </w:r>
      <w:r w:rsidR="00937815">
        <w:rPr>
          <w:rFonts w:ascii="Times New Roman" w:eastAsia="Calibri" w:hAnsi="Times New Roman" w:cs="Times New Roman"/>
          <w:iCs/>
          <w:sz w:val="24"/>
          <w:szCs w:val="24"/>
          <w:lang w:val="en-ZW"/>
        </w:rPr>
        <w:t xml:space="preserve"> to transfer the house into her name on the pain of costs of suit. </w:t>
      </w:r>
      <w:r w:rsidR="00162EF5">
        <w:rPr>
          <w:rFonts w:ascii="Times New Roman" w:eastAsia="Calibri" w:hAnsi="Times New Roman" w:cs="Times New Roman"/>
          <w:iCs/>
          <w:sz w:val="24"/>
          <w:szCs w:val="24"/>
          <w:lang w:val="en-ZW"/>
        </w:rPr>
        <w:t xml:space="preserve"> </w:t>
      </w:r>
      <w:r w:rsidR="00937815">
        <w:rPr>
          <w:rFonts w:ascii="Times New Roman" w:eastAsia="Calibri" w:hAnsi="Times New Roman" w:cs="Times New Roman"/>
          <w:iCs/>
          <w:sz w:val="24"/>
          <w:szCs w:val="24"/>
          <w:lang w:val="en-ZW"/>
        </w:rPr>
        <w:t>The first respondent averred that about March/April 1960</w:t>
      </w:r>
      <w:r w:rsidR="0066538E">
        <w:rPr>
          <w:rFonts w:ascii="Times New Roman" w:eastAsia="Calibri" w:hAnsi="Times New Roman" w:cs="Times New Roman"/>
          <w:iCs/>
          <w:sz w:val="24"/>
          <w:szCs w:val="24"/>
          <w:lang w:val="en-ZW"/>
        </w:rPr>
        <w:t>,</w:t>
      </w:r>
      <w:r w:rsidR="00937815">
        <w:rPr>
          <w:rFonts w:ascii="Times New Roman" w:eastAsia="Calibri" w:hAnsi="Times New Roman" w:cs="Times New Roman"/>
          <w:iCs/>
          <w:sz w:val="24"/>
          <w:szCs w:val="24"/>
          <w:lang w:val="en-ZW"/>
        </w:rPr>
        <w:t xml:space="preserve"> </w:t>
      </w:r>
      <w:r w:rsidR="004451FD">
        <w:rPr>
          <w:rFonts w:ascii="Times New Roman" w:eastAsia="Calibri" w:hAnsi="Times New Roman" w:cs="Times New Roman"/>
          <w:iCs/>
          <w:sz w:val="24"/>
          <w:szCs w:val="24"/>
          <w:lang w:val="en-ZW"/>
        </w:rPr>
        <w:t>she</w:t>
      </w:r>
      <w:r w:rsidR="00937815">
        <w:rPr>
          <w:rFonts w:ascii="Times New Roman" w:eastAsia="Calibri" w:hAnsi="Times New Roman" w:cs="Times New Roman"/>
          <w:iCs/>
          <w:sz w:val="24"/>
          <w:szCs w:val="24"/>
          <w:lang w:val="en-ZW"/>
        </w:rPr>
        <w:t xml:space="preserve"> and her late husband completed forms for the rental of a house in New Canaan Highfield Harare</w:t>
      </w:r>
      <w:r w:rsidR="0066538E">
        <w:rPr>
          <w:rFonts w:ascii="Times New Roman" w:eastAsia="Calibri" w:hAnsi="Times New Roman" w:cs="Times New Roman"/>
          <w:iCs/>
          <w:sz w:val="24"/>
          <w:szCs w:val="24"/>
          <w:lang w:val="en-ZW"/>
        </w:rPr>
        <w:t>,</w:t>
      </w:r>
      <w:r w:rsidR="00937815">
        <w:rPr>
          <w:rFonts w:ascii="Times New Roman" w:eastAsia="Calibri" w:hAnsi="Times New Roman" w:cs="Times New Roman"/>
          <w:iCs/>
          <w:sz w:val="24"/>
          <w:szCs w:val="24"/>
          <w:lang w:val="en-ZW"/>
        </w:rPr>
        <w:t xml:space="preserve"> using the names of the late Joel and Grace Mandaza for the reason that they did not have a marriage certificate of their own at the time. </w:t>
      </w:r>
    </w:p>
    <w:p w14:paraId="0F17AB63" w14:textId="77777777" w:rsidR="00937815" w:rsidRDefault="00937815" w:rsidP="0056270A">
      <w:pPr>
        <w:spacing w:after="0" w:line="480" w:lineRule="auto"/>
        <w:ind w:firstLine="1134"/>
        <w:jc w:val="both"/>
        <w:rPr>
          <w:rFonts w:ascii="Times New Roman" w:eastAsia="Calibri" w:hAnsi="Times New Roman" w:cs="Times New Roman"/>
          <w:iCs/>
          <w:sz w:val="24"/>
          <w:szCs w:val="24"/>
          <w:lang w:val="en-ZW"/>
        </w:rPr>
      </w:pPr>
    </w:p>
    <w:p w14:paraId="47521E79" w14:textId="6E048A3C" w:rsidR="00DB3953" w:rsidRDefault="00937815" w:rsidP="0056270A">
      <w:pPr>
        <w:spacing w:after="0" w:line="480" w:lineRule="auto"/>
        <w:ind w:firstLine="1134"/>
        <w:jc w:val="both"/>
        <w:rPr>
          <w:rFonts w:ascii="Times New Roman" w:eastAsia="Calibri" w:hAnsi="Times New Roman" w:cs="Times New Roman"/>
          <w:iCs/>
          <w:sz w:val="24"/>
          <w:szCs w:val="24"/>
          <w:lang w:val="en-ZW"/>
        </w:rPr>
      </w:pPr>
      <w:r>
        <w:rPr>
          <w:rFonts w:ascii="Times New Roman" w:eastAsia="Calibri" w:hAnsi="Times New Roman" w:cs="Times New Roman"/>
          <w:iCs/>
          <w:sz w:val="24"/>
          <w:szCs w:val="24"/>
          <w:lang w:val="en-ZW"/>
        </w:rPr>
        <w:t>The first respondent averred further that they agree</w:t>
      </w:r>
      <w:r w:rsidR="00B25940">
        <w:rPr>
          <w:rFonts w:ascii="Times New Roman" w:eastAsia="Calibri" w:hAnsi="Times New Roman" w:cs="Times New Roman"/>
          <w:iCs/>
          <w:sz w:val="24"/>
          <w:szCs w:val="24"/>
          <w:lang w:val="en-ZW"/>
        </w:rPr>
        <w:t>d</w:t>
      </w:r>
      <w:r>
        <w:rPr>
          <w:rFonts w:ascii="Times New Roman" w:eastAsia="Calibri" w:hAnsi="Times New Roman" w:cs="Times New Roman"/>
          <w:iCs/>
          <w:sz w:val="24"/>
          <w:szCs w:val="24"/>
          <w:lang w:val="en-ZW"/>
        </w:rPr>
        <w:t xml:space="preserve"> with the late Joel and Grace Mandaza that the latter</w:t>
      </w:r>
      <w:r w:rsidR="00B25940">
        <w:rPr>
          <w:rFonts w:ascii="Times New Roman" w:eastAsia="Calibri" w:hAnsi="Times New Roman" w:cs="Times New Roman"/>
          <w:iCs/>
          <w:sz w:val="24"/>
          <w:szCs w:val="24"/>
          <w:lang w:val="en-ZW"/>
        </w:rPr>
        <w:t xml:space="preserve"> couple</w:t>
      </w:r>
      <w:r>
        <w:rPr>
          <w:rFonts w:ascii="Times New Roman" w:eastAsia="Calibri" w:hAnsi="Times New Roman" w:cs="Times New Roman"/>
          <w:iCs/>
          <w:sz w:val="24"/>
          <w:szCs w:val="24"/>
          <w:lang w:val="en-ZW"/>
        </w:rPr>
        <w:t xml:space="preserve"> would subsequently change the munic</w:t>
      </w:r>
      <w:r w:rsidR="00DB3953">
        <w:rPr>
          <w:rFonts w:ascii="Times New Roman" w:eastAsia="Calibri" w:hAnsi="Times New Roman" w:cs="Times New Roman"/>
          <w:iCs/>
          <w:sz w:val="24"/>
          <w:szCs w:val="24"/>
          <w:lang w:val="en-ZW"/>
        </w:rPr>
        <w:t>ipal lease agr</w:t>
      </w:r>
      <w:r w:rsidR="00220043">
        <w:rPr>
          <w:rFonts w:ascii="Times New Roman" w:eastAsia="Calibri" w:hAnsi="Times New Roman" w:cs="Times New Roman"/>
          <w:iCs/>
          <w:sz w:val="24"/>
          <w:szCs w:val="24"/>
          <w:lang w:val="en-ZW"/>
        </w:rPr>
        <w:t>eement into their names and paid</w:t>
      </w:r>
      <w:r w:rsidR="00DB3953">
        <w:rPr>
          <w:rFonts w:ascii="Times New Roman" w:eastAsia="Calibri" w:hAnsi="Times New Roman" w:cs="Times New Roman"/>
          <w:iCs/>
          <w:sz w:val="24"/>
          <w:szCs w:val="24"/>
          <w:lang w:val="en-ZW"/>
        </w:rPr>
        <w:t xml:space="preserve"> the requisite fee for such application for housing. </w:t>
      </w:r>
      <w:r w:rsidR="00162EF5">
        <w:rPr>
          <w:rFonts w:ascii="Times New Roman" w:eastAsia="Calibri" w:hAnsi="Times New Roman" w:cs="Times New Roman"/>
          <w:iCs/>
          <w:sz w:val="24"/>
          <w:szCs w:val="24"/>
          <w:lang w:val="en-ZW"/>
        </w:rPr>
        <w:t xml:space="preserve"> </w:t>
      </w:r>
      <w:r w:rsidR="00DB3953">
        <w:rPr>
          <w:rFonts w:ascii="Times New Roman" w:eastAsia="Calibri" w:hAnsi="Times New Roman" w:cs="Times New Roman"/>
          <w:iCs/>
          <w:sz w:val="24"/>
          <w:szCs w:val="24"/>
          <w:lang w:val="en-ZW"/>
        </w:rPr>
        <w:t>She added that when the house was allocated in the names of Joel and Grace Mandaza it is herself and her late hus</w:t>
      </w:r>
      <w:r w:rsidR="00162EF5">
        <w:rPr>
          <w:rFonts w:ascii="Times New Roman" w:eastAsia="Calibri" w:hAnsi="Times New Roman" w:cs="Times New Roman"/>
          <w:iCs/>
          <w:sz w:val="24"/>
          <w:szCs w:val="24"/>
          <w:lang w:val="en-ZW"/>
        </w:rPr>
        <w:t xml:space="preserve">band who took occupation of it.  </w:t>
      </w:r>
      <w:r w:rsidR="00DB3953">
        <w:rPr>
          <w:rFonts w:ascii="Times New Roman" w:eastAsia="Calibri" w:hAnsi="Times New Roman" w:cs="Times New Roman"/>
          <w:iCs/>
          <w:sz w:val="24"/>
          <w:szCs w:val="24"/>
          <w:lang w:val="en-ZW"/>
        </w:rPr>
        <w:t>They have remained in such occupation throughout paying the monthly rentals electricity, rates and other charges.</w:t>
      </w:r>
    </w:p>
    <w:p w14:paraId="10C3FB7B" w14:textId="77777777" w:rsidR="00DB3953" w:rsidRDefault="00DB3953" w:rsidP="0056270A">
      <w:pPr>
        <w:spacing w:after="0" w:line="480" w:lineRule="auto"/>
        <w:ind w:firstLine="1134"/>
        <w:jc w:val="both"/>
        <w:rPr>
          <w:rFonts w:ascii="Times New Roman" w:eastAsia="Calibri" w:hAnsi="Times New Roman" w:cs="Times New Roman"/>
          <w:iCs/>
          <w:sz w:val="24"/>
          <w:szCs w:val="24"/>
          <w:lang w:val="en-ZW"/>
        </w:rPr>
      </w:pPr>
    </w:p>
    <w:p w14:paraId="61D264AB" w14:textId="3F3819C8" w:rsidR="003A2390" w:rsidRDefault="00DB3953" w:rsidP="00B321DC">
      <w:pPr>
        <w:spacing w:after="0" w:line="480" w:lineRule="auto"/>
        <w:ind w:firstLine="1134"/>
        <w:jc w:val="both"/>
        <w:rPr>
          <w:rFonts w:ascii="Times New Roman" w:eastAsia="Calibri" w:hAnsi="Times New Roman" w:cs="Times New Roman"/>
          <w:iCs/>
          <w:sz w:val="24"/>
          <w:szCs w:val="24"/>
          <w:lang w:val="en-ZW"/>
        </w:rPr>
      </w:pPr>
      <w:r>
        <w:rPr>
          <w:rFonts w:ascii="Times New Roman" w:eastAsia="Calibri" w:hAnsi="Times New Roman" w:cs="Times New Roman"/>
          <w:iCs/>
          <w:sz w:val="24"/>
          <w:szCs w:val="24"/>
          <w:lang w:val="en-ZW"/>
        </w:rPr>
        <w:t>The first respondent averred that about July 1980</w:t>
      </w:r>
      <w:r w:rsidR="00F27AD4">
        <w:rPr>
          <w:rFonts w:ascii="Times New Roman" w:eastAsia="Calibri" w:hAnsi="Times New Roman" w:cs="Times New Roman"/>
          <w:iCs/>
          <w:sz w:val="24"/>
          <w:szCs w:val="24"/>
          <w:lang w:val="en-ZW"/>
        </w:rPr>
        <w:t>,</w:t>
      </w:r>
      <w:r>
        <w:rPr>
          <w:rFonts w:ascii="Times New Roman" w:eastAsia="Calibri" w:hAnsi="Times New Roman" w:cs="Times New Roman"/>
          <w:iCs/>
          <w:sz w:val="24"/>
          <w:szCs w:val="24"/>
          <w:lang w:val="en-ZW"/>
        </w:rPr>
        <w:t xml:space="preserve"> </w:t>
      </w:r>
      <w:r w:rsidR="0016736C">
        <w:rPr>
          <w:rFonts w:ascii="Times New Roman" w:eastAsia="Calibri" w:hAnsi="Times New Roman" w:cs="Times New Roman"/>
          <w:iCs/>
          <w:sz w:val="24"/>
          <w:szCs w:val="24"/>
          <w:lang w:val="en-ZW"/>
        </w:rPr>
        <w:t>she</w:t>
      </w:r>
      <w:r>
        <w:rPr>
          <w:rFonts w:ascii="Times New Roman" w:eastAsia="Calibri" w:hAnsi="Times New Roman" w:cs="Times New Roman"/>
          <w:iCs/>
          <w:sz w:val="24"/>
          <w:szCs w:val="24"/>
          <w:lang w:val="en-ZW"/>
        </w:rPr>
        <w:t xml:space="preserve"> and her late husband made an offer to the City of Harare to purchase the house and commenced </w:t>
      </w:r>
      <w:r w:rsidR="00392480">
        <w:rPr>
          <w:rFonts w:ascii="Times New Roman" w:eastAsia="Calibri" w:hAnsi="Times New Roman" w:cs="Times New Roman"/>
          <w:iCs/>
          <w:sz w:val="24"/>
          <w:szCs w:val="24"/>
          <w:lang w:val="en-ZW"/>
        </w:rPr>
        <w:t>making payments towards the purchase</w:t>
      </w:r>
      <w:r>
        <w:rPr>
          <w:rFonts w:ascii="Times New Roman" w:eastAsia="Calibri" w:hAnsi="Times New Roman" w:cs="Times New Roman"/>
          <w:iCs/>
          <w:sz w:val="24"/>
          <w:szCs w:val="24"/>
          <w:lang w:val="en-ZW"/>
        </w:rPr>
        <w:t xml:space="preserve"> price which they later paid in full. </w:t>
      </w:r>
      <w:r w:rsidR="00162EF5">
        <w:rPr>
          <w:rFonts w:ascii="Times New Roman" w:eastAsia="Calibri" w:hAnsi="Times New Roman" w:cs="Times New Roman"/>
          <w:iCs/>
          <w:sz w:val="24"/>
          <w:szCs w:val="24"/>
          <w:lang w:val="en-ZW"/>
        </w:rPr>
        <w:t xml:space="preserve"> </w:t>
      </w:r>
      <w:r>
        <w:rPr>
          <w:rFonts w:ascii="Times New Roman" w:eastAsia="Calibri" w:hAnsi="Times New Roman" w:cs="Times New Roman"/>
          <w:iCs/>
          <w:sz w:val="24"/>
          <w:szCs w:val="24"/>
          <w:lang w:val="en-ZW"/>
        </w:rPr>
        <w:t>Upon payment of the full pur</w:t>
      </w:r>
      <w:r w:rsidR="00F27AD4">
        <w:rPr>
          <w:rFonts w:ascii="Times New Roman" w:eastAsia="Calibri" w:hAnsi="Times New Roman" w:cs="Times New Roman"/>
          <w:iCs/>
          <w:sz w:val="24"/>
          <w:szCs w:val="24"/>
          <w:lang w:val="en-ZW"/>
        </w:rPr>
        <w:t>chase</w:t>
      </w:r>
      <w:r>
        <w:rPr>
          <w:rFonts w:ascii="Times New Roman" w:eastAsia="Calibri" w:hAnsi="Times New Roman" w:cs="Times New Roman"/>
          <w:iCs/>
          <w:sz w:val="24"/>
          <w:szCs w:val="24"/>
          <w:lang w:val="en-ZW"/>
        </w:rPr>
        <w:t xml:space="preserve"> price, so the first respondent pleaded, the house was transferred to Joel and Grace Mandaza who refused to</w:t>
      </w:r>
      <w:r w:rsidR="00F27AD4">
        <w:rPr>
          <w:rFonts w:ascii="Times New Roman" w:eastAsia="Calibri" w:hAnsi="Times New Roman" w:cs="Times New Roman"/>
          <w:iCs/>
          <w:sz w:val="24"/>
          <w:szCs w:val="24"/>
          <w:lang w:val="en-ZW"/>
        </w:rPr>
        <w:t xml:space="preserve"> honour</w:t>
      </w:r>
      <w:r>
        <w:rPr>
          <w:rFonts w:ascii="Times New Roman" w:eastAsia="Calibri" w:hAnsi="Times New Roman" w:cs="Times New Roman"/>
          <w:iCs/>
          <w:sz w:val="24"/>
          <w:szCs w:val="24"/>
          <w:lang w:val="en-ZW"/>
        </w:rPr>
        <w:t xml:space="preserve"> </w:t>
      </w:r>
      <w:r>
        <w:rPr>
          <w:rFonts w:ascii="Times New Roman" w:eastAsia="Calibri" w:hAnsi="Times New Roman" w:cs="Times New Roman"/>
          <w:iCs/>
          <w:sz w:val="24"/>
          <w:szCs w:val="24"/>
          <w:lang w:val="en-ZW"/>
        </w:rPr>
        <w:lastRenderedPageBreak/>
        <w:t xml:space="preserve">their undertaking to transfer it into her name and that of her late husband </w:t>
      </w:r>
      <w:r w:rsidR="00F27AD4">
        <w:rPr>
          <w:rFonts w:ascii="Times New Roman" w:eastAsia="Calibri" w:hAnsi="Times New Roman" w:cs="Times New Roman"/>
          <w:iCs/>
          <w:sz w:val="24"/>
          <w:szCs w:val="24"/>
          <w:lang w:val="en-ZW"/>
        </w:rPr>
        <w:t>until her late husband</w:t>
      </w:r>
      <w:r>
        <w:rPr>
          <w:rFonts w:ascii="Times New Roman" w:eastAsia="Calibri" w:hAnsi="Times New Roman" w:cs="Times New Roman"/>
          <w:iCs/>
          <w:sz w:val="24"/>
          <w:szCs w:val="24"/>
          <w:lang w:val="en-ZW"/>
        </w:rPr>
        <w:t xml:space="preserve"> died on 22 November 2009. Joel Mandaza later died on 26 January 2011 without</w:t>
      </w:r>
      <w:r w:rsidR="00B4417A">
        <w:rPr>
          <w:rFonts w:ascii="Times New Roman" w:eastAsia="Calibri" w:hAnsi="Times New Roman" w:cs="Times New Roman"/>
          <w:iCs/>
          <w:sz w:val="24"/>
          <w:szCs w:val="24"/>
          <w:lang w:val="en-ZW"/>
        </w:rPr>
        <w:t xml:space="preserve"> so</w:t>
      </w:r>
      <w:r>
        <w:rPr>
          <w:rFonts w:ascii="Times New Roman" w:eastAsia="Calibri" w:hAnsi="Times New Roman" w:cs="Times New Roman"/>
          <w:iCs/>
          <w:sz w:val="24"/>
          <w:szCs w:val="24"/>
          <w:lang w:val="en-ZW"/>
        </w:rPr>
        <w:t xml:space="preserve"> transferring the house.  </w:t>
      </w:r>
    </w:p>
    <w:p w14:paraId="49A57E5D" w14:textId="77777777" w:rsidR="00B121C0" w:rsidRDefault="00B121C0" w:rsidP="00B321DC">
      <w:pPr>
        <w:spacing w:after="0" w:line="480" w:lineRule="auto"/>
        <w:ind w:firstLine="1134"/>
        <w:jc w:val="both"/>
        <w:rPr>
          <w:rFonts w:ascii="Times New Roman" w:eastAsia="Calibri" w:hAnsi="Times New Roman" w:cs="Times New Roman"/>
          <w:iCs/>
          <w:sz w:val="24"/>
          <w:szCs w:val="24"/>
          <w:lang w:val="en-ZW"/>
        </w:rPr>
      </w:pPr>
    </w:p>
    <w:p w14:paraId="7E9D2BE3" w14:textId="6641DC67" w:rsidR="003A2390" w:rsidRDefault="003A2390" w:rsidP="0056270A">
      <w:pPr>
        <w:spacing w:after="0" w:line="480" w:lineRule="auto"/>
        <w:ind w:firstLine="1134"/>
        <w:jc w:val="both"/>
        <w:rPr>
          <w:rFonts w:ascii="Times New Roman" w:eastAsia="Calibri" w:hAnsi="Times New Roman" w:cs="Times New Roman"/>
          <w:iCs/>
          <w:sz w:val="24"/>
          <w:szCs w:val="24"/>
          <w:lang w:val="en-ZW"/>
        </w:rPr>
      </w:pPr>
      <w:r>
        <w:rPr>
          <w:rFonts w:ascii="Times New Roman" w:eastAsia="Calibri" w:hAnsi="Times New Roman" w:cs="Times New Roman"/>
          <w:iCs/>
          <w:sz w:val="24"/>
          <w:szCs w:val="24"/>
          <w:lang w:val="en-ZW"/>
        </w:rPr>
        <w:t xml:space="preserve">Finally, the first respondent averred that after the death of Joel Mandaza, the late Grace Mandaza sought the authority of the second respondent to sell the house. </w:t>
      </w:r>
      <w:r w:rsidR="00162EF5">
        <w:rPr>
          <w:rFonts w:ascii="Times New Roman" w:eastAsia="Calibri" w:hAnsi="Times New Roman" w:cs="Times New Roman"/>
          <w:iCs/>
          <w:sz w:val="24"/>
          <w:szCs w:val="24"/>
          <w:lang w:val="en-ZW"/>
        </w:rPr>
        <w:t xml:space="preserve"> </w:t>
      </w:r>
      <w:r>
        <w:rPr>
          <w:rFonts w:ascii="Times New Roman" w:eastAsia="Calibri" w:hAnsi="Times New Roman" w:cs="Times New Roman"/>
          <w:iCs/>
          <w:sz w:val="24"/>
          <w:szCs w:val="24"/>
          <w:lang w:val="en-ZW"/>
        </w:rPr>
        <w:t>Alleging to be the rightful owner of the house, the first respondent craved the grant of an order aforesaid.</w:t>
      </w:r>
    </w:p>
    <w:p w14:paraId="7D184784" w14:textId="77777777" w:rsidR="003A2390" w:rsidRDefault="003A2390" w:rsidP="0056270A">
      <w:pPr>
        <w:spacing w:after="0" w:line="480" w:lineRule="auto"/>
        <w:ind w:firstLine="1134"/>
        <w:jc w:val="both"/>
        <w:rPr>
          <w:rFonts w:ascii="Times New Roman" w:eastAsia="Calibri" w:hAnsi="Times New Roman" w:cs="Times New Roman"/>
          <w:iCs/>
          <w:sz w:val="24"/>
          <w:szCs w:val="24"/>
          <w:lang w:val="en-ZW"/>
        </w:rPr>
      </w:pPr>
    </w:p>
    <w:p w14:paraId="006D347A" w14:textId="07B157F4" w:rsidR="003A2390" w:rsidRDefault="003A2390" w:rsidP="0056270A">
      <w:pPr>
        <w:spacing w:after="0" w:line="480" w:lineRule="auto"/>
        <w:ind w:firstLine="1134"/>
        <w:jc w:val="both"/>
        <w:rPr>
          <w:rFonts w:ascii="Times New Roman" w:eastAsia="Calibri" w:hAnsi="Times New Roman" w:cs="Times New Roman"/>
          <w:iCs/>
          <w:sz w:val="24"/>
          <w:szCs w:val="24"/>
          <w:lang w:val="en-ZW"/>
        </w:rPr>
      </w:pPr>
      <w:r>
        <w:rPr>
          <w:rFonts w:ascii="Times New Roman" w:eastAsia="Calibri" w:hAnsi="Times New Roman" w:cs="Times New Roman"/>
          <w:iCs/>
          <w:sz w:val="24"/>
          <w:szCs w:val="24"/>
          <w:lang w:val="en-ZW"/>
        </w:rPr>
        <w:t xml:space="preserve">The claim was contested by the appellants who filed a plea in abatement on the basis of prescription. </w:t>
      </w:r>
      <w:r w:rsidR="00162EF5">
        <w:rPr>
          <w:rFonts w:ascii="Times New Roman" w:eastAsia="Calibri" w:hAnsi="Times New Roman" w:cs="Times New Roman"/>
          <w:iCs/>
          <w:sz w:val="24"/>
          <w:szCs w:val="24"/>
          <w:lang w:val="en-ZW"/>
        </w:rPr>
        <w:t xml:space="preserve"> </w:t>
      </w:r>
      <w:r>
        <w:rPr>
          <w:rFonts w:ascii="Times New Roman" w:eastAsia="Calibri" w:hAnsi="Times New Roman" w:cs="Times New Roman"/>
          <w:iCs/>
          <w:sz w:val="24"/>
          <w:szCs w:val="24"/>
          <w:lang w:val="en-ZW"/>
        </w:rPr>
        <w:t xml:space="preserve">The plea in abatement is reproduced below: </w:t>
      </w:r>
    </w:p>
    <w:p w14:paraId="7407393D" w14:textId="6F87C458" w:rsidR="003A2390" w:rsidRDefault="003A2390" w:rsidP="00162EF5">
      <w:pPr>
        <w:spacing w:after="0" w:line="240" w:lineRule="auto"/>
        <w:ind w:left="810" w:hanging="90"/>
        <w:jc w:val="both"/>
        <w:rPr>
          <w:rFonts w:ascii="Times New Roman" w:eastAsia="Calibri" w:hAnsi="Times New Roman" w:cs="Times New Roman"/>
          <w:iCs/>
          <w:sz w:val="24"/>
          <w:szCs w:val="24"/>
          <w:lang w:val="en-ZW"/>
        </w:rPr>
      </w:pPr>
      <w:r>
        <w:rPr>
          <w:rFonts w:ascii="Times New Roman" w:eastAsia="Calibri" w:hAnsi="Times New Roman" w:cs="Times New Roman"/>
          <w:iCs/>
          <w:sz w:val="24"/>
          <w:szCs w:val="24"/>
          <w:lang w:val="en-ZW"/>
        </w:rPr>
        <w:t>“</w:t>
      </w:r>
      <w:r w:rsidR="00104D43" w:rsidRPr="00162EF5">
        <w:rPr>
          <w:rFonts w:ascii="Times New Roman" w:eastAsia="Calibri" w:hAnsi="Times New Roman" w:cs="Times New Roman"/>
          <w:b/>
          <w:iCs/>
          <w:sz w:val="24"/>
          <w:szCs w:val="24"/>
          <w:lang w:val="en-ZW"/>
        </w:rPr>
        <w:t>TAKE NOTICE THAT</w:t>
      </w:r>
      <w:r w:rsidR="00392480">
        <w:rPr>
          <w:rFonts w:ascii="Times New Roman" w:eastAsia="Calibri" w:hAnsi="Times New Roman" w:cs="Times New Roman"/>
          <w:iCs/>
          <w:sz w:val="24"/>
          <w:szCs w:val="24"/>
          <w:lang w:val="en-ZW"/>
        </w:rPr>
        <w:t xml:space="preserve"> the first and</w:t>
      </w:r>
      <w:r>
        <w:rPr>
          <w:rFonts w:ascii="Times New Roman" w:eastAsia="Calibri" w:hAnsi="Times New Roman" w:cs="Times New Roman"/>
          <w:iCs/>
          <w:sz w:val="24"/>
          <w:szCs w:val="24"/>
          <w:lang w:val="en-ZW"/>
        </w:rPr>
        <w:t xml:space="preserve"> second defendants plead in abatement that the debt is prescribed in that:</w:t>
      </w:r>
    </w:p>
    <w:p w14:paraId="0FBF367E" w14:textId="75B4F449" w:rsidR="00104D43" w:rsidRDefault="003A2390" w:rsidP="0086294A">
      <w:pPr>
        <w:pStyle w:val="ListParagraph"/>
        <w:numPr>
          <w:ilvl w:val="0"/>
          <w:numId w:val="13"/>
        </w:numPr>
        <w:spacing w:after="0" w:line="240" w:lineRule="auto"/>
        <w:ind w:left="1134" w:hanging="283"/>
        <w:jc w:val="both"/>
        <w:rPr>
          <w:rFonts w:ascii="Times New Roman" w:eastAsia="Calibri" w:hAnsi="Times New Roman" w:cs="Times New Roman"/>
          <w:iCs/>
          <w:sz w:val="24"/>
          <w:szCs w:val="24"/>
          <w:lang w:val="en-ZW"/>
        </w:rPr>
      </w:pPr>
      <w:r>
        <w:rPr>
          <w:rFonts w:ascii="Times New Roman" w:eastAsia="Calibri" w:hAnsi="Times New Roman" w:cs="Times New Roman"/>
          <w:iCs/>
          <w:sz w:val="24"/>
          <w:szCs w:val="24"/>
          <w:lang w:val="en-ZW"/>
        </w:rPr>
        <w:t>The plaintiff for all purposes beca</w:t>
      </w:r>
      <w:r w:rsidR="00860BCD">
        <w:rPr>
          <w:rFonts w:ascii="Times New Roman" w:eastAsia="Calibri" w:hAnsi="Times New Roman" w:cs="Times New Roman"/>
          <w:iCs/>
          <w:sz w:val="24"/>
          <w:szCs w:val="24"/>
          <w:lang w:val="en-ZW"/>
        </w:rPr>
        <w:t>me</w:t>
      </w:r>
      <w:r>
        <w:rPr>
          <w:rFonts w:ascii="Times New Roman" w:eastAsia="Calibri" w:hAnsi="Times New Roman" w:cs="Times New Roman"/>
          <w:iCs/>
          <w:sz w:val="24"/>
          <w:szCs w:val="24"/>
          <w:lang w:val="en-ZW"/>
        </w:rPr>
        <w:t xml:space="preserve"> aware of the debt, </w:t>
      </w:r>
      <w:r w:rsidR="004C675F">
        <w:rPr>
          <w:rFonts w:ascii="Times New Roman" w:eastAsia="Calibri" w:hAnsi="Times New Roman" w:cs="Times New Roman"/>
          <w:iCs/>
          <w:sz w:val="24"/>
          <w:szCs w:val="24"/>
          <w:lang w:val="en-ZW"/>
        </w:rPr>
        <w:t>if any</w:t>
      </w:r>
      <w:r w:rsidR="00104D43">
        <w:rPr>
          <w:rFonts w:ascii="Times New Roman" w:eastAsia="Calibri" w:hAnsi="Times New Roman" w:cs="Times New Roman"/>
          <w:iCs/>
          <w:sz w:val="24"/>
          <w:szCs w:val="24"/>
          <w:lang w:val="en-ZW"/>
        </w:rPr>
        <w:t xml:space="preserve">, in 1980 at most when it became possible to purchase a house without a marriage certificate. </w:t>
      </w:r>
    </w:p>
    <w:p w14:paraId="06EBC649" w14:textId="77777777" w:rsidR="00104D43" w:rsidRDefault="00104D43" w:rsidP="0086294A">
      <w:pPr>
        <w:pStyle w:val="ListParagraph"/>
        <w:numPr>
          <w:ilvl w:val="0"/>
          <w:numId w:val="13"/>
        </w:numPr>
        <w:spacing w:after="0" w:line="240" w:lineRule="auto"/>
        <w:ind w:left="1134" w:hanging="283"/>
        <w:jc w:val="both"/>
        <w:rPr>
          <w:rFonts w:ascii="Times New Roman" w:eastAsia="Calibri" w:hAnsi="Times New Roman" w:cs="Times New Roman"/>
          <w:iCs/>
          <w:sz w:val="24"/>
          <w:szCs w:val="24"/>
          <w:lang w:val="en-ZW"/>
        </w:rPr>
      </w:pPr>
      <w:r>
        <w:rPr>
          <w:rFonts w:ascii="Times New Roman" w:eastAsia="Calibri" w:hAnsi="Times New Roman" w:cs="Times New Roman"/>
          <w:iCs/>
          <w:sz w:val="24"/>
          <w:szCs w:val="24"/>
          <w:lang w:val="en-ZW"/>
        </w:rPr>
        <w:t xml:space="preserve">The prescription period of this type of debt is 3 years. </w:t>
      </w:r>
    </w:p>
    <w:p w14:paraId="5F593C04" w14:textId="5A5C7C99" w:rsidR="00104D43" w:rsidRDefault="00104D43" w:rsidP="0086294A">
      <w:pPr>
        <w:pStyle w:val="ListParagraph"/>
        <w:numPr>
          <w:ilvl w:val="0"/>
          <w:numId w:val="13"/>
        </w:numPr>
        <w:spacing w:after="0" w:line="240" w:lineRule="auto"/>
        <w:ind w:left="1134" w:hanging="283"/>
        <w:jc w:val="both"/>
        <w:rPr>
          <w:rFonts w:ascii="Times New Roman" w:eastAsia="Calibri" w:hAnsi="Times New Roman" w:cs="Times New Roman"/>
          <w:iCs/>
          <w:sz w:val="24"/>
          <w:szCs w:val="24"/>
          <w:lang w:val="en-ZW"/>
        </w:rPr>
      </w:pPr>
      <w:r>
        <w:rPr>
          <w:rFonts w:ascii="Times New Roman" w:eastAsia="Calibri" w:hAnsi="Times New Roman" w:cs="Times New Roman"/>
          <w:iCs/>
          <w:sz w:val="24"/>
          <w:szCs w:val="24"/>
          <w:lang w:val="en-ZW"/>
        </w:rPr>
        <w:t>The period of prescription was never interrupted or delayed at the relevant time and t</w:t>
      </w:r>
      <w:r w:rsidR="004C675F">
        <w:rPr>
          <w:rFonts w:ascii="Times New Roman" w:eastAsia="Calibri" w:hAnsi="Times New Roman" w:cs="Times New Roman"/>
          <w:iCs/>
          <w:sz w:val="24"/>
          <w:szCs w:val="24"/>
          <w:lang w:val="en-ZW"/>
        </w:rPr>
        <w:t>he debt effectively prescribed</w:t>
      </w:r>
      <w:r>
        <w:rPr>
          <w:rFonts w:ascii="Times New Roman" w:eastAsia="Calibri" w:hAnsi="Times New Roman" w:cs="Times New Roman"/>
          <w:iCs/>
          <w:sz w:val="24"/>
          <w:szCs w:val="24"/>
          <w:lang w:val="en-ZW"/>
        </w:rPr>
        <w:t xml:space="preserve"> at most in 1984. </w:t>
      </w:r>
    </w:p>
    <w:p w14:paraId="20F52C38" w14:textId="77777777" w:rsidR="00104D43" w:rsidRDefault="00104D43" w:rsidP="00104D43">
      <w:pPr>
        <w:spacing w:after="0" w:line="240" w:lineRule="auto"/>
        <w:jc w:val="both"/>
        <w:rPr>
          <w:rFonts w:ascii="Times New Roman" w:eastAsia="Calibri" w:hAnsi="Times New Roman" w:cs="Times New Roman"/>
          <w:iCs/>
          <w:sz w:val="24"/>
          <w:szCs w:val="24"/>
          <w:lang w:val="en-ZW"/>
        </w:rPr>
      </w:pPr>
    </w:p>
    <w:p w14:paraId="01021796" w14:textId="26A6E359" w:rsidR="003A2390" w:rsidRDefault="00104D43" w:rsidP="0086294A">
      <w:pPr>
        <w:spacing w:after="0" w:line="240" w:lineRule="auto"/>
        <w:ind w:left="1134" w:hanging="567"/>
        <w:jc w:val="both"/>
        <w:rPr>
          <w:rFonts w:ascii="Times New Roman" w:eastAsia="Calibri" w:hAnsi="Times New Roman" w:cs="Times New Roman"/>
          <w:iCs/>
          <w:sz w:val="24"/>
          <w:szCs w:val="24"/>
          <w:lang w:val="en-ZW"/>
        </w:rPr>
      </w:pPr>
      <w:r w:rsidRPr="00162EF5">
        <w:rPr>
          <w:rFonts w:ascii="Times New Roman" w:eastAsia="Calibri" w:hAnsi="Times New Roman" w:cs="Times New Roman"/>
          <w:b/>
          <w:iCs/>
          <w:sz w:val="24"/>
          <w:szCs w:val="24"/>
          <w:lang w:val="en-ZW"/>
        </w:rPr>
        <w:t>WHEREFORE</w:t>
      </w:r>
      <w:r>
        <w:rPr>
          <w:rFonts w:ascii="Times New Roman" w:eastAsia="Calibri" w:hAnsi="Times New Roman" w:cs="Times New Roman"/>
          <w:iCs/>
          <w:sz w:val="24"/>
          <w:szCs w:val="24"/>
          <w:lang w:val="en-ZW"/>
        </w:rPr>
        <w:t xml:space="preserve"> the defendant (sic) prays that the plaintiff’s claim be dismissed with costs.” </w:t>
      </w:r>
      <w:r w:rsidR="003A2390" w:rsidRPr="00104D43">
        <w:rPr>
          <w:rFonts w:ascii="Times New Roman" w:eastAsia="Calibri" w:hAnsi="Times New Roman" w:cs="Times New Roman"/>
          <w:iCs/>
          <w:sz w:val="24"/>
          <w:szCs w:val="24"/>
          <w:lang w:val="en-ZW"/>
        </w:rPr>
        <w:t xml:space="preserve">  </w:t>
      </w:r>
    </w:p>
    <w:p w14:paraId="0FDB5927" w14:textId="77777777" w:rsidR="00104D43" w:rsidRDefault="00104D43" w:rsidP="00104D43">
      <w:pPr>
        <w:spacing w:after="0" w:line="240" w:lineRule="auto"/>
        <w:ind w:left="1134"/>
        <w:jc w:val="both"/>
        <w:rPr>
          <w:rFonts w:ascii="Times New Roman" w:eastAsia="Calibri" w:hAnsi="Times New Roman" w:cs="Times New Roman"/>
          <w:iCs/>
          <w:sz w:val="24"/>
          <w:szCs w:val="24"/>
          <w:lang w:val="en-ZW"/>
        </w:rPr>
      </w:pPr>
    </w:p>
    <w:p w14:paraId="47B5588F" w14:textId="77777777" w:rsidR="00104D43" w:rsidRDefault="00104D43" w:rsidP="0086294A">
      <w:pPr>
        <w:spacing w:after="0" w:line="360" w:lineRule="auto"/>
        <w:ind w:firstLine="1134"/>
        <w:jc w:val="both"/>
        <w:rPr>
          <w:rFonts w:ascii="Times New Roman" w:eastAsia="Calibri" w:hAnsi="Times New Roman" w:cs="Times New Roman"/>
          <w:iCs/>
          <w:sz w:val="24"/>
          <w:szCs w:val="24"/>
          <w:lang w:val="en-ZW"/>
        </w:rPr>
      </w:pPr>
    </w:p>
    <w:p w14:paraId="3FC0F68E" w14:textId="3EE30BED" w:rsidR="00104D43" w:rsidRDefault="00104D43" w:rsidP="00104D43">
      <w:pPr>
        <w:spacing w:after="0" w:line="480" w:lineRule="auto"/>
        <w:ind w:firstLine="1134"/>
        <w:jc w:val="both"/>
        <w:rPr>
          <w:rFonts w:ascii="Times New Roman" w:eastAsia="Calibri" w:hAnsi="Times New Roman" w:cs="Times New Roman"/>
          <w:iCs/>
          <w:sz w:val="24"/>
          <w:szCs w:val="24"/>
          <w:lang w:val="en-ZW"/>
        </w:rPr>
      </w:pPr>
      <w:r>
        <w:rPr>
          <w:rFonts w:ascii="Times New Roman" w:eastAsia="Calibri" w:hAnsi="Times New Roman" w:cs="Times New Roman"/>
          <w:iCs/>
          <w:sz w:val="24"/>
          <w:szCs w:val="24"/>
          <w:lang w:val="en-ZW"/>
        </w:rPr>
        <w:t>The appellant</w:t>
      </w:r>
      <w:r w:rsidR="00F47377">
        <w:rPr>
          <w:rFonts w:ascii="Times New Roman" w:eastAsia="Calibri" w:hAnsi="Times New Roman" w:cs="Times New Roman"/>
          <w:iCs/>
          <w:sz w:val="24"/>
          <w:szCs w:val="24"/>
          <w:lang w:val="en-ZW"/>
        </w:rPr>
        <w:t>s</w:t>
      </w:r>
      <w:r>
        <w:rPr>
          <w:rFonts w:ascii="Times New Roman" w:eastAsia="Calibri" w:hAnsi="Times New Roman" w:cs="Times New Roman"/>
          <w:iCs/>
          <w:sz w:val="24"/>
          <w:szCs w:val="24"/>
          <w:lang w:val="en-ZW"/>
        </w:rPr>
        <w:t xml:space="preserve"> also pleaded over on the merits denying complete</w:t>
      </w:r>
      <w:r w:rsidR="004C675F">
        <w:rPr>
          <w:rFonts w:ascii="Times New Roman" w:eastAsia="Calibri" w:hAnsi="Times New Roman" w:cs="Times New Roman"/>
          <w:iCs/>
          <w:sz w:val="24"/>
          <w:szCs w:val="24"/>
          <w:lang w:val="en-ZW"/>
        </w:rPr>
        <w:t>ly</w:t>
      </w:r>
      <w:r>
        <w:rPr>
          <w:rFonts w:ascii="Times New Roman" w:eastAsia="Calibri" w:hAnsi="Times New Roman" w:cs="Times New Roman"/>
          <w:iCs/>
          <w:sz w:val="24"/>
          <w:szCs w:val="24"/>
          <w:lang w:val="en-ZW"/>
        </w:rPr>
        <w:t xml:space="preserve"> that the house was applied for by the first respondent and her late husband. </w:t>
      </w:r>
      <w:r w:rsidR="00162EF5">
        <w:rPr>
          <w:rFonts w:ascii="Times New Roman" w:eastAsia="Calibri" w:hAnsi="Times New Roman" w:cs="Times New Roman"/>
          <w:iCs/>
          <w:sz w:val="24"/>
          <w:szCs w:val="24"/>
          <w:lang w:val="en-ZW"/>
        </w:rPr>
        <w:t xml:space="preserve"> </w:t>
      </w:r>
      <w:r>
        <w:rPr>
          <w:rFonts w:ascii="Times New Roman" w:eastAsia="Calibri" w:hAnsi="Times New Roman" w:cs="Times New Roman"/>
          <w:iCs/>
          <w:sz w:val="24"/>
          <w:szCs w:val="24"/>
          <w:lang w:val="en-ZW"/>
        </w:rPr>
        <w:t xml:space="preserve">They averred that it </w:t>
      </w:r>
      <w:r w:rsidR="00C3634F">
        <w:rPr>
          <w:rFonts w:ascii="Times New Roman" w:eastAsia="Calibri" w:hAnsi="Times New Roman" w:cs="Times New Roman"/>
          <w:iCs/>
          <w:sz w:val="24"/>
          <w:szCs w:val="24"/>
          <w:lang w:val="en-ZW"/>
        </w:rPr>
        <w:t>is</w:t>
      </w:r>
      <w:r>
        <w:rPr>
          <w:rFonts w:ascii="Times New Roman" w:eastAsia="Calibri" w:hAnsi="Times New Roman" w:cs="Times New Roman"/>
          <w:iCs/>
          <w:sz w:val="24"/>
          <w:szCs w:val="24"/>
          <w:lang w:val="en-ZW"/>
        </w:rPr>
        <w:t xml:space="preserve"> the</w:t>
      </w:r>
      <w:r w:rsidR="00915DC2">
        <w:rPr>
          <w:rFonts w:ascii="Times New Roman" w:eastAsia="Calibri" w:hAnsi="Times New Roman" w:cs="Times New Roman"/>
          <w:iCs/>
          <w:sz w:val="24"/>
          <w:szCs w:val="24"/>
          <w:lang w:val="en-ZW"/>
        </w:rPr>
        <w:t>m who applied for and purchased the</w:t>
      </w:r>
      <w:r>
        <w:rPr>
          <w:rFonts w:ascii="Times New Roman" w:eastAsia="Calibri" w:hAnsi="Times New Roman" w:cs="Times New Roman"/>
          <w:iCs/>
          <w:sz w:val="24"/>
          <w:szCs w:val="24"/>
          <w:lang w:val="en-ZW"/>
        </w:rPr>
        <w:t xml:space="preserve"> house </w:t>
      </w:r>
      <w:r w:rsidR="00C3634F">
        <w:rPr>
          <w:rFonts w:ascii="Times New Roman" w:eastAsia="Calibri" w:hAnsi="Times New Roman" w:cs="Times New Roman"/>
          <w:iCs/>
          <w:sz w:val="24"/>
          <w:szCs w:val="24"/>
          <w:lang w:val="en-ZW"/>
        </w:rPr>
        <w:t>which</w:t>
      </w:r>
      <w:r>
        <w:rPr>
          <w:rFonts w:ascii="Times New Roman" w:eastAsia="Calibri" w:hAnsi="Times New Roman" w:cs="Times New Roman"/>
          <w:iCs/>
          <w:sz w:val="24"/>
          <w:szCs w:val="24"/>
          <w:lang w:val="en-ZW"/>
        </w:rPr>
        <w:t xml:space="preserve"> house legally belongs to them. </w:t>
      </w:r>
    </w:p>
    <w:p w14:paraId="14B673B7" w14:textId="77777777" w:rsidR="00104D43" w:rsidRDefault="00104D43" w:rsidP="0086294A">
      <w:pPr>
        <w:spacing w:after="0" w:line="360" w:lineRule="auto"/>
        <w:ind w:firstLine="1134"/>
        <w:jc w:val="both"/>
        <w:rPr>
          <w:rFonts w:ascii="Times New Roman" w:eastAsia="Calibri" w:hAnsi="Times New Roman" w:cs="Times New Roman"/>
          <w:iCs/>
          <w:sz w:val="24"/>
          <w:szCs w:val="24"/>
          <w:lang w:val="en-ZW"/>
        </w:rPr>
      </w:pPr>
    </w:p>
    <w:p w14:paraId="1302DF48" w14:textId="77777777" w:rsidR="0086294A" w:rsidRDefault="00104D43" w:rsidP="0086294A">
      <w:pPr>
        <w:spacing w:after="0" w:line="480" w:lineRule="auto"/>
        <w:ind w:firstLine="1134"/>
        <w:jc w:val="both"/>
        <w:rPr>
          <w:rFonts w:ascii="Times New Roman" w:eastAsia="Calibri" w:hAnsi="Times New Roman" w:cs="Times New Roman"/>
          <w:iCs/>
          <w:sz w:val="24"/>
          <w:szCs w:val="24"/>
          <w:lang w:val="en-ZW"/>
        </w:rPr>
      </w:pPr>
      <w:r>
        <w:rPr>
          <w:rFonts w:ascii="Times New Roman" w:eastAsia="Calibri" w:hAnsi="Times New Roman" w:cs="Times New Roman"/>
          <w:iCs/>
          <w:sz w:val="24"/>
          <w:szCs w:val="24"/>
          <w:lang w:val="en-ZW"/>
        </w:rPr>
        <w:t xml:space="preserve">In due course the dispute was referred to trial on two issues namely: </w:t>
      </w:r>
    </w:p>
    <w:p w14:paraId="7943FAB8" w14:textId="77777777" w:rsidR="0086294A" w:rsidRDefault="00104D43" w:rsidP="0086294A">
      <w:pPr>
        <w:spacing w:after="0" w:line="240" w:lineRule="auto"/>
        <w:ind w:firstLine="567"/>
        <w:jc w:val="both"/>
        <w:rPr>
          <w:rFonts w:ascii="Times New Roman" w:eastAsia="Calibri" w:hAnsi="Times New Roman" w:cs="Times New Roman"/>
          <w:iCs/>
          <w:sz w:val="24"/>
          <w:szCs w:val="24"/>
          <w:lang w:val="en-ZW"/>
        </w:rPr>
      </w:pPr>
      <w:r>
        <w:rPr>
          <w:rFonts w:ascii="Times New Roman" w:eastAsia="Calibri" w:hAnsi="Times New Roman" w:cs="Times New Roman"/>
          <w:iCs/>
          <w:sz w:val="24"/>
          <w:szCs w:val="24"/>
          <w:lang w:val="en-ZW"/>
        </w:rPr>
        <w:t xml:space="preserve">“1. Whether or not the plaintiff’s claim has prescribed. </w:t>
      </w:r>
    </w:p>
    <w:p w14:paraId="2442DB12" w14:textId="100FBD69" w:rsidR="00104D43" w:rsidRDefault="00104D43" w:rsidP="00162EF5">
      <w:pPr>
        <w:spacing w:after="0" w:line="240" w:lineRule="auto"/>
        <w:ind w:left="851" w:hanging="221"/>
        <w:jc w:val="both"/>
        <w:rPr>
          <w:rFonts w:ascii="Times New Roman" w:eastAsia="Calibri" w:hAnsi="Times New Roman" w:cs="Times New Roman"/>
          <w:iCs/>
          <w:sz w:val="24"/>
          <w:szCs w:val="24"/>
          <w:lang w:val="en-ZW"/>
        </w:rPr>
      </w:pPr>
      <w:r>
        <w:rPr>
          <w:rFonts w:ascii="Times New Roman" w:eastAsia="Calibri" w:hAnsi="Times New Roman" w:cs="Times New Roman"/>
          <w:iCs/>
          <w:sz w:val="24"/>
          <w:szCs w:val="24"/>
          <w:lang w:val="en-ZW"/>
        </w:rPr>
        <w:t>2.</w:t>
      </w:r>
      <w:r w:rsidR="00056A66">
        <w:rPr>
          <w:rFonts w:ascii="Times New Roman" w:eastAsia="Calibri" w:hAnsi="Times New Roman" w:cs="Times New Roman"/>
          <w:iCs/>
          <w:sz w:val="24"/>
          <w:szCs w:val="24"/>
          <w:lang w:val="en-ZW"/>
        </w:rPr>
        <w:t xml:space="preserve"> </w:t>
      </w:r>
      <w:r>
        <w:rPr>
          <w:rFonts w:ascii="Times New Roman" w:eastAsia="Calibri" w:hAnsi="Times New Roman" w:cs="Times New Roman"/>
          <w:iCs/>
          <w:sz w:val="24"/>
          <w:szCs w:val="24"/>
          <w:lang w:val="en-ZW"/>
        </w:rPr>
        <w:t xml:space="preserve">Who is the </w:t>
      </w:r>
      <w:r w:rsidR="00056A66">
        <w:rPr>
          <w:rFonts w:ascii="Times New Roman" w:eastAsia="Calibri" w:hAnsi="Times New Roman" w:cs="Times New Roman"/>
          <w:iCs/>
          <w:sz w:val="24"/>
          <w:szCs w:val="24"/>
          <w:lang w:val="en-ZW"/>
        </w:rPr>
        <w:t xml:space="preserve">true owner of the immovable property being </w:t>
      </w:r>
      <w:r w:rsidR="00A10886">
        <w:rPr>
          <w:rFonts w:ascii="Times New Roman" w:eastAsia="Calibri" w:hAnsi="Times New Roman" w:cs="Times New Roman"/>
          <w:iCs/>
          <w:sz w:val="24"/>
          <w:szCs w:val="24"/>
          <w:lang w:val="en-ZW"/>
        </w:rPr>
        <w:t>S</w:t>
      </w:r>
      <w:r w:rsidR="00056A66">
        <w:rPr>
          <w:rFonts w:ascii="Times New Roman" w:eastAsia="Calibri" w:hAnsi="Times New Roman" w:cs="Times New Roman"/>
          <w:iCs/>
          <w:sz w:val="24"/>
          <w:szCs w:val="24"/>
          <w:lang w:val="en-ZW"/>
        </w:rPr>
        <w:t xml:space="preserve">tand 3973 Highfield Township in the District of </w:t>
      </w:r>
      <w:r w:rsidR="0086294A">
        <w:rPr>
          <w:rFonts w:ascii="Times New Roman" w:eastAsia="Calibri" w:hAnsi="Times New Roman" w:cs="Times New Roman"/>
          <w:iCs/>
          <w:sz w:val="24"/>
          <w:szCs w:val="24"/>
          <w:lang w:val="en-ZW"/>
        </w:rPr>
        <w:t>Salisbury.</w:t>
      </w:r>
      <w:r w:rsidR="00056A66">
        <w:rPr>
          <w:rFonts w:ascii="Times New Roman" w:eastAsia="Calibri" w:hAnsi="Times New Roman" w:cs="Times New Roman"/>
          <w:iCs/>
          <w:sz w:val="24"/>
          <w:szCs w:val="24"/>
          <w:lang w:val="en-ZW"/>
        </w:rPr>
        <w:t xml:space="preserve">”  </w:t>
      </w:r>
    </w:p>
    <w:p w14:paraId="423784D7" w14:textId="77777777" w:rsidR="00B321DC" w:rsidRDefault="00B321DC" w:rsidP="00056A66">
      <w:pPr>
        <w:spacing w:after="0" w:line="480" w:lineRule="auto"/>
        <w:ind w:firstLine="1134"/>
        <w:jc w:val="both"/>
        <w:rPr>
          <w:rFonts w:ascii="Times New Roman" w:eastAsia="Calibri" w:hAnsi="Times New Roman" w:cs="Times New Roman"/>
          <w:iCs/>
          <w:sz w:val="24"/>
          <w:szCs w:val="24"/>
          <w:lang w:val="en-ZW"/>
        </w:rPr>
      </w:pPr>
    </w:p>
    <w:p w14:paraId="490335B6" w14:textId="13A614F1" w:rsidR="00056A66" w:rsidRDefault="00056A66" w:rsidP="00056A66">
      <w:pPr>
        <w:spacing w:after="0" w:line="480" w:lineRule="auto"/>
        <w:ind w:firstLine="1134"/>
        <w:jc w:val="both"/>
        <w:rPr>
          <w:rFonts w:ascii="Times New Roman" w:eastAsia="Calibri" w:hAnsi="Times New Roman" w:cs="Times New Roman"/>
          <w:iCs/>
          <w:sz w:val="24"/>
          <w:szCs w:val="24"/>
          <w:lang w:val="en-ZW"/>
        </w:rPr>
      </w:pPr>
      <w:r>
        <w:rPr>
          <w:rFonts w:ascii="Times New Roman" w:eastAsia="Calibri" w:hAnsi="Times New Roman" w:cs="Times New Roman"/>
          <w:iCs/>
          <w:sz w:val="24"/>
          <w:szCs w:val="24"/>
          <w:lang w:val="en-ZW"/>
        </w:rPr>
        <w:lastRenderedPageBreak/>
        <w:t xml:space="preserve">Following a full trial, the court </w:t>
      </w:r>
      <w:r w:rsidRPr="00056A66">
        <w:rPr>
          <w:rFonts w:ascii="Times New Roman" w:eastAsia="Calibri" w:hAnsi="Times New Roman" w:cs="Times New Roman"/>
          <w:i/>
          <w:iCs/>
          <w:sz w:val="24"/>
          <w:szCs w:val="24"/>
          <w:lang w:val="en-ZW"/>
        </w:rPr>
        <w:t>a quo</w:t>
      </w:r>
      <w:r>
        <w:rPr>
          <w:rFonts w:ascii="Times New Roman" w:eastAsia="Calibri" w:hAnsi="Times New Roman" w:cs="Times New Roman"/>
          <w:iCs/>
          <w:sz w:val="24"/>
          <w:szCs w:val="24"/>
          <w:lang w:val="en-ZW"/>
        </w:rPr>
        <w:t xml:space="preserve"> dismissed the appellant’s plea in abatement based on prescription after finding that the Mandaza family had breached the law by assisting each other to acquire house</w:t>
      </w:r>
      <w:r w:rsidR="00915DC2">
        <w:rPr>
          <w:rFonts w:ascii="Times New Roman" w:eastAsia="Calibri" w:hAnsi="Times New Roman" w:cs="Times New Roman"/>
          <w:iCs/>
          <w:sz w:val="24"/>
          <w:szCs w:val="24"/>
          <w:lang w:val="en-ZW"/>
        </w:rPr>
        <w:t>s</w:t>
      </w:r>
      <w:r>
        <w:rPr>
          <w:rFonts w:ascii="Times New Roman" w:eastAsia="Calibri" w:hAnsi="Times New Roman" w:cs="Times New Roman"/>
          <w:iCs/>
          <w:sz w:val="24"/>
          <w:szCs w:val="24"/>
          <w:lang w:val="en-ZW"/>
        </w:rPr>
        <w:t xml:space="preserve"> using marriage certificates not belonging to those who applied for housing. </w:t>
      </w:r>
      <w:r w:rsidR="00162EF5">
        <w:rPr>
          <w:rFonts w:ascii="Times New Roman" w:eastAsia="Calibri" w:hAnsi="Times New Roman" w:cs="Times New Roman"/>
          <w:iCs/>
          <w:sz w:val="24"/>
          <w:szCs w:val="24"/>
          <w:lang w:val="en-ZW"/>
        </w:rPr>
        <w:t xml:space="preserve"> </w:t>
      </w:r>
      <w:r>
        <w:rPr>
          <w:rFonts w:ascii="Times New Roman" w:eastAsia="Calibri" w:hAnsi="Times New Roman" w:cs="Times New Roman"/>
          <w:iCs/>
          <w:sz w:val="24"/>
          <w:szCs w:val="24"/>
          <w:lang w:val="en-ZW"/>
        </w:rPr>
        <w:t>It found that prescription did not feature in family arrangements such as the one at hand given that both side</w:t>
      </w:r>
      <w:r w:rsidR="00C5535B">
        <w:rPr>
          <w:rFonts w:ascii="Times New Roman" w:eastAsia="Calibri" w:hAnsi="Times New Roman" w:cs="Times New Roman"/>
          <w:iCs/>
          <w:sz w:val="24"/>
          <w:szCs w:val="24"/>
          <w:lang w:val="en-ZW"/>
        </w:rPr>
        <w:t>s</w:t>
      </w:r>
      <w:r>
        <w:rPr>
          <w:rFonts w:ascii="Times New Roman" w:eastAsia="Calibri" w:hAnsi="Times New Roman" w:cs="Times New Roman"/>
          <w:iCs/>
          <w:sz w:val="24"/>
          <w:szCs w:val="24"/>
          <w:lang w:val="en-ZW"/>
        </w:rPr>
        <w:t xml:space="preserve"> would have been complicit in breaching the law. </w:t>
      </w:r>
    </w:p>
    <w:p w14:paraId="29692FA9" w14:textId="77777777" w:rsidR="00056A66" w:rsidRDefault="00056A66" w:rsidP="00B121C0">
      <w:pPr>
        <w:spacing w:after="0" w:line="480" w:lineRule="auto"/>
        <w:ind w:firstLine="1134"/>
        <w:jc w:val="both"/>
        <w:rPr>
          <w:rFonts w:ascii="Times New Roman" w:eastAsia="Calibri" w:hAnsi="Times New Roman" w:cs="Times New Roman"/>
          <w:iCs/>
          <w:sz w:val="24"/>
          <w:szCs w:val="24"/>
          <w:lang w:val="en-ZW"/>
        </w:rPr>
      </w:pPr>
    </w:p>
    <w:p w14:paraId="4D5540DE" w14:textId="657E0D75" w:rsidR="00B36707" w:rsidRDefault="00056A66" w:rsidP="00056A66">
      <w:pPr>
        <w:spacing w:after="0" w:line="480" w:lineRule="auto"/>
        <w:ind w:firstLine="1134"/>
        <w:jc w:val="both"/>
        <w:rPr>
          <w:rFonts w:ascii="Times New Roman" w:eastAsia="Calibri" w:hAnsi="Times New Roman" w:cs="Times New Roman"/>
          <w:iCs/>
          <w:sz w:val="24"/>
          <w:szCs w:val="24"/>
          <w:lang w:val="en-ZW"/>
        </w:rPr>
      </w:pPr>
      <w:r>
        <w:rPr>
          <w:rFonts w:ascii="Times New Roman" w:eastAsia="Calibri" w:hAnsi="Times New Roman" w:cs="Times New Roman"/>
          <w:iCs/>
          <w:sz w:val="24"/>
          <w:szCs w:val="24"/>
          <w:lang w:val="en-ZW"/>
        </w:rPr>
        <w:t xml:space="preserve">On the merits of the matter, the court </w:t>
      </w:r>
      <w:r w:rsidRPr="00CA50C5">
        <w:rPr>
          <w:rFonts w:ascii="Times New Roman" w:eastAsia="Calibri" w:hAnsi="Times New Roman" w:cs="Times New Roman"/>
          <w:i/>
          <w:iCs/>
          <w:sz w:val="24"/>
          <w:szCs w:val="24"/>
          <w:lang w:val="en-ZW"/>
        </w:rPr>
        <w:t>a quo</w:t>
      </w:r>
      <w:r>
        <w:rPr>
          <w:rFonts w:ascii="Times New Roman" w:eastAsia="Calibri" w:hAnsi="Times New Roman" w:cs="Times New Roman"/>
          <w:iCs/>
          <w:sz w:val="24"/>
          <w:szCs w:val="24"/>
          <w:lang w:val="en-ZW"/>
        </w:rPr>
        <w:t xml:space="preserve"> found that there was indeed an agreement between the two Mandaza families in terms of which the first respondent’s family would seek and obtain housing using the other family’s marriage certificate. </w:t>
      </w:r>
      <w:r w:rsidR="00162EF5">
        <w:rPr>
          <w:rFonts w:ascii="Times New Roman" w:eastAsia="Calibri" w:hAnsi="Times New Roman" w:cs="Times New Roman"/>
          <w:iCs/>
          <w:sz w:val="24"/>
          <w:szCs w:val="24"/>
          <w:lang w:val="en-ZW"/>
        </w:rPr>
        <w:t xml:space="preserve"> </w:t>
      </w:r>
      <w:r w:rsidR="00B36707">
        <w:rPr>
          <w:rFonts w:ascii="Times New Roman" w:eastAsia="Calibri" w:hAnsi="Times New Roman" w:cs="Times New Roman"/>
          <w:iCs/>
          <w:sz w:val="24"/>
          <w:szCs w:val="24"/>
          <w:lang w:val="en-ZW"/>
        </w:rPr>
        <w:t xml:space="preserve">It concluded that the arrangement was for the appellants to transfer the house to the first respondent and her husband. </w:t>
      </w:r>
    </w:p>
    <w:p w14:paraId="3C7AE7F6" w14:textId="77777777" w:rsidR="00B36707" w:rsidRDefault="00B36707" w:rsidP="00B121C0">
      <w:pPr>
        <w:spacing w:after="0" w:line="480" w:lineRule="auto"/>
        <w:ind w:firstLine="1134"/>
        <w:jc w:val="both"/>
        <w:rPr>
          <w:rFonts w:ascii="Times New Roman" w:eastAsia="Calibri" w:hAnsi="Times New Roman" w:cs="Times New Roman"/>
          <w:iCs/>
          <w:sz w:val="24"/>
          <w:szCs w:val="24"/>
          <w:lang w:val="en-ZW"/>
        </w:rPr>
      </w:pPr>
    </w:p>
    <w:p w14:paraId="396650D8" w14:textId="6CCA7369" w:rsidR="002954EF" w:rsidRDefault="00B36707" w:rsidP="00056A66">
      <w:pPr>
        <w:spacing w:after="0" w:line="480" w:lineRule="auto"/>
        <w:ind w:firstLine="1134"/>
        <w:jc w:val="both"/>
        <w:rPr>
          <w:rFonts w:ascii="Times New Roman" w:eastAsia="Calibri" w:hAnsi="Times New Roman" w:cs="Times New Roman"/>
          <w:iCs/>
          <w:sz w:val="24"/>
          <w:szCs w:val="24"/>
          <w:lang w:val="en-ZW"/>
        </w:rPr>
      </w:pPr>
      <w:r>
        <w:rPr>
          <w:rFonts w:ascii="Times New Roman" w:eastAsia="Calibri" w:hAnsi="Times New Roman" w:cs="Times New Roman"/>
          <w:iCs/>
          <w:sz w:val="24"/>
          <w:szCs w:val="24"/>
          <w:lang w:val="en-ZW"/>
        </w:rPr>
        <w:t xml:space="preserve">The court </w:t>
      </w:r>
      <w:r w:rsidRPr="0086294A">
        <w:rPr>
          <w:rFonts w:ascii="Times New Roman" w:eastAsia="Calibri" w:hAnsi="Times New Roman" w:cs="Times New Roman"/>
          <w:i/>
          <w:iCs/>
          <w:sz w:val="24"/>
          <w:szCs w:val="24"/>
          <w:lang w:val="en-ZW"/>
        </w:rPr>
        <w:t>a quo</w:t>
      </w:r>
      <w:r>
        <w:rPr>
          <w:rFonts w:ascii="Times New Roman" w:eastAsia="Calibri" w:hAnsi="Times New Roman" w:cs="Times New Roman"/>
          <w:iCs/>
          <w:sz w:val="24"/>
          <w:szCs w:val="24"/>
          <w:lang w:val="en-ZW"/>
        </w:rPr>
        <w:t xml:space="preserve"> found further that the first respondent had satisfactor</w:t>
      </w:r>
      <w:r w:rsidR="00D64C7D">
        <w:rPr>
          <w:rFonts w:ascii="Times New Roman" w:eastAsia="Calibri" w:hAnsi="Times New Roman" w:cs="Times New Roman"/>
          <w:iCs/>
          <w:sz w:val="24"/>
          <w:szCs w:val="24"/>
          <w:lang w:val="en-ZW"/>
        </w:rPr>
        <w:t>il</w:t>
      </w:r>
      <w:r>
        <w:rPr>
          <w:rFonts w:ascii="Times New Roman" w:eastAsia="Calibri" w:hAnsi="Times New Roman" w:cs="Times New Roman"/>
          <w:iCs/>
          <w:sz w:val="24"/>
          <w:szCs w:val="24"/>
          <w:lang w:val="en-ZW"/>
        </w:rPr>
        <w:t xml:space="preserve">y explained how she and her husband acquired the house using the marriage certificate of their relatives. </w:t>
      </w:r>
      <w:r w:rsidR="00162EF5">
        <w:rPr>
          <w:rFonts w:ascii="Times New Roman" w:eastAsia="Calibri" w:hAnsi="Times New Roman" w:cs="Times New Roman"/>
          <w:iCs/>
          <w:sz w:val="24"/>
          <w:szCs w:val="24"/>
          <w:lang w:val="en-ZW"/>
        </w:rPr>
        <w:t xml:space="preserve"> </w:t>
      </w:r>
      <w:r>
        <w:rPr>
          <w:rFonts w:ascii="Times New Roman" w:eastAsia="Calibri" w:hAnsi="Times New Roman" w:cs="Times New Roman"/>
          <w:iCs/>
          <w:sz w:val="24"/>
          <w:szCs w:val="24"/>
          <w:lang w:val="en-ZW"/>
        </w:rPr>
        <w:t>It accepted that they had lived in the house since it was allocated while meeting all the bills without any input from the appellant</w:t>
      </w:r>
      <w:r w:rsidR="00CA50C5">
        <w:rPr>
          <w:rFonts w:ascii="Times New Roman" w:eastAsia="Calibri" w:hAnsi="Times New Roman" w:cs="Times New Roman"/>
          <w:iCs/>
          <w:sz w:val="24"/>
          <w:szCs w:val="24"/>
          <w:lang w:val="en-ZW"/>
        </w:rPr>
        <w:t>s</w:t>
      </w:r>
      <w:r>
        <w:rPr>
          <w:rFonts w:ascii="Times New Roman" w:eastAsia="Calibri" w:hAnsi="Times New Roman" w:cs="Times New Roman"/>
          <w:iCs/>
          <w:sz w:val="24"/>
          <w:szCs w:val="24"/>
          <w:lang w:val="en-ZW"/>
        </w:rPr>
        <w:t xml:space="preserve"> because the house was acquired on their behalf. </w:t>
      </w:r>
      <w:r w:rsidR="00162EF5">
        <w:rPr>
          <w:rFonts w:ascii="Times New Roman" w:eastAsia="Calibri" w:hAnsi="Times New Roman" w:cs="Times New Roman"/>
          <w:iCs/>
          <w:sz w:val="24"/>
          <w:szCs w:val="24"/>
          <w:lang w:val="en-ZW"/>
        </w:rPr>
        <w:t xml:space="preserve"> </w:t>
      </w:r>
      <w:r>
        <w:rPr>
          <w:rFonts w:ascii="Times New Roman" w:eastAsia="Calibri" w:hAnsi="Times New Roman" w:cs="Times New Roman"/>
          <w:iCs/>
          <w:sz w:val="24"/>
          <w:szCs w:val="24"/>
          <w:lang w:val="en-ZW"/>
        </w:rPr>
        <w:t xml:space="preserve">It held that the </w:t>
      </w:r>
      <w:r w:rsidRPr="00B36707">
        <w:rPr>
          <w:rFonts w:ascii="Times New Roman" w:eastAsia="Calibri" w:hAnsi="Times New Roman" w:cs="Times New Roman"/>
          <w:i/>
          <w:iCs/>
          <w:sz w:val="24"/>
          <w:szCs w:val="24"/>
          <w:lang w:val="en-ZW"/>
        </w:rPr>
        <w:t>in pari</w:t>
      </w:r>
      <w:r w:rsidR="00D64C7D">
        <w:rPr>
          <w:rFonts w:ascii="Times New Roman" w:eastAsia="Calibri" w:hAnsi="Times New Roman" w:cs="Times New Roman"/>
          <w:i/>
          <w:iCs/>
          <w:sz w:val="24"/>
          <w:szCs w:val="24"/>
          <w:lang w:val="en-ZW"/>
        </w:rPr>
        <w:t xml:space="preserve"> </w:t>
      </w:r>
      <w:r w:rsidRPr="00B36707">
        <w:rPr>
          <w:rFonts w:ascii="Times New Roman" w:eastAsia="Calibri" w:hAnsi="Times New Roman" w:cs="Times New Roman"/>
          <w:i/>
          <w:iCs/>
          <w:sz w:val="24"/>
          <w:szCs w:val="24"/>
          <w:lang w:val="en-ZW"/>
        </w:rPr>
        <w:t>delictum</w:t>
      </w:r>
      <w:r>
        <w:rPr>
          <w:rFonts w:ascii="Times New Roman" w:eastAsia="Calibri" w:hAnsi="Times New Roman" w:cs="Times New Roman"/>
          <w:iCs/>
          <w:sz w:val="24"/>
          <w:szCs w:val="24"/>
          <w:lang w:val="en-ZW"/>
        </w:rPr>
        <w:t xml:space="preserve"> rule had to</w:t>
      </w:r>
      <w:r w:rsidR="002954EF">
        <w:rPr>
          <w:rFonts w:ascii="Times New Roman" w:eastAsia="Calibri" w:hAnsi="Times New Roman" w:cs="Times New Roman"/>
          <w:iCs/>
          <w:sz w:val="24"/>
          <w:szCs w:val="24"/>
          <w:lang w:val="en-ZW"/>
        </w:rPr>
        <w:t xml:space="preserve"> be relaxed in order to do </w:t>
      </w:r>
      <w:r w:rsidR="00D64C7D">
        <w:rPr>
          <w:rFonts w:ascii="Times New Roman" w:eastAsia="Calibri" w:hAnsi="Times New Roman" w:cs="Times New Roman"/>
          <w:iCs/>
          <w:sz w:val="24"/>
          <w:szCs w:val="24"/>
          <w:lang w:val="en-ZW"/>
        </w:rPr>
        <w:t>jus</w:t>
      </w:r>
      <w:r w:rsidR="002954EF">
        <w:rPr>
          <w:rFonts w:ascii="Times New Roman" w:eastAsia="Calibri" w:hAnsi="Times New Roman" w:cs="Times New Roman"/>
          <w:iCs/>
          <w:sz w:val="24"/>
          <w:szCs w:val="24"/>
          <w:lang w:val="en-ZW"/>
        </w:rPr>
        <w:t xml:space="preserve">tice between the parties and ordered the transfer of the house to the first respondent. </w:t>
      </w:r>
    </w:p>
    <w:p w14:paraId="7CB35F6D" w14:textId="77777777" w:rsidR="002954EF" w:rsidRDefault="002954EF" w:rsidP="00B121C0">
      <w:pPr>
        <w:spacing w:after="0" w:line="480" w:lineRule="auto"/>
        <w:ind w:firstLine="1134"/>
        <w:jc w:val="both"/>
        <w:rPr>
          <w:rFonts w:ascii="Times New Roman" w:eastAsia="Calibri" w:hAnsi="Times New Roman" w:cs="Times New Roman"/>
          <w:iCs/>
          <w:sz w:val="24"/>
          <w:szCs w:val="24"/>
          <w:lang w:val="en-ZW"/>
        </w:rPr>
      </w:pPr>
    </w:p>
    <w:p w14:paraId="2C5543FC" w14:textId="477EE09A" w:rsidR="002954EF" w:rsidRDefault="002954EF" w:rsidP="002954EF">
      <w:pPr>
        <w:spacing w:after="0" w:line="480" w:lineRule="auto"/>
        <w:ind w:firstLine="1134"/>
        <w:jc w:val="both"/>
        <w:rPr>
          <w:rFonts w:ascii="Times New Roman" w:eastAsia="Calibri" w:hAnsi="Times New Roman" w:cs="Times New Roman"/>
          <w:iCs/>
          <w:sz w:val="24"/>
          <w:szCs w:val="24"/>
          <w:lang w:val="en-ZW"/>
        </w:rPr>
      </w:pPr>
      <w:r>
        <w:rPr>
          <w:rFonts w:ascii="Times New Roman" w:eastAsia="Calibri" w:hAnsi="Times New Roman" w:cs="Times New Roman"/>
          <w:iCs/>
          <w:sz w:val="24"/>
          <w:szCs w:val="24"/>
          <w:lang w:val="en-ZW"/>
        </w:rPr>
        <w:t xml:space="preserve">On its way to arriving at that conclusion, the court </w:t>
      </w:r>
      <w:r w:rsidRPr="00A1652C">
        <w:rPr>
          <w:rFonts w:ascii="Times New Roman" w:eastAsia="Calibri" w:hAnsi="Times New Roman" w:cs="Times New Roman"/>
          <w:i/>
          <w:iCs/>
          <w:sz w:val="24"/>
          <w:szCs w:val="24"/>
          <w:lang w:val="en-ZW"/>
        </w:rPr>
        <w:t>a quo</w:t>
      </w:r>
      <w:r>
        <w:rPr>
          <w:rFonts w:ascii="Times New Roman" w:eastAsia="Calibri" w:hAnsi="Times New Roman" w:cs="Times New Roman"/>
          <w:iCs/>
          <w:sz w:val="24"/>
          <w:szCs w:val="24"/>
          <w:lang w:val="en-ZW"/>
        </w:rPr>
        <w:t xml:space="preserve"> reasoned at pp 8-9 of the judgment</w:t>
      </w:r>
      <w:r w:rsidR="00980840">
        <w:rPr>
          <w:rFonts w:ascii="Times New Roman" w:eastAsia="Calibri" w:hAnsi="Times New Roman" w:cs="Times New Roman"/>
          <w:iCs/>
          <w:sz w:val="24"/>
          <w:szCs w:val="24"/>
          <w:lang w:val="en-ZW"/>
        </w:rPr>
        <w:t xml:space="preserve"> thus:</w:t>
      </w:r>
    </w:p>
    <w:p w14:paraId="30D13A01" w14:textId="1993D131" w:rsidR="004E0343" w:rsidRDefault="002954EF" w:rsidP="0053713B">
      <w:pPr>
        <w:spacing w:after="0" w:line="240" w:lineRule="auto"/>
        <w:ind w:left="567"/>
        <w:jc w:val="both"/>
        <w:rPr>
          <w:rFonts w:ascii="Times New Roman" w:eastAsia="Calibri" w:hAnsi="Times New Roman" w:cs="Times New Roman"/>
          <w:iCs/>
          <w:sz w:val="24"/>
          <w:szCs w:val="24"/>
          <w:lang w:val="en-ZW"/>
        </w:rPr>
      </w:pPr>
      <w:r>
        <w:rPr>
          <w:rFonts w:ascii="Times New Roman" w:eastAsia="Calibri" w:hAnsi="Times New Roman" w:cs="Times New Roman"/>
          <w:iCs/>
          <w:sz w:val="24"/>
          <w:szCs w:val="24"/>
          <w:lang w:val="en-ZW"/>
        </w:rPr>
        <w:t>“</w:t>
      </w:r>
      <w:r w:rsidR="00980840">
        <w:rPr>
          <w:rFonts w:ascii="Times New Roman" w:eastAsia="Calibri" w:hAnsi="Times New Roman" w:cs="Times New Roman"/>
          <w:iCs/>
          <w:sz w:val="24"/>
          <w:szCs w:val="24"/>
          <w:lang w:val="en-ZW"/>
        </w:rPr>
        <w:t>I</w:t>
      </w:r>
      <w:r>
        <w:rPr>
          <w:rFonts w:ascii="Times New Roman" w:eastAsia="Calibri" w:hAnsi="Times New Roman" w:cs="Times New Roman"/>
          <w:iCs/>
          <w:sz w:val="24"/>
          <w:szCs w:val="24"/>
          <w:lang w:val="en-ZW"/>
        </w:rPr>
        <w:t>n the case before me, the reason given for having the property registered in the name</w:t>
      </w:r>
      <w:r w:rsidR="00980840">
        <w:rPr>
          <w:rFonts w:ascii="Times New Roman" w:eastAsia="Calibri" w:hAnsi="Times New Roman" w:cs="Times New Roman"/>
          <w:iCs/>
          <w:sz w:val="24"/>
          <w:szCs w:val="24"/>
          <w:lang w:val="en-ZW"/>
        </w:rPr>
        <w:t>s</w:t>
      </w:r>
      <w:r>
        <w:rPr>
          <w:rFonts w:ascii="Times New Roman" w:eastAsia="Calibri" w:hAnsi="Times New Roman" w:cs="Times New Roman"/>
          <w:iCs/>
          <w:sz w:val="24"/>
          <w:szCs w:val="24"/>
          <w:lang w:val="en-ZW"/>
        </w:rPr>
        <w:t xml:space="preserve"> of the first defendant and her husband was said to be because the plaintiff and her</w:t>
      </w:r>
      <w:r w:rsidR="00A1652C">
        <w:rPr>
          <w:rFonts w:ascii="Times New Roman" w:eastAsia="Calibri" w:hAnsi="Times New Roman" w:cs="Times New Roman"/>
          <w:iCs/>
          <w:sz w:val="24"/>
          <w:szCs w:val="24"/>
          <w:lang w:val="en-ZW"/>
        </w:rPr>
        <w:t xml:space="preserve"> husband did not have a marriage</w:t>
      </w:r>
      <w:r>
        <w:rPr>
          <w:rFonts w:ascii="Times New Roman" w:eastAsia="Calibri" w:hAnsi="Times New Roman" w:cs="Times New Roman"/>
          <w:iCs/>
          <w:sz w:val="24"/>
          <w:szCs w:val="24"/>
          <w:lang w:val="en-ZW"/>
        </w:rPr>
        <w:t xml:space="preserve"> certificate which was requ</w:t>
      </w:r>
      <w:r w:rsidR="00980840">
        <w:rPr>
          <w:rFonts w:ascii="Times New Roman" w:eastAsia="Calibri" w:hAnsi="Times New Roman" w:cs="Times New Roman"/>
          <w:iCs/>
          <w:sz w:val="24"/>
          <w:szCs w:val="24"/>
          <w:lang w:val="en-ZW"/>
        </w:rPr>
        <w:t>ired</w:t>
      </w:r>
      <w:r>
        <w:rPr>
          <w:rFonts w:ascii="Times New Roman" w:eastAsia="Calibri" w:hAnsi="Times New Roman" w:cs="Times New Roman"/>
          <w:iCs/>
          <w:sz w:val="24"/>
          <w:szCs w:val="24"/>
          <w:lang w:val="en-ZW"/>
        </w:rPr>
        <w:t xml:space="preserve"> at the time. It was a fact that a mar</w:t>
      </w:r>
      <w:r w:rsidR="00980840">
        <w:rPr>
          <w:rFonts w:ascii="Times New Roman" w:eastAsia="Calibri" w:hAnsi="Times New Roman" w:cs="Times New Roman"/>
          <w:iCs/>
          <w:sz w:val="24"/>
          <w:szCs w:val="24"/>
          <w:lang w:val="en-ZW"/>
        </w:rPr>
        <w:t>riage</w:t>
      </w:r>
      <w:r>
        <w:rPr>
          <w:rFonts w:ascii="Times New Roman" w:eastAsia="Calibri" w:hAnsi="Times New Roman" w:cs="Times New Roman"/>
          <w:iCs/>
          <w:sz w:val="24"/>
          <w:szCs w:val="24"/>
          <w:lang w:val="en-ZW"/>
        </w:rPr>
        <w:t xml:space="preserve"> certificate was a requirement in order to get a house. From the </w:t>
      </w:r>
      <w:r w:rsidR="00A1652C">
        <w:rPr>
          <w:rFonts w:ascii="Times New Roman" w:eastAsia="Calibri" w:hAnsi="Times New Roman" w:cs="Times New Roman"/>
          <w:iCs/>
          <w:sz w:val="24"/>
          <w:szCs w:val="24"/>
          <w:lang w:val="en-ZW"/>
        </w:rPr>
        <w:t>evidence of the plaintiff this Court is mo</w:t>
      </w:r>
      <w:r>
        <w:rPr>
          <w:rFonts w:ascii="Times New Roman" w:eastAsia="Calibri" w:hAnsi="Times New Roman" w:cs="Times New Roman"/>
          <w:iCs/>
          <w:sz w:val="24"/>
          <w:szCs w:val="24"/>
          <w:lang w:val="en-ZW"/>
        </w:rPr>
        <w:t xml:space="preserve">st certainly of the view that the </w:t>
      </w:r>
      <w:r w:rsidR="004E0343">
        <w:rPr>
          <w:rFonts w:ascii="Times New Roman" w:eastAsia="Calibri" w:hAnsi="Times New Roman" w:cs="Times New Roman"/>
          <w:iCs/>
          <w:sz w:val="24"/>
          <w:szCs w:val="24"/>
          <w:lang w:val="en-ZW"/>
        </w:rPr>
        <w:t xml:space="preserve">arrangements described by the plaintiff for the acquisition of the property took place for the reason that she articulated. She had no reason </w:t>
      </w:r>
      <w:r w:rsidR="004E0343">
        <w:rPr>
          <w:rFonts w:ascii="Times New Roman" w:eastAsia="Calibri" w:hAnsi="Times New Roman" w:cs="Times New Roman"/>
          <w:iCs/>
          <w:sz w:val="24"/>
          <w:szCs w:val="24"/>
          <w:lang w:val="en-ZW"/>
        </w:rPr>
        <w:lastRenderedPageBreak/>
        <w:t>to lie. Though not present at the time, her witnesses corroborated the dispute as it has been understood over the years that it has created the family rift.</w:t>
      </w:r>
    </w:p>
    <w:p w14:paraId="6CD53E5B" w14:textId="77777777" w:rsidR="004E0343" w:rsidRDefault="004E0343" w:rsidP="004E0343">
      <w:pPr>
        <w:spacing w:after="0" w:line="240" w:lineRule="auto"/>
        <w:ind w:left="1134"/>
        <w:jc w:val="both"/>
        <w:rPr>
          <w:rFonts w:ascii="Times New Roman" w:eastAsia="Calibri" w:hAnsi="Times New Roman" w:cs="Times New Roman"/>
          <w:iCs/>
          <w:sz w:val="24"/>
          <w:szCs w:val="24"/>
          <w:lang w:val="en-ZW"/>
        </w:rPr>
      </w:pPr>
    </w:p>
    <w:p w14:paraId="3C0DEA58" w14:textId="10D64809" w:rsidR="001D2E50" w:rsidRDefault="006E57E8" w:rsidP="0053713B">
      <w:pPr>
        <w:spacing w:after="0" w:line="240" w:lineRule="auto"/>
        <w:ind w:left="567"/>
        <w:jc w:val="both"/>
        <w:rPr>
          <w:rFonts w:ascii="Times New Roman" w:eastAsia="Calibri" w:hAnsi="Times New Roman" w:cs="Times New Roman"/>
          <w:iCs/>
          <w:sz w:val="24"/>
          <w:szCs w:val="24"/>
          <w:lang w:val="en-ZW"/>
        </w:rPr>
      </w:pPr>
      <w:r>
        <w:rPr>
          <w:rFonts w:ascii="Times New Roman" w:eastAsia="Calibri" w:hAnsi="Times New Roman" w:cs="Times New Roman"/>
          <w:iCs/>
          <w:sz w:val="24"/>
          <w:szCs w:val="24"/>
          <w:lang w:val="en-ZW"/>
        </w:rPr>
        <w:t>Grace sai</w:t>
      </w:r>
      <w:r w:rsidR="004E0343">
        <w:rPr>
          <w:rFonts w:ascii="Times New Roman" w:eastAsia="Calibri" w:hAnsi="Times New Roman" w:cs="Times New Roman"/>
          <w:iCs/>
          <w:sz w:val="24"/>
          <w:szCs w:val="24"/>
          <w:lang w:val="en-ZW"/>
        </w:rPr>
        <w:t>d it was her husb</w:t>
      </w:r>
      <w:r>
        <w:rPr>
          <w:rFonts w:ascii="Times New Roman" w:eastAsia="Calibri" w:hAnsi="Times New Roman" w:cs="Times New Roman"/>
          <w:iCs/>
          <w:sz w:val="24"/>
          <w:szCs w:val="24"/>
          <w:lang w:val="en-ZW"/>
        </w:rPr>
        <w:t>and who did everything. The sole</w:t>
      </w:r>
      <w:r w:rsidR="004E0343">
        <w:rPr>
          <w:rFonts w:ascii="Times New Roman" w:eastAsia="Calibri" w:hAnsi="Times New Roman" w:cs="Times New Roman"/>
          <w:iCs/>
          <w:sz w:val="24"/>
          <w:szCs w:val="24"/>
          <w:lang w:val="en-ZW"/>
        </w:rPr>
        <w:t xml:space="preserve"> reason for her insisting that the property belongs to her and her late husband is because it was registered in their names. More</w:t>
      </w:r>
      <w:r w:rsidR="00980840">
        <w:rPr>
          <w:rFonts w:ascii="Times New Roman" w:eastAsia="Calibri" w:hAnsi="Times New Roman" w:cs="Times New Roman"/>
          <w:iCs/>
          <w:sz w:val="24"/>
          <w:szCs w:val="24"/>
          <w:lang w:val="en-ZW"/>
        </w:rPr>
        <w:t xml:space="preserve"> </w:t>
      </w:r>
      <w:r w:rsidR="004E0343">
        <w:rPr>
          <w:rFonts w:ascii="Times New Roman" w:eastAsia="Calibri" w:hAnsi="Times New Roman" w:cs="Times New Roman"/>
          <w:iCs/>
          <w:sz w:val="24"/>
          <w:szCs w:val="24"/>
          <w:lang w:val="en-ZW"/>
        </w:rPr>
        <w:t>over from her cross examination it was also clear why they later laid a claim to the house a</w:t>
      </w:r>
      <w:r w:rsidR="00980840">
        <w:rPr>
          <w:rFonts w:ascii="Times New Roman" w:eastAsia="Calibri" w:hAnsi="Times New Roman" w:cs="Times New Roman"/>
          <w:iCs/>
          <w:sz w:val="24"/>
          <w:szCs w:val="24"/>
          <w:lang w:val="en-ZW"/>
        </w:rPr>
        <w:t>s</w:t>
      </w:r>
      <w:r w:rsidR="004E0343">
        <w:rPr>
          <w:rFonts w:ascii="Times New Roman" w:eastAsia="Calibri" w:hAnsi="Times New Roman" w:cs="Times New Roman"/>
          <w:iCs/>
          <w:sz w:val="24"/>
          <w:szCs w:val="24"/>
          <w:lang w:val="en-ZW"/>
        </w:rPr>
        <w:t xml:space="preserve"> theirs. She and her husband also initially acquired a house under similar circumstances for this reason of need of a marriage certificate but William had reneged on their agreement. This was a key factor for them too reneging on theirs. Prescription does not come into play in the case before me as indeed both were act</w:t>
      </w:r>
      <w:r w:rsidR="001D2E50">
        <w:rPr>
          <w:rFonts w:ascii="Times New Roman" w:eastAsia="Calibri" w:hAnsi="Times New Roman" w:cs="Times New Roman"/>
          <w:iCs/>
          <w:sz w:val="24"/>
          <w:szCs w:val="24"/>
          <w:lang w:val="en-ZW"/>
        </w:rPr>
        <w:t xml:space="preserve">ing outside the law in their transaction as courts have recognised in matters such as this. The special plea of prescription is thus dismissed. </w:t>
      </w:r>
    </w:p>
    <w:p w14:paraId="543E2F04" w14:textId="77777777" w:rsidR="001D2E50" w:rsidRDefault="001D2E50" w:rsidP="004E0343">
      <w:pPr>
        <w:spacing w:after="0" w:line="240" w:lineRule="auto"/>
        <w:ind w:left="1134"/>
        <w:jc w:val="both"/>
        <w:rPr>
          <w:rFonts w:ascii="Times New Roman" w:eastAsia="Calibri" w:hAnsi="Times New Roman" w:cs="Times New Roman"/>
          <w:iCs/>
          <w:sz w:val="24"/>
          <w:szCs w:val="24"/>
          <w:lang w:val="en-ZW"/>
        </w:rPr>
      </w:pPr>
    </w:p>
    <w:p w14:paraId="7542CD73" w14:textId="163EA75E" w:rsidR="001D2E50" w:rsidRDefault="001D2E50" w:rsidP="0053713B">
      <w:pPr>
        <w:spacing w:after="0" w:line="240" w:lineRule="auto"/>
        <w:ind w:left="567"/>
        <w:jc w:val="both"/>
        <w:rPr>
          <w:rFonts w:ascii="Times New Roman" w:eastAsia="Calibri" w:hAnsi="Times New Roman" w:cs="Times New Roman"/>
          <w:iCs/>
          <w:sz w:val="24"/>
          <w:szCs w:val="24"/>
          <w:lang w:val="en-ZW"/>
        </w:rPr>
      </w:pPr>
      <w:r>
        <w:rPr>
          <w:rFonts w:ascii="Times New Roman" w:eastAsia="Calibri" w:hAnsi="Times New Roman" w:cs="Times New Roman"/>
          <w:iCs/>
          <w:sz w:val="24"/>
          <w:szCs w:val="24"/>
          <w:lang w:val="en-ZW"/>
        </w:rPr>
        <w:t>There is no doubt that in this case where the circumstance</w:t>
      </w:r>
      <w:r w:rsidR="00E9646D">
        <w:rPr>
          <w:rFonts w:ascii="Times New Roman" w:eastAsia="Calibri" w:hAnsi="Times New Roman" w:cs="Times New Roman"/>
          <w:iCs/>
          <w:sz w:val="24"/>
          <w:szCs w:val="24"/>
          <w:lang w:val="en-ZW"/>
        </w:rPr>
        <w:t>s</w:t>
      </w:r>
      <w:r>
        <w:rPr>
          <w:rFonts w:ascii="Times New Roman" w:eastAsia="Calibri" w:hAnsi="Times New Roman" w:cs="Times New Roman"/>
          <w:iCs/>
          <w:sz w:val="24"/>
          <w:szCs w:val="24"/>
          <w:lang w:val="en-ZW"/>
        </w:rPr>
        <w:t xml:space="preserve"> of the acquisition of the house have been made</w:t>
      </w:r>
      <w:r w:rsidR="00E9646D">
        <w:rPr>
          <w:rFonts w:ascii="Times New Roman" w:eastAsia="Calibri" w:hAnsi="Times New Roman" w:cs="Times New Roman"/>
          <w:iCs/>
          <w:sz w:val="24"/>
          <w:szCs w:val="24"/>
          <w:lang w:val="en-ZW"/>
        </w:rPr>
        <w:t xml:space="preserve"> (more)</w:t>
      </w:r>
      <w:r>
        <w:rPr>
          <w:rFonts w:ascii="Times New Roman" w:eastAsia="Calibri" w:hAnsi="Times New Roman" w:cs="Times New Roman"/>
          <w:iCs/>
          <w:sz w:val="24"/>
          <w:szCs w:val="24"/>
          <w:lang w:val="en-ZW"/>
        </w:rPr>
        <w:t xml:space="preserve"> likely than not, been truthfully explained by the plaintiff. She and her late husband indeed lived in the house all their lives meeting all the bills because the house had been acquired on their behalf because they did not have a marriage certificate at the time. Justice demands that the </w:t>
      </w:r>
      <w:r w:rsidRPr="001D2E50">
        <w:rPr>
          <w:rFonts w:ascii="Times New Roman" w:eastAsia="Calibri" w:hAnsi="Times New Roman" w:cs="Times New Roman"/>
          <w:i/>
          <w:iCs/>
          <w:sz w:val="24"/>
          <w:szCs w:val="24"/>
          <w:lang w:val="en-ZW"/>
        </w:rPr>
        <w:t>in pari</w:t>
      </w:r>
      <w:r w:rsidR="00E9646D">
        <w:rPr>
          <w:rFonts w:ascii="Times New Roman" w:eastAsia="Calibri" w:hAnsi="Times New Roman" w:cs="Times New Roman"/>
          <w:i/>
          <w:iCs/>
          <w:sz w:val="24"/>
          <w:szCs w:val="24"/>
          <w:lang w:val="en-ZW"/>
        </w:rPr>
        <w:t xml:space="preserve"> </w:t>
      </w:r>
      <w:r w:rsidRPr="001D2E50">
        <w:rPr>
          <w:rFonts w:ascii="Times New Roman" w:eastAsia="Calibri" w:hAnsi="Times New Roman" w:cs="Times New Roman"/>
          <w:i/>
          <w:iCs/>
          <w:sz w:val="24"/>
          <w:szCs w:val="24"/>
          <w:lang w:val="en-ZW"/>
        </w:rPr>
        <w:t>delictum</w:t>
      </w:r>
      <w:r>
        <w:rPr>
          <w:rFonts w:ascii="Times New Roman" w:eastAsia="Calibri" w:hAnsi="Times New Roman" w:cs="Times New Roman"/>
          <w:iCs/>
          <w:sz w:val="24"/>
          <w:szCs w:val="24"/>
          <w:lang w:val="en-ZW"/>
        </w:rPr>
        <w:t xml:space="preserve"> rule be relaxed and that title be transferred to her by the defendants.” </w:t>
      </w:r>
    </w:p>
    <w:p w14:paraId="21F8FECE" w14:textId="77777777" w:rsidR="001D2E50" w:rsidRDefault="001D2E50" w:rsidP="004E0343">
      <w:pPr>
        <w:spacing w:after="0" w:line="240" w:lineRule="auto"/>
        <w:ind w:left="1134"/>
        <w:jc w:val="both"/>
        <w:rPr>
          <w:rFonts w:ascii="Times New Roman" w:eastAsia="Calibri" w:hAnsi="Times New Roman" w:cs="Times New Roman"/>
          <w:iCs/>
          <w:sz w:val="24"/>
          <w:szCs w:val="24"/>
          <w:lang w:val="en-ZW"/>
        </w:rPr>
      </w:pPr>
    </w:p>
    <w:p w14:paraId="6853F887" w14:textId="77777777" w:rsidR="001D2E50" w:rsidRDefault="001D2E50" w:rsidP="00B121C0">
      <w:pPr>
        <w:spacing w:after="0" w:line="480" w:lineRule="auto"/>
        <w:ind w:left="1134"/>
        <w:jc w:val="both"/>
        <w:rPr>
          <w:rFonts w:ascii="Times New Roman" w:eastAsia="Calibri" w:hAnsi="Times New Roman" w:cs="Times New Roman"/>
          <w:iCs/>
          <w:sz w:val="24"/>
          <w:szCs w:val="24"/>
          <w:lang w:val="en-ZW"/>
        </w:rPr>
      </w:pPr>
    </w:p>
    <w:p w14:paraId="3F8C6CAD" w14:textId="77777777" w:rsidR="001D2E50" w:rsidRDefault="001D2E50" w:rsidP="001D2E50">
      <w:pPr>
        <w:spacing w:after="0" w:line="480" w:lineRule="auto"/>
        <w:ind w:firstLine="1134"/>
        <w:jc w:val="both"/>
        <w:rPr>
          <w:rFonts w:ascii="Times New Roman" w:eastAsia="Calibri" w:hAnsi="Times New Roman" w:cs="Times New Roman"/>
          <w:iCs/>
          <w:sz w:val="24"/>
          <w:szCs w:val="24"/>
          <w:lang w:val="en-ZW"/>
        </w:rPr>
      </w:pPr>
      <w:r>
        <w:rPr>
          <w:rFonts w:ascii="Times New Roman" w:eastAsia="Calibri" w:hAnsi="Times New Roman" w:cs="Times New Roman"/>
          <w:iCs/>
          <w:sz w:val="24"/>
          <w:szCs w:val="24"/>
          <w:lang w:val="en-ZW"/>
        </w:rPr>
        <w:t xml:space="preserve">For the foregoing reasons, the court </w:t>
      </w:r>
      <w:r w:rsidRPr="006E57E8">
        <w:rPr>
          <w:rFonts w:ascii="Times New Roman" w:eastAsia="Calibri" w:hAnsi="Times New Roman" w:cs="Times New Roman"/>
          <w:i/>
          <w:iCs/>
          <w:sz w:val="24"/>
          <w:szCs w:val="24"/>
          <w:lang w:val="en-ZW"/>
        </w:rPr>
        <w:t>a quo</w:t>
      </w:r>
      <w:r>
        <w:rPr>
          <w:rFonts w:ascii="Times New Roman" w:eastAsia="Calibri" w:hAnsi="Times New Roman" w:cs="Times New Roman"/>
          <w:iCs/>
          <w:sz w:val="24"/>
          <w:szCs w:val="24"/>
          <w:lang w:val="en-ZW"/>
        </w:rPr>
        <w:t xml:space="preserve"> granted relief in favour of the first respondent with costs.</w:t>
      </w:r>
    </w:p>
    <w:p w14:paraId="5E504F1A" w14:textId="77777777" w:rsidR="001D2E50" w:rsidRDefault="001D2E50" w:rsidP="001D2E50">
      <w:pPr>
        <w:spacing w:after="0" w:line="480" w:lineRule="auto"/>
        <w:ind w:firstLine="1134"/>
        <w:jc w:val="both"/>
        <w:rPr>
          <w:rFonts w:ascii="Times New Roman" w:eastAsia="Calibri" w:hAnsi="Times New Roman" w:cs="Times New Roman"/>
          <w:iCs/>
          <w:sz w:val="24"/>
          <w:szCs w:val="24"/>
          <w:lang w:val="en-ZW"/>
        </w:rPr>
      </w:pPr>
    </w:p>
    <w:p w14:paraId="7D7316E4" w14:textId="77777777" w:rsidR="001D2E50" w:rsidRDefault="001D2E50" w:rsidP="001D2E50">
      <w:pPr>
        <w:spacing w:after="0" w:line="480" w:lineRule="auto"/>
        <w:jc w:val="both"/>
        <w:rPr>
          <w:rFonts w:ascii="Times New Roman" w:eastAsia="Calibri" w:hAnsi="Times New Roman" w:cs="Times New Roman"/>
          <w:b/>
          <w:iCs/>
          <w:sz w:val="24"/>
          <w:szCs w:val="24"/>
          <w:u w:val="single"/>
          <w:lang w:val="en-ZW"/>
        </w:rPr>
      </w:pPr>
      <w:r w:rsidRPr="001D2E50">
        <w:rPr>
          <w:rFonts w:ascii="Times New Roman" w:eastAsia="Calibri" w:hAnsi="Times New Roman" w:cs="Times New Roman"/>
          <w:b/>
          <w:iCs/>
          <w:sz w:val="24"/>
          <w:szCs w:val="24"/>
          <w:u w:val="single"/>
          <w:lang w:val="en-ZW"/>
        </w:rPr>
        <w:t>PROCEEDINGS BEFORE THIS COURT</w:t>
      </w:r>
    </w:p>
    <w:p w14:paraId="003927EE" w14:textId="2DBA7842" w:rsidR="00B70C1A" w:rsidRDefault="001D2E50" w:rsidP="001D2E50">
      <w:pPr>
        <w:spacing w:after="0" w:line="480" w:lineRule="auto"/>
        <w:ind w:firstLine="1134"/>
        <w:jc w:val="both"/>
        <w:rPr>
          <w:rFonts w:ascii="Times New Roman" w:eastAsia="Calibri" w:hAnsi="Times New Roman" w:cs="Times New Roman"/>
          <w:iCs/>
          <w:sz w:val="24"/>
          <w:szCs w:val="24"/>
          <w:lang w:val="en-ZW"/>
        </w:rPr>
      </w:pPr>
      <w:r>
        <w:rPr>
          <w:rFonts w:ascii="Times New Roman" w:eastAsia="Calibri" w:hAnsi="Times New Roman" w:cs="Times New Roman"/>
          <w:iCs/>
          <w:sz w:val="24"/>
          <w:szCs w:val="24"/>
          <w:lang w:val="en-ZW"/>
        </w:rPr>
        <w:t xml:space="preserve">The appellants were </w:t>
      </w:r>
      <w:r w:rsidR="00B70C1A">
        <w:rPr>
          <w:rFonts w:ascii="Times New Roman" w:eastAsia="Calibri" w:hAnsi="Times New Roman" w:cs="Times New Roman"/>
          <w:iCs/>
          <w:sz w:val="24"/>
          <w:szCs w:val="24"/>
          <w:lang w:val="en-ZW"/>
        </w:rPr>
        <w:t xml:space="preserve">disgruntled by the judgment of the court </w:t>
      </w:r>
      <w:r w:rsidR="00B70C1A" w:rsidRPr="00B70C1A">
        <w:rPr>
          <w:rFonts w:ascii="Times New Roman" w:eastAsia="Calibri" w:hAnsi="Times New Roman" w:cs="Times New Roman"/>
          <w:i/>
          <w:iCs/>
          <w:sz w:val="24"/>
          <w:szCs w:val="24"/>
          <w:lang w:val="en-ZW"/>
        </w:rPr>
        <w:t>a quo</w:t>
      </w:r>
      <w:r w:rsidR="00B70C1A">
        <w:rPr>
          <w:rFonts w:ascii="Times New Roman" w:eastAsia="Calibri" w:hAnsi="Times New Roman" w:cs="Times New Roman"/>
          <w:iCs/>
          <w:sz w:val="24"/>
          <w:szCs w:val="24"/>
          <w:lang w:val="en-ZW"/>
        </w:rPr>
        <w:t xml:space="preserve">. </w:t>
      </w:r>
      <w:r w:rsidR="00162EF5">
        <w:rPr>
          <w:rFonts w:ascii="Times New Roman" w:eastAsia="Calibri" w:hAnsi="Times New Roman" w:cs="Times New Roman"/>
          <w:iCs/>
          <w:sz w:val="24"/>
          <w:szCs w:val="24"/>
          <w:lang w:val="en-ZW"/>
        </w:rPr>
        <w:t xml:space="preserve"> </w:t>
      </w:r>
      <w:r w:rsidR="00B70C1A">
        <w:rPr>
          <w:rFonts w:ascii="Times New Roman" w:eastAsia="Calibri" w:hAnsi="Times New Roman" w:cs="Times New Roman"/>
          <w:iCs/>
          <w:sz w:val="24"/>
          <w:szCs w:val="24"/>
          <w:lang w:val="en-ZW"/>
        </w:rPr>
        <w:t xml:space="preserve">They filed this appeal on the following grounds: </w:t>
      </w:r>
    </w:p>
    <w:p w14:paraId="454AFEB1" w14:textId="7016A6C0" w:rsidR="00B70C1A" w:rsidRDefault="0086294A" w:rsidP="00162EF5">
      <w:pPr>
        <w:spacing w:after="0" w:line="480" w:lineRule="auto"/>
        <w:ind w:left="851" w:hanging="284"/>
        <w:jc w:val="both"/>
        <w:rPr>
          <w:rFonts w:ascii="Times New Roman" w:eastAsia="Calibri" w:hAnsi="Times New Roman" w:cs="Times New Roman"/>
          <w:iCs/>
          <w:sz w:val="24"/>
          <w:szCs w:val="24"/>
          <w:lang w:val="en-ZW"/>
        </w:rPr>
      </w:pPr>
      <w:r>
        <w:rPr>
          <w:rFonts w:ascii="Times New Roman" w:eastAsia="Calibri" w:hAnsi="Times New Roman" w:cs="Times New Roman"/>
          <w:iCs/>
          <w:sz w:val="24"/>
          <w:szCs w:val="24"/>
          <w:lang w:val="en-ZW"/>
        </w:rPr>
        <w:t xml:space="preserve">“1. </w:t>
      </w:r>
      <w:r w:rsidR="00B70C1A">
        <w:rPr>
          <w:rFonts w:ascii="Times New Roman" w:eastAsia="Calibri" w:hAnsi="Times New Roman" w:cs="Times New Roman"/>
          <w:iCs/>
          <w:sz w:val="24"/>
          <w:szCs w:val="24"/>
          <w:lang w:val="en-ZW"/>
        </w:rPr>
        <w:t xml:space="preserve">By finding that the first respondent’s claim had not prescribed, the court </w:t>
      </w:r>
      <w:r w:rsidR="00B70C1A" w:rsidRPr="006E57E8">
        <w:rPr>
          <w:rFonts w:ascii="Times New Roman" w:eastAsia="Calibri" w:hAnsi="Times New Roman" w:cs="Times New Roman"/>
          <w:i/>
          <w:iCs/>
          <w:sz w:val="24"/>
          <w:szCs w:val="24"/>
          <w:lang w:val="en-ZW"/>
        </w:rPr>
        <w:t>a quo</w:t>
      </w:r>
      <w:r w:rsidR="00B70C1A">
        <w:rPr>
          <w:rFonts w:ascii="Times New Roman" w:eastAsia="Calibri" w:hAnsi="Times New Roman" w:cs="Times New Roman"/>
          <w:iCs/>
          <w:sz w:val="24"/>
          <w:szCs w:val="24"/>
          <w:lang w:val="en-ZW"/>
        </w:rPr>
        <w:t xml:space="preserve"> erred   and grossly misdirected itself at law.  </w:t>
      </w:r>
    </w:p>
    <w:p w14:paraId="62FDD35A" w14:textId="77777777" w:rsidR="00B70C1A" w:rsidRDefault="00B70C1A" w:rsidP="00162EF5">
      <w:pPr>
        <w:spacing w:after="0" w:line="480" w:lineRule="auto"/>
        <w:ind w:left="851" w:hanging="284"/>
        <w:jc w:val="both"/>
        <w:rPr>
          <w:rFonts w:ascii="Times New Roman" w:eastAsia="Calibri" w:hAnsi="Times New Roman" w:cs="Times New Roman"/>
          <w:iCs/>
          <w:sz w:val="24"/>
          <w:szCs w:val="24"/>
          <w:lang w:val="en-ZW"/>
        </w:rPr>
      </w:pPr>
      <w:r>
        <w:rPr>
          <w:rFonts w:ascii="Times New Roman" w:eastAsia="Calibri" w:hAnsi="Times New Roman" w:cs="Times New Roman"/>
          <w:iCs/>
          <w:sz w:val="24"/>
          <w:szCs w:val="24"/>
          <w:lang w:val="en-ZW"/>
        </w:rPr>
        <w:t xml:space="preserve">2. Related to the above, the court </w:t>
      </w:r>
      <w:r w:rsidRPr="006E57E8">
        <w:rPr>
          <w:rFonts w:ascii="Times New Roman" w:eastAsia="Calibri" w:hAnsi="Times New Roman" w:cs="Times New Roman"/>
          <w:i/>
          <w:iCs/>
          <w:sz w:val="24"/>
          <w:szCs w:val="24"/>
          <w:lang w:val="en-ZW"/>
        </w:rPr>
        <w:t>a quo</w:t>
      </w:r>
      <w:r>
        <w:rPr>
          <w:rFonts w:ascii="Times New Roman" w:eastAsia="Calibri" w:hAnsi="Times New Roman" w:cs="Times New Roman"/>
          <w:iCs/>
          <w:sz w:val="24"/>
          <w:szCs w:val="24"/>
          <w:lang w:val="en-ZW"/>
        </w:rPr>
        <w:t xml:space="preserve"> erred at law in finding that the first respondent had a valid cause of action against the appellant. </w:t>
      </w:r>
    </w:p>
    <w:p w14:paraId="48876478" w14:textId="18F0EF18" w:rsidR="00B70C1A" w:rsidRDefault="006E57E8" w:rsidP="00162EF5">
      <w:pPr>
        <w:spacing w:after="0" w:line="480" w:lineRule="auto"/>
        <w:ind w:left="851" w:hanging="284"/>
        <w:jc w:val="both"/>
        <w:rPr>
          <w:rFonts w:ascii="Times New Roman" w:eastAsia="Calibri" w:hAnsi="Times New Roman" w:cs="Times New Roman"/>
          <w:iCs/>
          <w:sz w:val="24"/>
          <w:szCs w:val="24"/>
          <w:lang w:val="en-ZW"/>
        </w:rPr>
      </w:pPr>
      <w:r>
        <w:rPr>
          <w:rFonts w:ascii="Times New Roman" w:eastAsia="Calibri" w:hAnsi="Times New Roman" w:cs="Times New Roman"/>
          <w:iCs/>
          <w:sz w:val="24"/>
          <w:szCs w:val="24"/>
          <w:lang w:val="en-ZW"/>
        </w:rPr>
        <w:lastRenderedPageBreak/>
        <w:t>3. T</w:t>
      </w:r>
      <w:r w:rsidR="00B70C1A">
        <w:rPr>
          <w:rFonts w:ascii="Times New Roman" w:eastAsia="Calibri" w:hAnsi="Times New Roman" w:cs="Times New Roman"/>
          <w:iCs/>
          <w:sz w:val="24"/>
          <w:szCs w:val="24"/>
          <w:lang w:val="en-ZW"/>
        </w:rPr>
        <w:t xml:space="preserve">he court </w:t>
      </w:r>
      <w:r w:rsidR="00B70C1A" w:rsidRPr="006E57E8">
        <w:rPr>
          <w:rFonts w:ascii="Times New Roman" w:eastAsia="Calibri" w:hAnsi="Times New Roman" w:cs="Times New Roman"/>
          <w:i/>
          <w:iCs/>
          <w:sz w:val="24"/>
          <w:szCs w:val="24"/>
          <w:lang w:val="en-ZW"/>
        </w:rPr>
        <w:t>a quo</w:t>
      </w:r>
      <w:r w:rsidR="00B70C1A">
        <w:rPr>
          <w:rFonts w:ascii="Times New Roman" w:eastAsia="Calibri" w:hAnsi="Times New Roman" w:cs="Times New Roman"/>
          <w:iCs/>
          <w:sz w:val="24"/>
          <w:szCs w:val="24"/>
          <w:lang w:val="en-ZW"/>
        </w:rPr>
        <w:t xml:space="preserve"> erred and misdirected itself in granting the claim as it did </w:t>
      </w:r>
      <w:r w:rsidR="00F96535">
        <w:rPr>
          <w:rFonts w:ascii="Times New Roman" w:eastAsia="Calibri" w:hAnsi="Times New Roman" w:cs="Times New Roman"/>
          <w:iCs/>
          <w:sz w:val="24"/>
          <w:szCs w:val="24"/>
          <w:lang w:val="en-ZW"/>
        </w:rPr>
        <w:t>in</w:t>
      </w:r>
      <w:r w:rsidR="00B70C1A">
        <w:rPr>
          <w:rFonts w:ascii="Times New Roman" w:eastAsia="Calibri" w:hAnsi="Times New Roman" w:cs="Times New Roman"/>
          <w:iCs/>
          <w:sz w:val="24"/>
          <w:szCs w:val="24"/>
          <w:lang w:val="en-ZW"/>
        </w:rPr>
        <w:t xml:space="preserve"> favour of the first respondent whi</w:t>
      </w:r>
      <w:r w:rsidR="00F96535">
        <w:rPr>
          <w:rFonts w:ascii="Times New Roman" w:eastAsia="Calibri" w:hAnsi="Times New Roman" w:cs="Times New Roman"/>
          <w:iCs/>
          <w:sz w:val="24"/>
          <w:szCs w:val="24"/>
          <w:lang w:val="en-ZW"/>
        </w:rPr>
        <w:t>le</w:t>
      </w:r>
      <w:r w:rsidR="00B70C1A">
        <w:rPr>
          <w:rFonts w:ascii="Times New Roman" w:eastAsia="Calibri" w:hAnsi="Times New Roman" w:cs="Times New Roman"/>
          <w:iCs/>
          <w:sz w:val="24"/>
          <w:szCs w:val="24"/>
          <w:lang w:val="en-ZW"/>
        </w:rPr>
        <w:t xml:space="preserve"> in fact and law, the</w:t>
      </w:r>
      <w:r w:rsidR="00F96535">
        <w:rPr>
          <w:rFonts w:ascii="Times New Roman" w:eastAsia="Calibri" w:hAnsi="Times New Roman" w:cs="Times New Roman"/>
          <w:iCs/>
          <w:sz w:val="24"/>
          <w:szCs w:val="24"/>
          <w:lang w:val="en-ZW"/>
        </w:rPr>
        <w:t xml:space="preserve"> (first)</w:t>
      </w:r>
      <w:r w:rsidR="00B70C1A">
        <w:rPr>
          <w:rFonts w:ascii="Times New Roman" w:eastAsia="Calibri" w:hAnsi="Times New Roman" w:cs="Times New Roman"/>
          <w:iCs/>
          <w:sz w:val="24"/>
          <w:szCs w:val="24"/>
          <w:lang w:val="en-ZW"/>
        </w:rPr>
        <w:t xml:space="preserve"> respondent had not proved its case on a balance of probabilities. </w:t>
      </w:r>
    </w:p>
    <w:p w14:paraId="0D0A5051" w14:textId="0ED2B896" w:rsidR="00B70C1A" w:rsidRDefault="006E57E8" w:rsidP="00162EF5">
      <w:pPr>
        <w:spacing w:after="0" w:line="480" w:lineRule="auto"/>
        <w:ind w:left="851" w:hanging="284"/>
        <w:jc w:val="both"/>
        <w:rPr>
          <w:rFonts w:ascii="Times New Roman" w:eastAsia="Calibri" w:hAnsi="Times New Roman" w:cs="Times New Roman"/>
          <w:iCs/>
          <w:sz w:val="24"/>
          <w:szCs w:val="24"/>
          <w:lang w:val="en-ZW"/>
        </w:rPr>
      </w:pPr>
      <w:r>
        <w:rPr>
          <w:rFonts w:ascii="Times New Roman" w:eastAsia="Calibri" w:hAnsi="Times New Roman" w:cs="Times New Roman"/>
          <w:iCs/>
          <w:sz w:val="24"/>
          <w:szCs w:val="24"/>
          <w:lang w:val="en-ZW"/>
        </w:rPr>
        <w:t>4. T</w:t>
      </w:r>
      <w:r w:rsidR="00B70C1A">
        <w:rPr>
          <w:rFonts w:ascii="Times New Roman" w:eastAsia="Calibri" w:hAnsi="Times New Roman" w:cs="Times New Roman"/>
          <w:iCs/>
          <w:sz w:val="24"/>
          <w:szCs w:val="24"/>
          <w:lang w:val="en-ZW"/>
        </w:rPr>
        <w:t xml:space="preserve">he court </w:t>
      </w:r>
      <w:r w:rsidR="00B70C1A" w:rsidRPr="006E57E8">
        <w:rPr>
          <w:rFonts w:ascii="Times New Roman" w:eastAsia="Calibri" w:hAnsi="Times New Roman" w:cs="Times New Roman"/>
          <w:i/>
          <w:iCs/>
          <w:sz w:val="24"/>
          <w:szCs w:val="24"/>
          <w:lang w:val="en-ZW"/>
        </w:rPr>
        <w:t>a quo</w:t>
      </w:r>
      <w:r w:rsidR="00B70C1A">
        <w:rPr>
          <w:rFonts w:ascii="Times New Roman" w:eastAsia="Calibri" w:hAnsi="Times New Roman" w:cs="Times New Roman"/>
          <w:iCs/>
          <w:sz w:val="24"/>
          <w:szCs w:val="24"/>
          <w:lang w:val="en-ZW"/>
        </w:rPr>
        <w:t xml:space="preserve"> erred in granting the claim in favour of the first respondent when there was clear evidence of fraud. </w:t>
      </w:r>
      <w:r w:rsidR="00870C1B">
        <w:rPr>
          <w:rFonts w:ascii="Times New Roman" w:eastAsia="Calibri" w:hAnsi="Times New Roman" w:cs="Times New Roman"/>
          <w:iCs/>
          <w:sz w:val="24"/>
          <w:szCs w:val="24"/>
          <w:lang w:val="en-ZW"/>
        </w:rPr>
        <w:t xml:space="preserve"> </w:t>
      </w:r>
      <w:r w:rsidR="00B70C1A">
        <w:rPr>
          <w:rFonts w:ascii="Times New Roman" w:eastAsia="Calibri" w:hAnsi="Times New Roman" w:cs="Times New Roman"/>
          <w:iCs/>
          <w:sz w:val="24"/>
          <w:szCs w:val="24"/>
          <w:lang w:val="en-ZW"/>
        </w:rPr>
        <w:t xml:space="preserve">Put differently, the court </w:t>
      </w:r>
      <w:r w:rsidR="00B70C1A" w:rsidRPr="006E57E8">
        <w:rPr>
          <w:rFonts w:ascii="Times New Roman" w:eastAsia="Calibri" w:hAnsi="Times New Roman" w:cs="Times New Roman"/>
          <w:i/>
          <w:iCs/>
          <w:sz w:val="24"/>
          <w:szCs w:val="24"/>
          <w:lang w:val="en-ZW"/>
        </w:rPr>
        <w:t>a quo</w:t>
      </w:r>
      <w:r w:rsidR="00B70C1A">
        <w:rPr>
          <w:rFonts w:ascii="Times New Roman" w:eastAsia="Calibri" w:hAnsi="Times New Roman" w:cs="Times New Roman"/>
          <w:iCs/>
          <w:sz w:val="24"/>
          <w:szCs w:val="24"/>
          <w:lang w:val="en-ZW"/>
        </w:rPr>
        <w:t xml:space="preserve"> erred in granting a claim which is </w:t>
      </w:r>
      <w:r w:rsidR="00B70C1A" w:rsidRPr="00B70C1A">
        <w:rPr>
          <w:rFonts w:ascii="Times New Roman" w:eastAsia="Calibri" w:hAnsi="Times New Roman" w:cs="Times New Roman"/>
          <w:i/>
          <w:iCs/>
          <w:sz w:val="24"/>
          <w:szCs w:val="24"/>
          <w:lang w:val="en-ZW"/>
        </w:rPr>
        <w:t>in fraudem</w:t>
      </w:r>
      <w:r w:rsidR="00B70C1A">
        <w:rPr>
          <w:rFonts w:ascii="Times New Roman" w:eastAsia="Calibri" w:hAnsi="Times New Roman" w:cs="Times New Roman"/>
          <w:i/>
          <w:iCs/>
          <w:sz w:val="24"/>
          <w:szCs w:val="24"/>
          <w:lang w:val="en-ZW"/>
        </w:rPr>
        <w:t xml:space="preserve"> </w:t>
      </w:r>
      <w:r w:rsidR="00B70C1A" w:rsidRPr="00B70C1A">
        <w:rPr>
          <w:rFonts w:ascii="Times New Roman" w:eastAsia="Calibri" w:hAnsi="Times New Roman" w:cs="Times New Roman"/>
          <w:i/>
          <w:iCs/>
          <w:sz w:val="24"/>
          <w:szCs w:val="24"/>
          <w:lang w:val="en-ZW"/>
        </w:rPr>
        <w:t>legis</w:t>
      </w:r>
      <w:r w:rsidR="00B70C1A">
        <w:rPr>
          <w:rFonts w:ascii="Times New Roman" w:eastAsia="Calibri" w:hAnsi="Times New Roman" w:cs="Times New Roman"/>
          <w:iCs/>
          <w:sz w:val="24"/>
          <w:szCs w:val="24"/>
          <w:lang w:val="en-ZW"/>
        </w:rPr>
        <w:t xml:space="preserve"> to the advantage of the first respondent”  </w:t>
      </w:r>
    </w:p>
    <w:p w14:paraId="2B0E3584" w14:textId="77777777" w:rsidR="00B70C1A" w:rsidRDefault="00B70C1A" w:rsidP="00B70C1A">
      <w:pPr>
        <w:spacing w:after="0" w:line="240" w:lineRule="auto"/>
        <w:ind w:left="992" w:hanging="425"/>
        <w:jc w:val="both"/>
        <w:rPr>
          <w:rFonts w:ascii="Times New Roman" w:eastAsia="Calibri" w:hAnsi="Times New Roman" w:cs="Times New Roman"/>
          <w:iCs/>
          <w:sz w:val="24"/>
          <w:szCs w:val="24"/>
          <w:lang w:val="en-ZW"/>
        </w:rPr>
      </w:pPr>
    </w:p>
    <w:p w14:paraId="5C9521E6" w14:textId="2DE28015" w:rsidR="00BA5B64" w:rsidRDefault="00BA5B64" w:rsidP="00BA5B64">
      <w:pPr>
        <w:spacing w:after="0" w:line="480" w:lineRule="auto"/>
        <w:ind w:firstLine="1134"/>
        <w:jc w:val="both"/>
        <w:rPr>
          <w:rFonts w:ascii="Times New Roman" w:eastAsia="Calibri" w:hAnsi="Times New Roman" w:cs="Times New Roman"/>
          <w:iCs/>
          <w:sz w:val="24"/>
          <w:szCs w:val="24"/>
          <w:lang w:val="en-ZW"/>
        </w:rPr>
      </w:pPr>
      <w:r>
        <w:rPr>
          <w:rFonts w:ascii="Times New Roman" w:eastAsia="Calibri" w:hAnsi="Times New Roman" w:cs="Times New Roman"/>
          <w:iCs/>
          <w:sz w:val="24"/>
          <w:szCs w:val="24"/>
          <w:lang w:val="en-ZW"/>
        </w:rPr>
        <w:t>The appellants prayed for the success of the ap</w:t>
      </w:r>
      <w:r w:rsidR="006E57E8">
        <w:rPr>
          <w:rFonts w:ascii="Times New Roman" w:eastAsia="Calibri" w:hAnsi="Times New Roman" w:cs="Times New Roman"/>
          <w:iCs/>
          <w:sz w:val="24"/>
          <w:szCs w:val="24"/>
          <w:lang w:val="en-ZW"/>
        </w:rPr>
        <w:t>peal</w:t>
      </w:r>
      <w:r w:rsidR="00F96535">
        <w:rPr>
          <w:rFonts w:ascii="Times New Roman" w:eastAsia="Calibri" w:hAnsi="Times New Roman" w:cs="Times New Roman"/>
          <w:iCs/>
          <w:sz w:val="24"/>
          <w:szCs w:val="24"/>
          <w:lang w:val="en-ZW"/>
        </w:rPr>
        <w:t>,</w:t>
      </w:r>
      <w:r w:rsidR="006E57E8">
        <w:rPr>
          <w:rFonts w:ascii="Times New Roman" w:eastAsia="Calibri" w:hAnsi="Times New Roman" w:cs="Times New Roman"/>
          <w:iCs/>
          <w:sz w:val="24"/>
          <w:szCs w:val="24"/>
          <w:lang w:val="en-ZW"/>
        </w:rPr>
        <w:t xml:space="preserve"> the setting aside of the judgment   </w:t>
      </w:r>
      <w:r w:rsidRPr="006E57E8">
        <w:rPr>
          <w:rFonts w:ascii="Times New Roman" w:eastAsia="Calibri" w:hAnsi="Times New Roman" w:cs="Times New Roman"/>
          <w:i/>
          <w:iCs/>
          <w:sz w:val="24"/>
          <w:szCs w:val="24"/>
          <w:lang w:val="en-ZW"/>
        </w:rPr>
        <w:t>a quo</w:t>
      </w:r>
      <w:r>
        <w:rPr>
          <w:rFonts w:ascii="Times New Roman" w:eastAsia="Calibri" w:hAnsi="Times New Roman" w:cs="Times New Roman"/>
          <w:iCs/>
          <w:sz w:val="24"/>
          <w:szCs w:val="24"/>
          <w:lang w:val="en-ZW"/>
        </w:rPr>
        <w:t xml:space="preserve"> and the dismissal of the first respondent’s claim with costs. </w:t>
      </w:r>
    </w:p>
    <w:p w14:paraId="6DE84647" w14:textId="77777777" w:rsidR="00BA5B64" w:rsidRDefault="00BA5B64" w:rsidP="00BA5B64">
      <w:pPr>
        <w:spacing w:after="0" w:line="480" w:lineRule="auto"/>
        <w:ind w:firstLine="1134"/>
        <w:jc w:val="both"/>
        <w:rPr>
          <w:rFonts w:ascii="Times New Roman" w:eastAsia="Calibri" w:hAnsi="Times New Roman" w:cs="Times New Roman"/>
          <w:iCs/>
          <w:sz w:val="24"/>
          <w:szCs w:val="24"/>
          <w:lang w:val="en-ZW"/>
        </w:rPr>
      </w:pPr>
    </w:p>
    <w:p w14:paraId="02F465F0" w14:textId="44FFFEED" w:rsidR="00BA5B64" w:rsidRDefault="00BA5B64" w:rsidP="00C57FD4">
      <w:pPr>
        <w:spacing w:after="0" w:line="480" w:lineRule="auto"/>
        <w:ind w:firstLine="1134"/>
        <w:jc w:val="both"/>
        <w:rPr>
          <w:rFonts w:ascii="Times New Roman" w:eastAsia="Calibri" w:hAnsi="Times New Roman" w:cs="Times New Roman"/>
          <w:iCs/>
          <w:sz w:val="24"/>
          <w:szCs w:val="24"/>
          <w:lang w:val="en-ZW"/>
        </w:rPr>
      </w:pPr>
      <w:r>
        <w:rPr>
          <w:rFonts w:ascii="Times New Roman" w:eastAsia="Calibri" w:hAnsi="Times New Roman" w:cs="Times New Roman"/>
          <w:iCs/>
          <w:sz w:val="24"/>
          <w:szCs w:val="24"/>
          <w:lang w:val="en-ZW"/>
        </w:rPr>
        <w:t xml:space="preserve">I mention in passing that Mr </w:t>
      </w:r>
      <w:r w:rsidRPr="00BA5B64">
        <w:rPr>
          <w:rFonts w:ascii="Times New Roman" w:eastAsia="Calibri" w:hAnsi="Times New Roman" w:cs="Times New Roman"/>
          <w:i/>
          <w:iCs/>
          <w:sz w:val="24"/>
          <w:szCs w:val="24"/>
          <w:lang w:val="en-ZW"/>
        </w:rPr>
        <w:t>Goba</w:t>
      </w:r>
      <w:r w:rsidR="00391C11">
        <w:rPr>
          <w:rFonts w:ascii="Times New Roman" w:eastAsia="Calibri" w:hAnsi="Times New Roman" w:cs="Times New Roman"/>
          <w:i/>
          <w:iCs/>
          <w:sz w:val="24"/>
          <w:szCs w:val="24"/>
          <w:lang w:val="en-ZW"/>
        </w:rPr>
        <w:t>,</w:t>
      </w:r>
      <w:r>
        <w:rPr>
          <w:rFonts w:ascii="Times New Roman" w:eastAsia="Calibri" w:hAnsi="Times New Roman" w:cs="Times New Roman"/>
          <w:iCs/>
          <w:sz w:val="24"/>
          <w:szCs w:val="24"/>
          <w:lang w:val="en-ZW"/>
        </w:rPr>
        <w:t xml:space="preserve"> who appeared for the appellants</w:t>
      </w:r>
      <w:r w:rsidR="00391C11">
        <w:rPr>
          <w:rFonts w:ascii="Times New Roman" w:eastAsia="Calibri" w:hAnsi="Times New Roman" w:cs="Times New Roman"/>
          <w:iCs/>
          <w:sz w:val="24"/>
          <w:szCs w:val="24"/>
          <w:lang w:val="en-ZW"/>
        </w:rPr>
        <w:t>,</w:t>
      </w:r>
      <w:r>
        <w:rPr>
          <w:rFonts w:ascii="Times New Roman" w:eastAsia="Calibri" w:hAnsi="Times New Roman" w:cs="Times New Roman"/>
          <w:iCs/>
          <w:sz w:val="24"/>
          <w:szCs w:val="24"/>
          <w:lang w:val="en-ZW"/>
        </w:rPr>
        <w:t xml:space="preserve"> submitted that the fourth ground of appeal was being submitted in the alternative. </w:t>
      </w:r>
      <w:r w:rsidR="00870C1B">
        <w:rPr>
          <w:rFonts w:ascii="Times New Roman" w:eastAsia="Calibri" w:hAnsi="Times New Roman" w:cs="Times New Roman"/>
          <w:iCs/>
          <w:sz w:val="24"/>
          <w:szCs w:val="24"/>
          <w:lang w:val="en-ZW"/>
        </w:rPr>
        <w:t xml:space="preserve"> </w:t>
      </w:r>
      <w:r>
        <w:rPr>
          <w:rFonts w:ascii="Times New Roman" w:eastAsia="Calibri" w:hAnsi="Times New Roman" w:cs="Times New Roman"/>
          <w:iCs/>
          <w:sz w:val="24"/>
          <w:szCs w:val="24"/>
          <w:lang w:val="en-ZW"/>
        </w:rPr>
        <w:t xml:space="preserve">Having put that qualification, counsel did not bother to motivate the said ground. </w:t>
      </w:r>
    </w:p>
    <w:p w14:paraId="5901AEED" w14:textId="77777777" w:rsidR="00B121C0" w:rsidRDefault="00B121C0" w:rsidP="00B121C0">
      <w:pPr>
        <w:tabs>
          <w:tab w:val="left" w:pos="284"/>
          <w:tab w:val="left" w:pos="567"/>
        </w:tabs>
        <w:spacing w:after="0" w:line="480" w:lineRule="auto"/>
        <w:ind w:firstLine="1134"/>
        <w:jc w:val="both"/>
        <w:rPr>
          <w:rFonts w:ascii="Times New Roman" w:eastAsia="Calibri" w:hAnsi="Times New Roman" w:cs="Times New Roman"/>
          <w:iCs/>
          <w:sz w:val="24"/>
          <w:szCs w:val="24"/>
          <w:lang w:val="en-ZW"/>
        </w:rPr>
      </w:pPr>
    </w:p>
    <w:p w14:paraId="4175BD04" w14:textId="2BE398EC" w:rsidR="00BA5B64" w:rsidRDefault="00BA5B64" w:rsidP="00BA5B64">
      <w:pPr>
        <w:spacing w:after="0" w:line="480" w:lineRule="auto"/>
        <w:ind w:firstLine="1134"/>
        <w:jc w:val="both"/>
        <w:rPr>
          <w:rFonts w:ascii="Times New Roman" w:eastAsia="Calibri" w:hAnsi="Times New Roman" w:cs="Times New Roman"/>
          <w:iCs/>
          <w:sz w:val="24"/>
          <w:szCs w:val="24"/>
          <w:lang w:val="en-ZW"/>
        </w:rPr>
      </w:pPr>
      <w:r>
        <w:rPr>
          <w:rFonts w:ascii="Times New Roman" w:eastAsia="Calibri" w:hAnsi="Times New Roman" w:cs="Times New Roman"/>
          <w:iCs/>
          <w:sz w:val="24"/>
          <w:szCs w:val="24"/>
          <w:lang w:val="en-ZW"/>
        </w:rPr>
        <w:t xml:space="preserve">There are only two issues for determination in this appeal. </w:t>
      </w:r>
      <w:r w:rsidR="00870C1B">
        <w:rPr>
          <w:rFonts w:ascii="Times New Roman" w:eastAsia="Calibri" w:hAnsi="Times New Roman" w:cs="Times New Roman"/>
          <w:iCs/>
          <w:sz w:val="24"/>
          <w:szCs w:val="24"/>
          <w:lang w:val="en-ZW"/>
        </w:rPr>
        <w:t xml:space="preserve"> </w:t>
      </w:r>
      <w:r>
        <w:rPr>
          <w:rFonts w:ascii="Times New Roman" w:eastAsia="Calibri" w:hAnsi="Times New Roman" w:cs="Times New Roman"/>
          <w:iCs/>
          <w:sz w:val="24"/>
          <w:szCs w:val="24"/>
          <w:lang w:val="en-ZW"/>
        </w:rPr>
        <w:t xml:space="preserve">They are: </w:t>
      </w:r>
    </w:p>
    <w:p w14:paraId="49DD98EC" w14:textId="011098BB" w:rsidR="00BA5B64" w:rsidRPr="00BA5B64" w:rsidRDefault="00BA5B64" w:rsidP="0086294A">
      <w:pPr>
        <w:pStyle w:val="ListParagraph"/>
        <w:numPr>
          <w:ilvl w:val="0"/>
          <w:numId w:val="14"/>
        </w:numPr>
        <w:spacing w:after="0" w:line="480" w:lineRule="auto"/>
        <w:ind w:left="851" w:hanging="284"/>
        <w:jc w:val="both"/>
        <w:rPr>
          <w:rFonts w:ascii="Times New Roman" w:eastAsia="Calibri" w:hAnsi="Times New Roman" w:cs="Times New Roman"/>
          <w:b/>
          <w:iCs/>
          <w:sz w:val="24"/>
          <w:szCs w:val="24"/>
          <w:u w:val="single"/>
          <w:lang w:val="en-ZW"/>
        </w:rPr>
      </w:pPr>
      <w:r>
        <w:rPr>
          <w:rFonts w:ascii="Times New Roman" w:eastAsia="Calibri" w:hAnsi="Times New Roman" w:cs="Times New Roman"/>
          <w:iCs/>
          <w:sz w:val="24"/>
          <w:szCs w:val="24"/>
          <w:lang w:val="en-ZW"/>
        </w:rPr>
        <w:t xml:space="preserve">Whether or not the court </w:t>
      </w:r>
      <w:r w:rsidRPr="00C76EBC">
        <w:rPr>
          <w:rFonts w:ascii="Times New Roman" w:eastAsia="Calibri" w:hAnsi="Times New Roman" w:cs="Times New Roman"/>
          <w:i/>
          <w:iCs/>
          <w:sz w:val="24"/>
          <w:szCs w:val="24"/>
          <w:lang w:val="en-ZW"/>
        </w:rPr>
        <w:t>a quo</w:t>
      </w:r>
      <w:r>
        <w:rPr>
          <w:rFonts w:ascii="Times New Roman" w:eastAsia="Calibri" w:hAnsi="Times New Roman" w:cs="Times New Roman"/>
          <w:iCs/>
          <w:sz w:val="24"/>
          <w:szCs w:val="24"/>
          <w:lang w:val="en-ZW"/>
        </w:rPr>
        <w:t xml:space="preserve"> erred in dismissing the appellant</w:t>
      </w:r>
      <w:r w:rsidR="004C1DD4">
        <w:rPr>
          <w:rFonts w:ascii="Times New Roman" w:eastAsia="Calibri" w:hAnsi="Times New Roman" w:cs="Times New Roman"/>
          <w:iCs/>
          <w:sz w:val="24"/>
          <w:szCs w:val="24"/>
          <w:lang w:val="en-ZW"/>
        </w:rPr>
        <w:t>s’</w:t>
      </w:r>
      <w:r>
        <w:rPr>
          <w:rFonts w:ascii="Times New Roman" w:eastAsia="Calibri" w:hAnsi="Times New Roman" w:cs="Times New Roman"/>
          <w:iCs/>
          <w:sz w:val="24"/>
          <w:szCs w:val="24"/>
          <w:lang w:val="en-ZW"/>
        </w:rPr>
        <w:t xml:space="preserve"> special plea of prescription, and</w:t>
      </w:r>
      <w:r w:rsidR="0056672B">
        <w:rPr>
          <w:rFonts w:ascii="Times New Roman" w:eastAsia="Calibri" w:hAnsi="Times New Roman" w:cs="Times New Roman"/>
          <w:iCs/>
          <w:sz w:val="24"/>
          <w:szCs w:val="24"/>
          <w:lang w:val="en-ZW"/>
        </w:rPr>
        <w:t>;</w:t>
      </w:r>
      <w:r>
        <w:rPr>
          <w:rFonts w:ascii="Times New Roman" w:eastAsia="Calibri" w:hAnsi="Times New Roman" w:cs="Times New Roman"/>
          <w:iCs/>
          <w:sz w:val="24"/>
          <w:szCs w:val="24"/>
          <w:lang w:val="en-ZW"/>
        </w:rPr>
        <w:t xml:space="preserve"> </w:t>
      </w:r>
    </w:p>
    <w:p w14:paraId="585BCC82" w14:textId="461FA093" w:rsidR="00BA5B64" w:rsidRPr="00BA5B64" w:rsidRDefault="00BA5B64" w:rsidP="0086294A">
      <w:pPr>
        <w:pStyle w:val="ListParagraph"/>
        <w:numPr>
          <w:ilvl w:val="0"/>
          <w:numId w:val="14"/>
        </w:numPr>
        <w:spacing w:after="0" w:line="480" w:lineRule="auto"/>
        <w:ind w:left="851" w:hanging="284"/>
        <w:jc w:val="both"/>
        <w:rPr>
          <w:rFonts w:ascii="Times New Roman" w:eastAsia="Calibri" w:hAnsi="Times New Roman" w:cs="Times New Roman"/>
          <w:b/>
          <w:iCs/>
          <w:sz w:val="24"/>
          <w:szCs w:val="24"/>
          <w:u w:val="single"/>
          <w:lang w:val="en-ZW"/>
        </w:rPr>
      </w:pPr>
      <w:r>
        <w:rPr>
          <w:rFonts w:ascii="Times New Roman" w:eastAsia="Calibri" w:hAnsi="Times New Roman" w:cs="Times New Roman"/>
          <w:iCs/>
          <w:sz w:val="24"/>
          <w:szCs w:val="24"/>
          <w:lang w:val="en-ZW"/>
        </w:rPr>
        <w:t xml:space="preserve">Whether or not the court </w:t>
      </w:r>
      <w:r w:rsidRPr="00C76EBC">
        <w:rPr>
          <w:rFonts w:ascii="Times New Roman" w:eastAsia="Calibri" w:hAnsi="Times New Roman" w:cs="Times New Roman"/>
          <w:i/>
          <w:iCs/>
          <w:sz w:val="24"/>
          <w:szCs w:val="24"/>
          <w:lang w:val="en-ZW"/>
        </w:rPr>
        <w:t>a quo</w:t>
      </w:r>
      <w:r>
        <w:rPr>
          <w:rFonts w:ascii="Times New Roman" w:eastAsia="Calibri" w:hAnsi="Times New Roman" w:cs="Times New Roman"/>
          <w:iCs/>
          <w:sz w:val="24"/>
          <w:szCs w:val="24"/>
          <w:lang w:val="en-ZW"/>
        </w:rPr>
        <w:t xml:space="preserve"> </w:t>
      </w:r>
      <w:r w:rsidR="004C1DD4">
        <w:rPr>
          <w:rFonts w:ascii="Times New Roman" w:eastAsia="Calibri" w:hAnsi="Times New Roman" w:cs="Times New Roman"/>
          <w:iCs/>
          <w:sz w:val="24"/>
          <w:szCs w:val="24"/>
          <w:lang w:val="en-ZW"/>
        </w:rPr>
        <w:t>erred</w:t>
      </w:r>
      <w:r>
        <w:rPr>
          <w:rFonts w:ascii="Times New Roman" w:eastAsia="Calibri" w:hAnsi="Times New Roman" w:cs="Times New Roman"/>
          <w:iCs/>
          <w:sz w:val="24"/>
          <w:szCs w:val="24"/>
          <w:lang w:val="en-ZW"/>
        </w:rPr>
        <w:t xml:space="preserve"> in granting relief in favour of the first respondent. </w:t>
      </w:r>
    </w:p>
    <w:p w14:paraId="1D5A7C7F" w14:textId="77777777" w:rsidR="00BA5B64" w:rsidRDefault="00BA5B64" w:rsidP="00BA5B64">
      <w:pPr>
        <w:pStyle w:val="ListParagraph"/>
        <w:spacing w:after="0" w:line="480" w:lineRule="auto"/>
        <w:ind w:left="1494"/>
        <w:jc w:val="both"/>
        <w:rPr>
          <w:rFonts w:ascii="Times New Roman" w:eastAsia="Calibri" w:hAnsi="Times New Roman" w:cs="Times New Roman"/>
          <w:iCs/>
          <w:sz w:val="24"/>
          <w:szCs w:val="24"/>
          <w:lang w:val="en-ZW"/>
        </w:rPr>
      </w:pPr>
    </w:p>
    <w:p w14:paraId="15A31399" w14:textId="610584CF" w:rsidR="00BA5B64" w:rsidRDefault="00BA5B64" w:rsidP="00870C1B">
      <w:pPr>
        <w:pStyle w:val="ListParagraph"/>
        <w:spacing w:after="0" w:line="240" w:lineRule="auto"/>
        <w:ind w:left="0"/>
        <w:jc w:val="both"/>
        <w:rPr>
          <w:rFonts w:ascii="Times New Roman" w:eastAsia="Calibri" w:hAnsi="Times New Roman" w:cs="Times New Roman"/>
          <w:b/>
          <w:iCs/>
          <w:sz w:val="24"/>
          <w:szCs w:val="24"/>
          <w:u w:val="single"/>
          <w:lang w:val="en-ZW"/>
        </w:rPr>
      </w:pPr>
      <w:r w:rsidRPr="00BA5B64">
        <w:rPr>
          <w:rFonts w:ascii="Times New Roman" w:eastAsia="Calibri" w:hAnsi="Times New Roman" w:cs="Times New Roman"/>
          <w:b/>
          <w:iCs/>
          <w:sz w:val="24"/>
          <w:szCs w:val="24"/>
          <w:u w:val="single"/>
          <w:lang w:val="en-ZW"/>
        </w:rPr>
        <w:t xml:space="preserve">WHETHER THE COURT </w:t>
      </w:r>
      <w:r w:rsidRPr="00C76EBC">
        <w:rPr>
          <w:rFonts w:ascii="Times New Roman" w:eastAsia="Calibri" w:hAnsi="Times New Roman" w:cs="Times New Roman"/>
          <w:b/>
          <w:i/>
          <w:iCs/>
          <w:sz w:val="24"/>
          <w:szCs w:val="24"/>
          <w:u w:val="single"/>
          <w:lang w:val="en-ZW"/>
        </w:rPr>
        <w:t>A QUO</w:t>
      </w:r>
      <w:r w:rsidRPr="00BA5B64">
        <w:rPr>
          <w:rFonts w:ascii="Times New Roman" w:eastAsia="Calibri" w:hAnsi="Times New Roman" w:cs="Times New Roman"/>
          <w:b/>
          <w:iCs/>
          <w:sz w:val="24"/>
          <w:szCs w:val="24"/>
          <w:u w:val="single"/>
          <w:lang w:val="en-ZW"/>
        </w:rPr>
        <w:t xml:space="preserve"> ERRED IN DISMISSING THE APPELLANTS</w:t>
      </w:r>
      <w:r w:rsidR="001C7B4A">
        <w:rPr>
          <w:rFonts w:ascii="Times New Roman" w:eastAsia="Calibri" w:hAnsi="Times New Roman" w:cs="Times New Roman"/>
          <w:b/>
          <w:iCs/>
          <w:sz w:val="24"/>
          <w:szCs w:val="24"/>
          <w:u w:val="single"/>
          <w:lang w:val="en-ZW"/>
        </w:rPr>
        <w:t>’</w:t>
      </w:r>
      <w:r w:rsidRPr="00BA5B64">
        <w:rPr>
          <w:rFonts w:ascii="Times New Roman" w:eastAsia="Calibri" w:hAnsi="Times New Roman" w:cs="Times New Roman"/>
          <w:b/>
          <w:iCs/>
          <w:sz w:val="24"/>
          <w:szCs w:val="24"/>
          <w:u w:val="single"/>
          <w:lang w:val="en-ZW"/>
        </w:rPr>
        <w:t xml:space="preserve"> SPECIAL PLEA OF PRESCRIPTION </w:t>
      </w:r>
    </w:p>
    <w:p w14:paraId="5B334E62" w14:textId="77777777" w:rsidR="00ED7010" w:rsidRDefault="00ED7010" w:rsidP="00870C1B">
      <w:pPr>
        <w:pStyle w:val="ListParagraph"/>
        <w:spacing w:after="0" w:line="240" w:lineRule="auto"/>
        <w:ind w:left="0"/>
        <w:jc w:val="both"/>
        <w:rPr>
          <w:rFonts w:ascii="Times New Roman" w:eastAsia="Calibri" w:hAnsi="Times New Roman" w:cs="Times New Roman"/>
          <w:b/>
          <w:iCs/>
          <w:sz w:val="24"/>
          <w:szCs w:val="24"/>
          <w:u w:val="single"/>
          <w:lang w:val="en-ZW"/>
        </w:rPr>
      </w:pPr>
    </w:p>
    <w:p w14:paraId="1540F959" w14:textId="128B49FE" w:rsidR="003B1736" w:rsidRDefault="00BA5B64" w:rsidP="00916B7E">
      <w:pPr>
        <w:pStyle w:val="ListParagraph"/>
        <w:spacing w:after="0" w:line="480" w:lineRule="auto"/>
        <w:ind w:left="0" w:firstLine="1134"/>
        <w:jc w:val="both"/>
        <w:rPr>
          <w:rFonts w:ascii="Times New Roman" w:eastAsia="Calibri" w:hAnsi="Times New Roman" w:cs="Times New Roman"/>
          <w:iCs/>
          <w:sz w:val="24"/>
          <w:szCs w:val="24"/>
          <w:lang w:val="en-ZW"/>
        </w:rPr>
      </w:pPr>
      <w:r>
        <w:rPr>
          <w:rFonts w:ascii="Times New Roman" w:eastAsia="Calibri" w:hAnsi="Times New Roman" w:cs="Times New Roman"/>
          <w:iCs/>
          <w:sz w:val="24"/>
          <w:szCs w:val="24"/>
          <w:lang w:val="en-ZW"/>
        </w:rPr>
        <w:t>The</w:t>
      </w:r>
      <w:r w:rsidR="00916B7E">
        <w:rPr>
          <w:rFonts w:ascii="Times New Roman" w:eastAsia="Calibri" w:hAnsi="Times New Roman" w:cs="Times New Roman"/>
          <w:iCs/>
          <w:sz w:val="24"/>
          <w:szCs w:val="24"/>
          <w:lang w:val="en-ZW"/>
        </w:rPr>
        <w:t xml:space="preserve"> </w:t>
      </w:r>
      <w:r w:rsidR="001C7B4A">
        <w:rPr>
          <w:rFonts w:ascii="Times New Roman" w:eastAsia="Calibri" w:hAnsi="Times New Roman" w:cs="Times New Roman"/>
          <w:iCs/>
          <w:sz w:val="24"/>
          <w:szCs w:val="24"/>
          <w:lang w:val="en-ZW"/>
        </w:rPr>
        <w:t>C</w:t>
      </w:r>
      <w:r w:rsidR="00916B7E">
        <w:rPr>
          <w:rFonts w:ascii="Times New Roman" w:eastAsia="Calibri" w:hAnsi="Times New Roman" w:cs="Times New Roman"/>
          <w:iCs/>
          <w:sz w:val="24"/>
          <w:szCs w:val="24"/>
          <w:lang w:val="en-ZW"/>
        </w:rPr>
        <w:t>ourt heard arguments from counsel on prescription and, w</w:t>
      </w:r>
      <w:r w:rsidR="003B1736">
        <w:rPr>
          <w:rFonts w:ascii="Times New Roman" w:eastAsia="Calibri" w:hAnsi="Times New Roman" w:cs="Times New Roman"/>
          <w:iCs/>
          <w:sz w:val="24"/>
          <w:szCs w:val="24"/>
          <w:lang w:val="en-ZW"/>
        </w:rPr>
        <w:t xml:space="preserve">ith the consent of the parties, rolled </w:t>
      </w:r>
      <w:r w:rsidR="0056672B">
        <w:rPr>
          <w:rFonts w:ascii="Times New Roman" w:eastAsia="Calibri" w:hAnsi="Times New Roman" w:cs="Times New Roman"/>
          <w:iCs/>
          <w:sz w:val="24"/>
          <w:szCs w:val="24"/>
          <w:lang w:val="en-ZW"/>
        </w:rPr>
        <w:t>the issue</w:t>
      </w:r>
      <w:r w:rsidR="003B1736">
        <w:rPr>
          <w:rFonts w:ascii="Times New Roman" w:eastAsia="Calibri" w:hAnsi="Times New Roman" w:cs="Times New Roman"/>
          <w:iCs/>
          <w:sz w:val="24"/>
          <w:szCs w:val="24"/>
          <w:lang w:val="en-ZW"/>
        </w:rPr>
        <w:t xml:space="preserve"> over for determination together with the merits. The understanding was </w:t>
      </w:r>
      <w:r w:rsidR="003B1736">
        <w:rPr>
          <w:rFonts w:ascii="Times New Roman" w:eastAsia="Calibri" w:hAnsi="Times New Roman" w:cs="Times New Roman"/>
          <w:iCs/>
          <w:sz w:val="24"/>
          <w:szCs w:val="24"/>
          <w:lang w:val="en-ZW"/>
        </w:rPr>
        <w:lastRenderedPageBreak/>
        <w:t xml:space="preserve">that, should the </w:t>
      </w:r>
      <w:r w:rsidR="001C7B4A">
        <w:rPr>
          <w:rFonts w:ascii="Times New Roman" w:eastAsia="Calibri" w:hAnsi="Times New Roman" w:cs="Times New Roman"/>
          <w:iCs/>
          <w:sz w:val="24"/>
          <w:szCs w:val="24"/>
          <w:lang w:val="en-ZW"/>
        </w:rPr>
        <w:t>C</w:t>
      </w:r>
      <w:r w:rsidR="003B1736">
        <w:rPr>
          <w:rFonts w:ascii="Times New Roman" w:eastAsia="Calibri" w:hAnsi="Times New Roman" w:cs="Times New Roman"/>
          <w:iCs/>
          <w:sz w:val="24"/>
          <w:szCs w:val="24"/>
          <w:lang w:val="en-ZW"/>
        </w:rPr>
        <w:t>ourt find in favour of the appellant</w:t>
      </w:r>
      <w:r w:rsidR="001C7B4A">
        <w:rPr>
          <w:rFonts w:ascii="Times New Roman" w:eastAsia="Calibri" w:hAnsi="Times New Roman" w:cs="Times New Roman"/>
          <w:iCs/>
          <w:sz w:val="24"/>
          <w:szCs w:val="24"/>
          <w:lang w:val="en-ZW"/>
        </w:rPr>
        <w:t>s</w:t>
      </w:r>
      <w:r w:rsidR="003B1736">
        <w:rPr>
          <w:rFonts w:ascii="Times New Roman" w:eastAsia="Calibri" w:hAnsi="Times New Roman" w:cs="Times New Roman"/>
          <w:iCs/>
          <w:sz w:val="24"/>
          <w:szCs w:val="24"/>
          <w:lang w:val="en-ZW"/>
        </w:rPr>
        <w:t xml:space="preserve"> </w:t>
      </w:r>
      <w:r w:rsidR="0056672B">
        <w:rPr>
          <w:rFonts w:ascii="Times New Roman" w:eastAsia="Calibri" w:hAnsi="Times New Roman" w:cs="Times New Roman"/>
          <w:iCs/>
          <w:sz w:val="24"/>
          <w:szCs w:val="24"/>
          <w:lang w:val="en-ZW"/>
        </w:rPr>
        <w:t xml:space="preserve">on </w:t>
      </w:r>
      <w:r w:rsidR="00B121C0">
        <w:rPr>
          <w:rFonts w:ascii="Times New Roman" w:eastAsia="Calibri" w:hAnsi="Times New Roman" w:cs="Times New Roman"/>
          <w:iCs/>
          <w:sz w:val="24"/>
          <w:szCs w:val="24"/>
          <w:lang w:val="en-ZW"/>
        </w:rPr>
        <w:t>prescription that</w:t>
      </w:r>
      <w:r w:rsidR="0056672B">
        <w:rPr>
          <w:rFonts w:ascii="Times New Roman" w:eastAsia="Calibri" w:hAnsi="Times New Roman" w:cs="Times New Roman"/>
          <w:iCs/>
          <w:sz w:val="24"/>
          <w:szCs w:val="24"/>
          <w:lang w:val="en-ZW"/>
        </w:rPr>
        <w:t xml:space="preserve"> would be dispositive</w:t>
      </w:r>
      <w:r w:rsidR="003B1736">
        <w:rPr>
          <w:rFonts w:ascii="Times New Roman" w:eastAsia="Calibri" w:hAnsi="Times New Roman" w:cs="Times New Roman"/>
          <w:iCs/>
          <w:sz w:val="24"/>
          <w:szCs w:val="24"/>
          <w:lang w:val="en-ZW"/>
        </w:rPr>
        <w:t xml:space="preserve"> of the appeal rendering it unnecessary to address the merits. </w:t>
      </w:r>
    </w:p>
    <w:p w14:paraId="3F0F0589" w14:textId="77777777" w:rsidR="003B1736" w:rsidRDefault="003B1736" w:rsidP="00916B7E">
      <w:pPr>
        <w:pStyle w:val="ListParagraph"/>
        <w:spacing w:after="0" w:line="480" w:lineRule="auto"/>
        <w:ind w:left="0" w:firstLine="1134"/>
        <w:jc w:val="both"/>
        <w:rPr>
          <w:rFonts w:ascii="Times New Roman" w:eastAsia="Calibri" w:hAnsi="Times New Roman" w:cs="Times New Roman"/>
          <w:iCs/>
          <w:sz w:val="24"/>
          <w:szCs w:val="24"/>
          <w:lang w:val="en-ZW"/>
        </w:rPr>
      </w:pPr>
    </w:p>
    <w:p w14:paraId="5B167E01" w14:textId="5B579F05" w:rsidR="008A077D" w:rsidRDefault="003B1736" w:rsidP="00916B7E">
      <w:pPr>
        <w:pStyle w:val="ListParagraph"/>
        <w:spacing w:after="0" w:line="480" w:lineRule="auto"/>
        <w:ind w:left="0" w:firstLine="1134"/>
        <w:jc w:val="both"/>
        <w:rPr>
          <w:rFonts w:ascii="Times New Roman" w:eastAsia="Calibri" w:hAnsi="Times New Roman" w:cs="Times New Roman"/>
          <w:iCs/>
          <w:sz w:val="24"/>
          <w:szCs w:val="24"/>
          <w:lang w:val="en-ZW"/>
        </w:rPr>
      </w:pPr>
      <w:r>
        <w:rPr>
          <w:rFonts w:ascii="Times New Roman" w:eastAsia="Calibri" w:hAnsi="Times New Roman" w:cs="Times New Roman"/>
          <w:iCs/>
          <w:sz w:val="24"/>
          <w:szCs w:val="24"/>
          <w:lang w:val="en-ZW"/>
        </w:rPr>
        <w:t xml:space="preserve">Mr </w:t>
      </w:r>
      <w:r w:rsidRPr="0056672B">
        <w:rPr>
          <w:rFonts w:ascii="Times New Roman" w:eastAsia="Calibri" w:hAnsi="Times New Roman" w:cs="Times New Roman"/>
          <w:i/>
          <w:iCs/>
          <w:sz w:val="24"/>
          <w:szCs w:val="24"/>
          <w:lang w:val="en-ZW"/>
        </w:rPr>
        <w:t>Goba</w:t>
      </w:r>
      <w:r>
        <w:rPr>
          <w:rFonts w:ascii="Times New Roman" w:eastAsia="Calibri" w:hAnsi="Times New Roman" w:cs="Times New Roman"/>
          <w:iCs/>
          <w:sz w:val="24"/>
          <w:szCs w:val="24"/>
          <w:lang w:val="en-ZW"/>
        </w:rPr>
        <w:t xml:space="preserve"> for the appellants submitted that the claim such as the one made by the first respondent is governed </w:t>
      </w:r>
      <w:r w:rsidR="008A077D">
        <w:rPr>
          <w:rFonts w:ascii="Times New Roman" w:eastAsia="Calibri" w:hAnsi="Times New Roman" w:cs="Times New Roman"/>
          <w:iCs/>
          <w:sz w:val="24"/>
          <w:szCs w:val="24"/>
          <w:lang w:val="en-ZW"/>
        </w:rPr>
        <w:t xml:space="preserve">by the </w:t>
      </w:r>
      <w:r w:rsidR="0056672B">
        <w:rPr>
          <w:rFonts w:ascii="Times New Roman" w:eastAsia="Calibri" w:hAnsi="Times New Roman" w:cs="Times New Roman"/>
          <w:iCs/>
          <w:sz w:val="24"/>
          <w:szCs w:val="24"/>
          <w:lang w:val="en-ZW"/>
        </w:rPr>
        <w:t>P</w:t>
      </w:r>
      <w:r w:rsidR="008A077D">
        <w:rPr>
          <w:rFonts w:ascii="Times New Roman" w:eastAsia="Calibri" w:hAnsi="Times New Roman" w:cs="Times New Roman"/>
          <w:iCs/>
          <w:sz w:val="24"/>
          <w:szCs w:val="24"/>
          <w:lang w:val="en-ZW"/>
        </w:rPr>
        <w:t>rescription Act [</w:t>
      </w:r>
      <w:r w:rsidR="008A077D" w:rsidRPr="008A077D">
        <w:rPr>
          <w:rFonts w:ascii="Times New Roman" w:eastAsia="Calibri" w:hAnsi="Times New Roman" w:cs="Times New Roman"/>
          <w:i/>
          <w:iCs/>
          <w:sz w:val="24"/>
          <w:szCs w:val="24"/>
          <w:lang w:val="en-ZW"/>
        </w:rPr>
        <w:t>Chapter 8:11</w:t>
      </w:r>
      <w:r w:rsidR="00ED7010">
        <w:rPr>
          <w:rFonts w:ascii="Times New Roman" w:eastAsia="Calibri" w:hAnsi="Times New Roman" w:cs="Times New Roman"/>
          <w:iCs/>
          <w:sz w:val="24"/>
          <w:szCs w:val="24"/>
          <w:lang w:val="en-ZW"/>
        </w:rPr>
        <w:t xml:space="preserve">].  </w:t>
      </w:r>
      <w:r w:rsidR="008A077D">
        <w:rPr>
          <w:rFonts w:ascii="Times New Roman" w:eastAsia="Calibri" w:hAnsi="Times New Roman" w:cs="Times New Roman"/>
          <w:iCs/>
          <w:sz w:val="24"/>
          <w:szCs w:val="24"/>
          <w:lang w:val="en-ZW"/>
        </w:rPr>
        <w:t xml:space="preserve">As such, the running of prescription commenced when the house was transferred into the names of the appellants in 1994. In counsel’s view the position taken by the first respondent and accepted by the court </w:t>
      </w:r>
      <w:r w:rsidR="008A077D" w:rsidRPr="0056672B">
        <w:rPr>
          <w:rFonts w:ascii="Times New Roman" w:eastAsia="Calibri" w:hAnsi="Times New Roman" w:cs="Times New Roman"/>
          <w:i/>
          <w:iCs/>
          <w:sz w:val="24"/>
          <w:szCs w:val="24"/>
          <w:lang w:val="en-ZW"/>
        </w:rPr>
        <w:t>a quo</w:t>
      </w:r>
      <w:r w:rsidR="008A077D">
        <w:rPr>
          <w:rFonts w:ascii="Times New Roman" w:eastAsia="Calibri" w:hAnsi="Times New Roman" w:cs="Times New Roman"/>
          <w:iCs/>
          <w:sz w:val="24"/>
          <w:szCs w:val="24"/>
          <w:lang w:val="en-ZW"/>
        </w:rPr>
        <w:t xml:space="preserve"> is an attempt to abandon all the principles of our law which are cast in stone. </w:t>
      </w:r>
      <w:r w:rsidR="00ED7010">
        <w:rPr>
          <w:rFonts w:ascii="Times New Roman" w:eastAsia="Calibri" w:hAnsi="Times New Roman" w:cs="Times New Roman"/>
          <w:iCs/>
          <w:sz w:val="24"/>
          <w:szCs w:val="24"/>
          <w:lang w:val="en-ZW"/>
        </w:rPr>
        <w:t xml:space="preserve"> </w:t>
      </w:r>
      <w:r w:rsidR="008A077D">
        <w:rPr>
          <w:rFonts w:ascii="Times New Roman" w:eastAsia="Calibri" w:hAnsi="Times New Roman" w:cs="Times New Roman"/>
          <w:iCs/>
          <w:sz w:val="24"/>
          <w:szCs w:val="24"/>
          <w:lang w:val="en-ZW"/>
        </w:rPr>
        <w:t xml:space="preserve">He urged the court to find that prescription extinguished the first respondent’s claim. </w:t>
      </w:r>
    </w:p>
    <w:p w14:paraId="00CCAFED" w14:textId="77777777" w:rsidR="008A077D" w:rsidRDefault="008A077D" w:rsidP="00B121C0">
      <w:pPr>
        <w:pStyle w:val="ListParagraph"/>
        <w:spacing w:after="0" w:line="480" w:lineRule="auto"/>
        <w:ind w:left="0" w:firstLine="1134"/>
        <w:jc w:val="both"/>
        <w:rPr>
          <w:rFonts w:ascii="Times New Roman" w:eastAsia="Calibri" w:hAnsi="Times New Roman" w:cs="Times New Roman"/>
          <w:iCs/>
          <w:sz w:val="24"/>
          <w:szCs w:val="24"/>
          <w:lang w:val="en-ZW"/>
        </w:rPr>
      </w:pPr>
    </w:p>
    <w:p w14:paraId="71EBB646" w14:textId="7BFCE6ED" w:rsidR="007F670A" w:rsidRPr="00B121C0" w:rsidRDefault="008A077D" w:rsidP="00B121C0">
      <w:pPr>
        <w:pStyle w:val="ListParagraph"/>
        <w:spacing w:after="0" w:line="480" w:lineRule="auto"/>
        <w:ind w:left="0" w:firstLine="1134"/>
        <w:jc w:val="both"/>
        <w:rPr>
          <w:rFonts w:ascii="Times New Roman" w:eastAsia="Calibri" w:hAnsi="Times New Roman" w:cs="Times New Roman"/>
          <w:b/>
          <w:iCs/>
          <w:sz w:val="24"/>
          <w:szCs w:val="24"/>
          <w:u w:val="single"/>
          <w:lang w:val="en-ZW"/>
        </w:rPr>
      </w:pPr>
      <w:r>
        <w:rPr>
          <w:rFonts w:ascii="Times New Roman" w:eastAsia="Calibri" w:hAnsi="Times New Roman" w:cs="Times New Roman"/>
          <w:iCs/>
          <w:sz w:val="24"/>
          <w:szCs w:val="24"/>
          <w:lang w:val="en-ZW"/>
        </w:rPr>
        <w:t>It</w:t>
      </w:r>
      <w:r w:rsidR="007F670A">
        <w:rPr>
          <w:rFonts w:ascii="Times New Roman" w:eastAsia="Calibri" w:hAnsi="Times New Roman" w:cs="Times New Roman"/>
          <w:iCs/>
          <w:sz w:val="24"/>
          <w:szCs w:val="24"/>
          <w:lang w:val="en-ZW"/>
        </w:rPr>
        <w:t xml:space="preserve"> is instructive to capture the </w:t>
      </w:r>
      <w:r w:rsidR="007F670A">
        <w:rPr>
          <w:rFonts w:ascii="Times New Roman" w:hAnsi="Times New Roman" w:cs="Times New Roman"/>
          <w:sz w:val="24"/>
          <w:szCs w:val="24"/>
        </w:rPr>
        <w:t>appellants` submissions verbatim from the heads of argument settled on their behalf</w:t>
      </w:r>
      <w:r w:rsidR="006512D2">
        <w:rPr>
          <w:rFonts w:ascii="Times New Roman" w:hAnsi="Times New Roman" w:cs="Times New Roman"/>
          <w:sz w:val="24"/>
          <w:szCs w:val="24"/>
        </w:rPr>
        <w:t>:</w:t>
      </w:r>
    </w:p>
    <w:p w14:paraId="7ABC8ED1" w14:textId="77777777" w:rsidR="007F670A" w:rsidRDefault="007F670A" w:rsidP="00572848">
      <w:pPr>
        <w:tabs>
          <w:tab w:val="left" w:pos="1418"/>
          <w:tab w:val="left" w:pos="1701"/>
        </w:tabs>
        <w:spacing w:after="0"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ab/>
        <w:t xml:space="preserve">“3.3. Any claim which first respondent might have had, which is denied, was </w:t>
      </w:r>
    </w:p>
    <w:p w14:paraId="2EBFDDA4" w14:textId="78AEF9BF" w:rsidR="007F670A" w:rsidRDefault="00572848" w:rsidP="00572848">
      <w:pPr>
        <w:tabs>
          <w:tab w:val="left" w:pos="1701"/>
        </w:tabs>
        <w:spacing w:after="0" w:line="240" w:lineRule="auto"/>
        <w:ind w:left="851" w:hanging="851"/>
        <w:jc w:val="both"/>
        <w:rPr>
          <w:rFonts w:ascii="Times New Roman" w:hAnsi="Times New Roman" w:cs="Times New Roman"/>
          <w:sz w:val="24"/>
          <w:szCs w:val="24"/>
        </w:rPr>
      </w:pPr>
      <w:r>
        <w:rPr>
          <w:rFonts w:ascii="Times New Roman" w:hAnsi="Times New Roman" w:cs="Times New Roman"/>
          <w:sz w:val="24"/>
          <w:szCs w:val="24"/>
        </w:rPr>
        <w:t xml:space="preserve">                  </w:t>
      </w:r>
      <w:r w:rsidR="007F670A">
        <w:rPr>
          <w:rFonts w:ascii="Times New Roman" w:hAnsi="Times New Roman" w:cs="Times New Roman"/>
          <w:sz w:val="24"/>
          <w:szCs w:val="24"/>
        </w:rPr>
        <w:t xml:space="preserve"> extinguished by statutory prescription.</w:t>
      </w:r>
    </w:p>
    <w:p w14:paraId="11A69DD8" w14:textId="77777777" w:rsidR="007F670A" w:rsidRDefault="007F670A" w:rsidP="007F670A">
      <w:pPr>
        <w:spacing w:after="0" w:line="240" w:lineRule="auto"/>
        <w:ind w:left="1134" w:hanging="1134"/>
        <w:jc w:val="both"/>
        <w:rPr>
          <w:rFonts w:ascii="Times New Roman" w:hAnsi="Times New Roman" w:cs="Times New Roman"/>
          <w:sz w:val="24"/>
          <w:szCs w:val="24"/>
        </w:rPr>
      </w:pPr>
    </w:p>
    <w:p w14:paraId="400222F6" w14:textId="77777777" w:rsidR="007F670A" w:rsidRDefault="007F670A" w:rsidP="00572848">
      <w:pPr>
        <w:ind w:left="1276" w:hanging="850"/>
        <w:jc w:val="both"/>
        <w:rPr>
          <w:rFonts w:ascii="Times New Roman" w:hAnsi="Times New Roman" w:cs="Times New Roman"/>
          <w:sz w:val="24"/>
          <w:szCs w:val="24"/>
        </w:rPr>
      </w:pPr>
      <w:r>
        <w:rPr>
          <w:rFonts w:ascii="Times New Roman" w:hAnsi="Times New Roman" w:cs="Times New Roman"/>
          <w:sz w:val="24"/>
          <w:szCs w:val="24"/>
        </w:rPr>
        <w:t xml:space="preserve">     3.3.1. It is irrelevant whether or not the parties had been making promises to each other which were unfulfilled or were in disagreement.  First respondent and her husband should have asserted any legal claim they had within the period fixed by law.</w:t>
      </w:r>
    </w:p>
    <w:p w14:paraId="2D0419C0" w14:textId="2ED8648F" w:rsidR="007F670A" w:rsidRDefault="007F670A" w:rsidP="00572848">
      <w:pPr>
        <w:spacing w:after="0"/>
        <w:ind w:left="1134" w:hanging="567"/>
        <w:jc w:val="both"/>
        <w:rPr>
          <w:rFonts w:ascii="Times New Roman" w:hAnsi="Times New Roman" w:cs="Times New Roman"/>
          <w:sz w:val="24"/>
          <w:szCs w:val="24"/>
        </w:rPr>
      </w:pPr>
      <w:r>
        <w:rPr>
          <w:rFonts w:ascii="Times New Roman" w:hAnsi="Times New Roman" w:cs="Times New Roman"/>
          <w:sz w:val="24"/>
          <w:szCs w:val="24"/>
        </w:rPr>
        <w:t xml:space="preserve">3.3.2. Joel Mandaza and SCC signed a Deed of Sale (Existing Tenants: </w:t>
      </w:r>
    </w:p>
    <w:p w14:paraId="115CA130" w14:textId="0A9488C8" w:rsidR="007F670A" w:rsidRDefault="007F670A" w:rsidP="00572848">
      <w:pPr>
        <w:spacing w:after="0"/>
        <w:ind w:left="1134" w:hanging="1134"/>
        <w:jc w:val="both"/>
        <w:rPr>
          <w:rFonts w:ascii="Times New Roman" w:hAnsi="Times New Roman" w:cs="Times New Roman"/>
          <w:sz w:val="24"/>
          <w:szCs w:val="24"/>
        </w:rPr>
      </w:pPr>
      <w:r>
        <w:rPr>
          <w:rFonts w:ascii="Times New Roman" w:hAnsi="Times New Roman" w:cs="Times New Roman"/>
          <w:sz w:val="24"/>
          <w:szCs w:val="24"/>
        </w:rPr>
        <w:t xml:space="preserve">                 </w:t>
      </w:r>
      <w:r w:rsidR="009629BD">
        <w:rPr>
          <w:rFonts w:ascii="Times New Roman" w:hAnsi="Times New Roman" w:cs="Times New Roman"/>
          <w:sz w:val="24"/>
          <w:szCs w:val="24"/>
        </w:rPr>
        <w:tab/>
      </w:r>
      <w:r>
        <w:rPr>
          <w:rFonts w:ascii="Times New Roman" w:hAnsi="Times New Roman" w:cs="Times New Roman"/>
          <w:sz w:val="24"/>
          <w:szCs w:val="24"/>
        </w:rPr>
        <w:t xml:space="preserve">Incorporated Areas) agreement of sale which was effective January 1981, Clause 1 and 2 thereof are instructive.  On 15 September 1994 the Assistant Secretary, Ministry of Local Government signed the Deed of Grant which was then registered on 20 September 1994 to Joel and Grace Mandaza.  First respondent and her husband were aware of this development since then but took </w:t>
      </w:r>
      <w:r w:rsidR="009629BD">
        <w:rPr>
          <w:rFonts w:ascii="Times New Roman" w:hAnsi="Times New Roman" w:cs="Times New Roman"/>
          <w:sz w:val="24"/>
          <w:szCs w:val="24"/>
        </w:rPr>
        <w:t>no</w:t>
      </w:r>
      <w:r>
        <w:rPr>
          <w:rFonts w:ascii="Times New Roman" w:hAnsi="Times New Roman" w:cs="Times New Roman"/>
          <w:sz w:val="24"/>
          <w:szCs w:val="24"/>
        </w:rPr>
        <w:t xml:space="preserve"> legal action to assert any right they claimed to have.  The civil action subject of the present proceedings was only instituted on 8 December 2011, some 17 years later.  By operation of law any claim would have become prescribed under the statute limiting civil actions.</w:t>
      </w:r>
    </w:p>
    <w:p w14:paraId="29A05806" w14:textId="77777777" w:rsidR="007F670A" w:rsidRDefault="007F670A" w:rsidP="007F670A">
      <w:pPr>
        <w:spacing w:after="0"/>
        <w:ind w:left="1701" w:hanging="1701"/>
        <w:jc w:val="both"/>
        <w:rPr>
          <w:rFonts w:ascii="Times New Roman" w:hAnsi="Times New Roman" w:cs="Times New Roman"/>
          <w:sz w:val="24"/>
          <w:szCs w:val="24"/>
        </w:rPr>
      </w:pPr>
    </w:p>
    <w:p w14:paraId="30529609" w14:textId="4D01DB69" w:rsidR="007F670A" w:rsidRDefault="007F670A" w:rsidP="00572848">
      <w:pPr>
        <w:spacing w:after="0" w:line="240" w:lineRule="auto"/>
        <w:ind w:left="1134" w:hanging="567"/>
        <w:jc w:val="both"/>
        <w:rPr>
          <w:rFonts w:ascii="Times New Roman" w:hAnsi="Times New Roman" w:cs="Times New Roman"/>
          <w:sz w:val="24"/>
          <w:szCs w:val="24"/>
        </w:rPr>
      </w:pPr>
      <w:r>
        <w:rPr>
          <w:rFonts w:ascii="Times New Roman" w:hAnsi="Times New Roman" w:cs="Times New Roman"/>
          <w:sz w:val="24"/>
          <w:szCs w:val="24"/>
        </w:rPr>
        <w:t>3.3.3 Prescription of civil claims is part of our law.  It is a legislated</w:t>
      </w:r>
      <w:r w:rsidR="002D3CA2">
        <w:rPr>
          <w:rFonts w:ascii="Times New Roman" w:hAnsi="Times New Roman" w:cs="Times New Roman"/>
          <w:sz w:val="24"/>
          <w:szCs w:val="24"/>
        </w:rPr>
        <w:t xml:space="preserve"> matter</w:t>
      </w:r>
      <w:r>
        <w:rPr>
          <w:rFonts w:ascii="Times New Roman" w:hAnsi="Times New Roman" w:cs="Times New Roman"/>
          <w:sz w:val="24"/>
          <w:szCs w:val="24"/>
        </w:rPr>
        <w:t>, s 15(d) of the Prescription Act [</w:t>
      </w:r>
      <w:r>
        <w:rPr>
          <w:rFonts w:ascii="Times New Roman" w:hAnsi="Times New Roman" w:cs="Times New Roman"/>
          <w:i/>
          <w:sz w:val="24"/>
          <w:szCs w:val="24"/>
        </w:rPr>
        <w:t>Chapter 8:11</w:t>
      </w:r>
      <w:r>
        <w:rPr>
          <w:rFonts w:ascii="Times New Roman" w:hAnsi="Times New Roman" w:cs="Times New Roman"/>
          <w:sz w:val="24"/>
          <w:szCs w:val="24"/>
        </w:rPr>
        <w:t>].  Respondent`s claim fell in the category of any other debt and would have been prescribed as from the very list</w:t>
      </w:r>
      <w:r w:rsidR="009E12C4">
        <w:rPr>
          <w:rFonts w:ascii="Times New Roman" w:hAnsi="Times New Roman" w:cs="Times New Roman"/>
          <w:sz w:val="24"/>
          <w:szCs w:val="24"/>
        </w:rPr>
        <w:t xml:space="preserve"> (sic)</w:t>
      </w:r>
      <w:r>
        <w:rPr>
          <w:rFonts w:ascii="Times New Roman" w:hAnsi="Times New Roman" w:cs="Times New Roman"/>
          <w:sz w:val="24"/>
          <w:szCs w:val="24"/>
        </w:rPr>
        <w:t xml:space="preserve"> 1980.  The issue of prescription was raised at the trial.  The court ought not to have ignored or overlooked it.  Once it was proven that the suit was brought out of time it was liable to dismissal…”</w:t>
      </w:r>
    </w:p>
    <w:p w14:paraId="510FF310" w14:textId="2746C87C" w:rsidR="007F670A" w:rsidRDefault="007F670A" w:rsidP="00E13149">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lastRenderedPageBreak/>
        <w:t xml:space="preserve">Motivating the ground of appeal based on prescription further, Mr </w:t>
      </w:r>
      <w:r>
        <w:rPr>
          <w:rFonts w:ascii="Times New Roman" w:hAnsi="Times New Roman" w:cs="Times New Roman"/>
          <w:i/>
          <w:sz w:val="24"/>
          <w:szCs w:val="24"/>
        </w:rPr>
        <w:t>Goba</w:t>
      </w:r>
      <w:r>
        <w:rPr>
          <w:rFonts w:ascii="Times New Roman" w:hAnsi="Times New Roman" w:cs="Times New Roman"/>
          <w:sz w:val="24"/>
          <w:szCs w:val="24"/>
        </w:rPr>
        <w:t xml:space="preserve"> made reference to evidence led by the appellants at the trial in the form of a letter of demand written to the late Joel Mandaza</w:t>
      </w:r>
      <w:r w:rsidR="001A5148">
        <w:rPr>
          <w:rFonts w:ascii="Times New Roman" w:hAnsi="Times New Roman" w:cs="Times New Roman"/>
          <w:sz w:val="24"/>
          <w:szCs w:val="24"/>
        </w:rPr>
        <w:t xml:space="preserve"> </w:t>
      </w:r>
      <w:r>
        <w:rPr>
          <w:rFonts w:ascii="Times New Roman" w:hAnsi="Times New Roman" w:cs="Times New Roman"/>
          <w:sz w:val="24"/>
          <w:szCs w:val="24"/>
        </w:rPr>
        <w:t>by the first respondent`s e</w:t>
      </w:r>
      <w:r w:rsidR="002417C4">
        <w:rPr>
          <w:rFonts w:ascii="Times New Roman" w:hAnsi="Times New Roman" w:cs="Times New Roman"/>
          <w:sz w:val="24"/>
          <w:szCs w:val="24"/>
        </w:rPr>
        <w:t>rstwhile</w:t>
      </w:r>
      <w:r>
        <w:rPr>
          <w:rFonts w:ascii="Times New Roman" w:hAnsi="Times New Roman" w:cs="Times New Roman"/>
          <w:sz w:val="24"/>
          <w:szCs w:val="24"/>
        </w:rPr>
        <w:t xml:space="preserve"> legal practitioners</w:t>
      </w:r>
      <w:r w:rsidR="002417C4">
        <w:rPr>
          <w:rFonts w:ascii="Times New Roman" w:hAnsi="Times New Roman" w:cs="Times New Roman"/>
          <w:sz w:val="24"/>
          <w:szCs w:val="24"/>
        </w:rPr>
        <w:t>,</w:t>
      </w:r>
      <w:r>
        <w:rPr>
          <w:rFonts w:ascii="Times New Roman" w:hAnsi="Times New Roman" w:cs="Times New Roman"/>
          <w:sz w:val="24"/>
          <w:szCs w:val="24"/>
        </w:rPr>
        <w:t xml:space="preserve"> Honey and Blankenberg</w:t>
      </w:r>
      <w:r w:rsidR="002417C4">
        <w:rPr>
          <w:rFonts w:ascii="Times New Roman" w:hAnsi="Times New Roman" w:cs="Times New Roman"/>
          <w:sz w:val="24"/>
          <w:szCs w:val="24"/>
        </w:rPr>
        <w:t>,</w:t>
      </w:r>
      <w:r>
        <w:rPr>
          <w:rFonts w:ascii="Times New Roman" w:hAnsi="Times New Roman" w:cs="Times New Roman"/>
          <w:sz w:val="24"/>
          <w:szCs w:val="24"/>
        </w:rPr>
        <w:t xml:space="preserve"> on 29 June 1995 in which a demand for transfer of the house was made</w:t>
      </w:r>
      <w:r w:rsidR="002417C4">
        <w:rPr>
          <w:rFonts w:ascii="Times New Roman" w:hAnsi="Times New Roman" w:cs="Times New Roman"/>
          <w:sz w:val="24"/>
          <w:szCs w:val="24"/>
        </w:rPr>
        <w:t>.</w:t>
      </w:r>
      <w:r w:rsidR="00580865">
        <w:rPr>
          <w:rFonts w:ascii="Times New Roman" w:hAnsi="Times New Roman" w:cs="Times New Roman"/>
          <w:sz w:val="24"/>
          <w:szCs w:val="24"/>
        </w:rPr>
        <w:t xml:space="preserve">  </w:t>
      </w:r>
      <w:r>
        <w:rPr>
          <w:rFonts w:ascii="Times New Roman" w:hAnsi="Times New Roman" w:cs="Times New Roman"/>
          <w:sz w:val="24"/>
          <w:szCs w:val="24"/>
        </w:rPr>
        <w:t>Counsel also drew</w:t>
      </w:r>
      <w:r w:rsidR="002417C4">
        <w:rPr>
          <w:rFonts w:ascii="Times New Roman" w:hAnsi="Times New Roman" w:cs="Times New Roman"/>
          <w:sz w:val="24"/>
          <w:szCs w:val="24"/>
        </w:rPr>
        <w:t xml:space="preserve"> the Court’s </w:t>
      </w:r>
      <w:r>
        <w:rPr>
          <w:rFonts w:ascii="Times New Roman" w:hAnsi="Times New Roman" w:cs="Times New Roman"/>
          <w:sz w:val="24"/>
          <w:szCs w:val="24"/>
        </w:rPr>
        <w:t>attention to</w:t>
      </w:r>
      <w:r w:rsidR="002417C4">
        <w:rPr>
          <w:rFonts w:ascii="Times New Roman" w:hAnsi="Times New Roman" w:cs="Times New Roman"/>
          <w:sz w:val="24"/>
          <w:szCs w:val="24"/>
        </w:rPr>
        <w:t xml:space="preserve"> the late</w:t>
      </w:r>
      <w:r>
        <w:rPr>
          <w:rFonts w:ascii="Times New Roman" w:hAnsi="Times New Roman" w:cs="Times New Roman"/>
          <w:sz w:val="24"/>
          <w:szCs w:val="24"/>
        </w:rPr>
        <w:t xml:space="preserve"> Joel Mandaza`s response dated 6 July 1995 in which the latter flatly refused to transfer the house maintaining that the house was his.</w:t>
      </w:r>
    </w:p>
    <w:p w14:paraId="618614A3" w14:textId="77777777" w:rsidR="00580865" w:rsidRDefault="00580865" w:rsidP="00580865">
      <w:pPr>
        <w:spacing w:after="0" w:line="240" w:lineRule="auto"/>
        <w:ind w:firstLine="1134"/>
        <w:jc w:val="both"/>
        <w:rPr>
          <w:rFonts w:ascii="Times New Roman" w:hAnsi="Times New Roman" w:cs="Times New Roman"/>
          <w:sz w:val="24"/>
          <w:szCs w:val="24"/>
        </w:rPr>
      </w:pPr>
    </w:p>
    <w:p w14:paraId="6BEC8394" w14:textId="6E4AE905" w:rsidR="007F670A" w:rsidRDefault="007F670A" w:rsidP="007F670A">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Mr </w:t>
      </w:r>
      <w:r>
        <w:rPr>
          <w:rFonts w:ascii="Times New Roman" w:hAnsi="Times New Roman" w:cs="Times New Roman"/>
          <w:i/>
          <w:sz w:val="24"/>
          <w:szCs w:val="24"/>
        </w:rPr>
        <w:t>Goba</w:t>
      </w:r>
      <w:r>
        <w:rPr>
          <w:rFonts w:ascii="Times New Roman" w:hAnsi="Times New Roman" w:cs="Times New Roman"/>
          <w:sz w:val="24"/>
          <w:szCs w:val="24"/>
        </w:rPr>
        <w:t xml:space="preserve"> made the for</w:t>
      </w:r>
      <w:r w:rsidR="009B6110">
        <w:rPr>
          <w:rFonts w:ascii="Times New Roman" w:hAnsi="Times New Roman" w:cs="Times New Roman"/>
          <w:sz w:val="24"/>
          <w:szCs w:val="24"/>
        </w:rPr>
        <w:t>e</w:t>
      </w:r>
      <w:r>
        <w:rPr>
          <w:rFonts w:ascii="Times New Roman" w:hAnsi="Times New Roman" w:cs="Times New Roman"/>
          <w:sz w:val="24"/>
          <w:szCs w:val="24"/>
        </w:rPr>
        <w:t>going submissions notwithstanding the contents of the</w:t>
      </w:r>
      <w:r w:rsidR="004E45A8">
        <w:rPr>
          <w:rFonts w:ascii="Times New Roman" w:hAnsi="Times New Roman" w:cs="Times New Roman"/>
          <w:sz w:val="24"/>
          <w:szCs w:val="24"/>
        </w:rPr>
        <w:t xml:space="preserve"> </w:t>
      </w:r>
      <w:r>
        <w:rPr>
          <w:rFonts w:ascii="Times New Roman" w:hAnsi="Times New Roman" w:cs="Times New Roman"/>
          <w:sz w:val="24"/>
          <w:szCs w:val="24"/>
        </w:rPr>
        <w:t>appellants` plea in abatement which is also reproduced verbatim above.  The plea posited the running of prescription in 1980 when it became possible to purchase a house without a marriage certificate.  Clearly therefore, the appellants` case on prescription was all over the place.</w:t>
      </w:r>
    </w:p>
    <w:p w14:paraId="6B80ABA4" w14:textId="77777777" w:rsidR="007F670A" w:rsidRDefault="007F670A" w:rsidP="007F670A">
      <w:pPr>
        <w:spacing w:after="0" w:line="240" w:lineRule="auto"/>
        <w:ind w:firstLine="1134"/>
        <w:jc w:val="both"/>
        <w:rPr>
          <w:rFonts w:ascii="Times New Roman" w:hAnsi="Times New Roman" w:cs="Times New Roman"/>
          <w:sz w:val="24"/>
          <w:szCs w:val="24"/>
        </w:rPr>
      </w:pPr>
    </w:p>
    <w:p w14:paraId="42459B8E" w14:textId="2F88B7D3" w:rsidR="007F670A" w:rsidRDefault="007F670A" w:rsidP="007F670A">
      <w:pPr>
        <w:spacing w:line="480" w:lineRule="auto"/>
        <w:ind w:firstLine="1134"/>
        <w:jc w:val="both"/>
        <w:rPr>
          <w:rFonts w:ascii="Times New Roman" w:hAnsi="Times New Roman" w:cs="Times New Roman"/>
          <w:sz w:val="24"/>
          <w:szCs w:val="24"/>
        </w:rPr>
      </w:pPr>
      <w:r>
        <w:rPr>
          <w:rFonts w:ascii="Times New Roman" w:hAnsi="Times New Roman" w:cs="Times New Roman"/>
          <w:i/>
          <w:sz w:val="24"/>
          <w:szCs w:val="24"/>
        </w:rPr>
        <w:t xml:space="preserve">Per contra, </w:t>
      </w:r>
      <w:r>
        <w:rPr>
          <w:rFonts w:ascii="Times New Roman" w:hAnsi="Times New Roman" w:cs="Times New Roman"/>
          <w:sz w:val="24"/>
          <w:szCs w:val="24"/>
        </w:rPr>
        <w:t xml:space="preserve">Mr </w:t>
      </w:r>
      <w:r w:rsidRPr="004C6485">
        <w:rPr>
          <w:rFonts w:ascii="Times New Roman" w:hAnsi="Times New Roman" w:cs="Times New Roman"/>
          <w:i/>
          <w:iCs/>
          <w:sz w:val="24"/>
          <w:szCs w:val="24"/>
        </w:rPr>
        <w:t>Biti</w:t>
      </w:r>
      <w:r w:rsidR="004C6485">
        <w:rPr>
          <w:rFonts w:ascii="Times New Roman" w:hAnsi="Times New Roman" w:cs="Times New Roman"/>
          <w:sz w:val="24"/>
          <w:szCs w:val="24"/>
        </w:rPr>
        <w:t>,</w:t>
      </w:r>
      <w:r>
        <w:rPr>
          <w:rFonts w:ascii="Times New Roman" w:hAnsi="Times New Roman" w:cs="Times New Roman"/>
          <w:sz w:val="24"/>
          <w:szCs w:val="24"/>
        </w:rPr>
        <w:t xml:space="preserve"> for the first respondent</w:t>
      </w:r>
      <w:r w:rsidR="004C6485">
        <w:rPr>
          <w:rFonts w:ascii="Times New Roman" w:hAnsi="Times New Roman" w:cs="Times New Roman"/>
          <w:sz w:val="24"/>
          <w:szCs w:val="24"/>
        </w:rPr>
        <w:t>,</w:t>
      </w:r>
      <w:r>
        <w:rPr>
          <w:rFonts w:ascii="Times New Roman" w:hAnsi="Times New Roman" w:cs="Times New Roman"/>
          <w:sz w:val="24"/>
          <w:szCs w:val="24"/>
        </w:rPr>
        <w:t xml:space="preserve"> contested the ground of appeal premised on prescription on four </w:t>
      </w:r>
      <w:r w:rsidR="004C6485">
        <w:rPr>
          <w:rFonts w:ascii="Times New Roman" w:hAnsi="Times New Roman" w:cs="Times New Roman"/>
          <w:sz w:val="24"/>
          <w:szCs w:val="24"/>
        </w:rPr>
        <w:t>fronts</w:t>
      </w:r>
      <w:r w:rsidR="00DF6B5D">
        <w:rPr>
          <w:rFonts w:ascii="Times New Roman" w:hAnsi="Times New Roman" w:cs="Times New Roman"/>
          <w:sz w:val="24"/>
          <w:szCs w:val="24"/>
        </w:rPr>
        <w:t>,</w:t>
      </w:r>
      <w:r>
        <w:rPr>
          <w:rFonts w:ascii="Times New Roman" w:hAnsi="Times New Roman" w:cs="Times New Roman"/>
          <w:sz w:val="24"/>
          <w:szCs w:val="24"/>
        </w:rPr>
        <w:t xml:space="preserve"> only one of which is dispositive of the issue.  Firstly, he submitted that for prescription to arise there must be a valid cause of action.  In the present case</w:t>
      </w:r>
      <w:r w:rsidR="004C6485">
        <w:rPr>
          <w:rFonts w:ascii="Times New Roman" w:hAnsi="Times New Roman" w:cs="Times New Roman"/>
          <w:sz w:val="24"/>
          <w:szCs w:val="24"/>
        </w:rPr>
        <w:t>,</w:t>
      </w:r>
      <w:r>
        <w:rPr>
          <w:rFonts w:ascii="Times New Roman" w:hAnsi="Times New Roman" w:cs="Times New Roman"/>
          <w:sz w:val="24"/>
          <w:szCs w:val="24"/>
        </w:rPr>
        <w:t xml:space="preserve"> so counsel argued, it is accepted that the agreement entered into between the parties was in </w:t>
      </w:r>
      <w:r>
        <w:rPr>
          <w:rFonts w:ascii="Times New Roman" w:hAnsi="Times New Roman" w:cs="Times New Roman"/>
          <w:i/>
          <w:sz w:val="24"/>
          <w:szCs w:val="24"/>
        </w:rPr>
        <w:t>fra</w:t>
      </w:r>
      <w:r w:rsidR="004C6485">
        <w:rPr>
          <w:rFonts w:ascii="Times New Roman" w:hAnsi="Times New Roman" w:cs="Times New Roman"/>
          <w:i/>
          <w:sz w:val="24"/>
          <w:szCs w:val="24"/>
        </w:rPr>
        <w:t>u</w:t>
      </w:r>
      <w:r>
        <w:rPr>
          <w:rFonts w:ascii="Times New Roman" w:hAnsi="Times New Roman" w:cs="Times New Roman"/>
          <w:i/>
          <w:sz w:val="24"/>
          <w:szCs w:val="24"/>
        </w:rPr>
        <w:t>dem legis</w:t>
      </w:r>
      <w:r>
        <w:rPr>
          <w:rFonts w:ascii="Times New Roman" w:hAnsi="Times New Roman" w:cs="Times New Roman"/>
          <w:sz w:val="24"/>
          <w:szCs w:val="24"/>
        </w:rPr>
        <w:t xml:space="preserve"> to the extent that it was designed to defeat the dictates of colonial law</w:t>
      </w:r>
      <w:r w:rsidR="004C6485">
        <w:rPr>
          <w:rFonts w:ascii="Times New Roman" w:hAnsi="Times New Roman" w:cs="Times New Roman"/>
          <w:sz w:val="24"/>
          <w:szCs w:val="24"/>
        </w:rPr>
        <w:t>.</w:t>
      </w:r>
      <w:r>
        <w:rPr>
          <w:rFonts w:ascii="Times New Roman" w:hAnsi="Times New Roman" w:cs="Times New Roman"/>
          <w:sz w:val="24"/>
          <w:szCs w:val="24"/>
        </w:rPr>
        <w:t xml:space="preserve"> </w:t>
      </w:r>
      <w:r w:rsidR="004C6485">
        <w:rPr>
          <w:rFonts w:ascii="Times New Roman" w:hAnsi="Times New Roman" w:cs="Times New Roman"/>
          <w:sz w:val="24"/>
          <w:szCs w:val="24"/>
        </w:rPr>
        <w:t>I</w:t>
      </w:r>
      <w:r>
        <w:rPr>
          <w:rFonts w:ascii="Times New Roman" w:hAnsi="Times New Roman" w:cs="Times New Roman"/>
          <w:sz w:val="24"/>
          <w:szCs w:val="24"/>
        </w:rPr>
        <w:t>t must follow that no cause of action exists and prescription did not arise.</w:t>
      </w:r>
    </w:p>
    <w:p w14:paraId="036D5C80" w14:textId="77777777" w:rsidR="007F670A" w:rsidRDefault="007F670A" w:rsidP="007F670A">
      <w:pPr>
        <w:spacing w:line="240" w:lineRule="auto"/>
        <w:ind w:firstLine="1134"/>
        <w:jc w:val="both"/>
        <w:rPr>
          <w:rFonts w:ascii="Times New Roman" w:hAnsi="Times New Roman" w:cs="Times New Roman"/>
          <w:sz w:val="24"/>
          <w:szCs w:val="24"/>
        </w:rPr>
      </w:pPr>
    </w:p>
    <w:p w14:paraId="158239AC" w14:textId="55561A07" w:rsidR="007F670A" w:rsidRDefault="007F670A" w:rsidP="007F670A">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Secondly, Mr </w:t>
      </w:r>
      <w:r>
        <w:rPr>
          <w:rFonts w:ascii="Times New Roman" w:hAnsi="Times New Roman" w:cs="Times New Roman"/>
          <w:i/>
          <w:sz w:val="24"/>
          <w:szCs w:val="24"/>
        </w:rPr>
        <w:t xml:space="preserve">Biti </w:t>
      </w:r>
      <w:r>
        <w:rPr>
          <w:rFonts w:ascii="Times New Roman" w:hAnsi="Times New Roman" w:cs="Times New Roman"/>
          <w:sz w:val="24"/>
          <w:szCs w:val="24"/>
        </w:rPr>
        <w:t>submitted that the plea of prescription filed on behalf of the appellants averred that prescription started running in 1980 wh</w:t>
      </w:r>
      <w:r w:rsidR="005848E6">
        <w:rPr>
          <w:rFonts w:ascii="Times New Roman" w:hAnsi="Times New Roman" w:cs="Times New Roman"/>
          <w:sz w:val="24"/>
          <w:szCs w:val="24"/>
        </w:rPr>
        <w:t>en</w:t>
      </w:r>
      <w:r>
        <w:rPr>
          <w:rFonts w:ascii="Times New Roman" w:hAnsi="Times New Roman" w:cs="Times New Roman"/>
          <w:sz w:val="24"/>
          <w:szCs w:val="24"/>
        </w:rPr>
        <w:t xml:space="preserve"> it became possible to acquire a house without a marriage certificate which is factually incorrect.  This is so because even in 1980 women remained perpetual minors under the </w:t>
      </w:r>
      <w:r w:rsidR="008B704D">
        <w:rPr>
          <w:rFonts w:ascii="Times New Roman" w:hAnsi="Times New Roman" w:cs="Times New Roman"/>
          <w:sz w:val="24"/>
          <w:szCs w:val="24"/>
        </w:rPr>
        <w:t>y</w:t>
      </w:r>
      <w:r>
        <w:rPr>
          <w:rFonts w:ascii="Times New Roman" w:hAnsi="Times New Roman" w:cs="Times New Roman"/>
          <w:sz w:val="24"/>
          <w:szCs w:val="24"/>
        </w:rPr>
        <w:t>ok</w:t>
      </w:r>
      <w:r w:rsidR="00CD4297">
        <w:rPr>
          <w:rFonts w:ascii="Times New Roman" w:hAnsi="Times New Roman" w:cs="Times New Roman"/>
          <w:sz w:val="24"/>
          <w:szCs w:val="24"/>
        </w:rPr>
        <w:t>e</w:t>
      </w:r>
      <w:r>
        <w:rPr>
          <w:rFonts w:ascii="Times New Roman" w:hAnsi="Times New Roman" w:cs="Times New Roman"/>
          <w:sz w:val="24"/>
          <w:szCs w:val="24"/>
        </w:rPr>
        <w:t xml:space="preserve"> of their husbands until after this Court`s landmark judgment in </w:t>
      </w:r>
      <w:r>
        <w:rPr>
          <w:rFonts w:ascii="Times New Roman" w:hAnsi="Times New Roman" w:cs="Times New Roman"/>
          <w:i/>
          <w:sz w:val="24"/>
          <w:szCs w:val="24"/>
        </w:rPr>
        <w:t>Katekwe</w:t>
      </w:r>
      <w:r>
        <w:rPr>
          <w:rFonts w:ascii="Times New Roman" w:hAnsi="Times New Roman" w:cs="Times New Roman"/>
          <w:sz w:val="24"/>
          <w:szCs w:val="24"/>
        </w:rPr>
        <w:t xml:space="preserve"> v </w:t>
      </w:r>
      <w:r>
        <w:rPr>
          <w:rFonts w:ascii="Times New Roman" w:hAnsi="Times New Roman" w:cs="Times New Roman"/>
          <w:i/>
          <w:sz w:val="24"/>
          <w:szCs w:val="24"/>
        </w:rPr>
        <w:t xml:space="preserve">Muchabaiwa </w:t>
      </w:r>
      <w:r>
        <w:rPr>
          <w:rFonts w:ascii="Times New Roman" w:hAnsi="Times New Roman" w:cs="Times New Roman"/>
          <w:sz w:val="24"/>
          <w:szCs w:val="24"/>
        </w:rPr>
        <w:t>which led to law reforms.</w:t>
      </w:r>
    </w:p>
    <w:p w14:paraId="3FB13FCB" w14:textId="6F588102" w:rsidR="007F670A" w:rsidRDefault="007F670A" w:rsidP="007F670A">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lastRenderedPageBreak/>
        <w:t>Thirdly</w:t>
      </w:r>
      <w:r w:rsidR="008D77A3">
        <w:rPr>
          <w:rFonts w:ascii="Times New Roman" w:hAnsi="Times New Roman" w:cs="Times New Roman"/>
          <w:sz w:val="24"/>
          <w:szCs w:val="24"/>
        </w:rPr>
        <w:t>,</w:t>
      </w:r>
      <w:r>
        <w:rPr>
          <w:rFonts w:ascii="Times New Roman" w:hAnsi="Times New Roman" w:cs="Times New Roman"/>
          <w:sz w:val="24"/>
          <w:szCs w:val="24"/>
        </w:rPr>
        <w:t xml:space="preserve"> it was submitted on behalf of the first respondent that the word “debt” for purposes of prescription should be defined narrowly and confined only to claims sounding in money </w:t>
      </w:r>
      <w:r>
        <w:rPr>
          <w:rFonts w:ascii="Times New Roman" w:hAnsi="Times New Roman" w:cs="Times New Roman"/>
          <w:i/>
          <w:sz w:val="24"/>
          <w:szCs w:val="24"/>
        </w:rPr>
        <w:t xml:space="preserve">ad factum.  </w:t>
      </w:r>
      <w:r>
        <w:rPr>
          <w:rFonts w:ascii="Times New Roman" w:hAnsi="Times New Roman" w:cs="Times New Roman"/>
          <w:sz w:val="24"/>
          <w:szCs w:val="24"/>
        </w:rPr>
        <w:t>Counsel urged the court to adopt the reasoning taken by South African authorities to the</w:t>
      </w:r>
      <w:r w:rsidR="008D77A3">
        <w:rPr>
          <w:rFonts w:ascii="Times New Roman" w:hAnsi="Times New Roman" w:cs="Times New Roman"/>
          <w:sz w:val="24"/>
          <w:szCs w:val="24"/>
        </w:rPr>
        <w:t xml:space="preserve"> effect</w:t>
      </w:r>
      <w:r>
        <w:rPr>
          <w:rFonts w:ascii="Times New Roman" w:hAnsi="Times New Roman" w:cs="Times New Roman"/>
          <w:sz w:val="24"/>
          <w:szCs w:val="24"/>
        </w:rPr>
        <w:t xml:space="preserve"> that the </w:t>
      </w:r>
      <w:r>
        <w:rPr>
          <w:rFonts w:ascii="Times New Roman" w:hAnsi="Times New Roman" w:cs="Times New Roman"/>
          <w:i/>
          <w:sz w:val="24"/>
          <w:szCs w:val="24"/>
        </w:rPr>
        <w:t xml:space="preserve">actio rei vindicatio </w:t>
      </w:r>
      <w:r>
        <w:rPr>
          <w:rFonts w:ascii="Times New Roman" w:hAnsi="Times New Roman" w:cs="Times New Roman"/>
          <w:sz w:val="24"/>
          <w:szCs w:val="24"/>
        </w:rPr>
        <w:t xml:space="preserve">does not prescribe.  Asked on how the first respondent`s claim qualified as a </w:t>
      </w:r>
      <w:r>
        <w:rPr>
          <w:rFonts w:ascii="Times New Roman" w:hAnsi="Times New Roman" w:cs="Times New Roman"/>
          <w:i/>
          <w:sz w:val="24"/>
          <w:szCs w:val="24"/>
        </w:rPr>
        <w:t>rei vindicatio</w:t>
      </w:r>
      <w:r>
        <w:rPr>
          <w:rFonts w:ascii="Times New Roman" w:hAnsi="Times New Roman" w:cs="Times New Roman"/>
          <w:sz w:val="24"/>
          <w:szCs w:val="24"/>
        </w:rPr>
        <w:t xml:space="preserve"> when, for all intents and purposes, the appellants were the registered owners of the house, Mr </w:t>
      </w:r>
      <w:r>
        <w:rPr>
          <w:rFonts w:ascii="Times New Roman" w:hAnsi="Times New Roman" w:cs="Times New Roman"/>
          <w:i/>
          <w:sz w:val="24"/>
          <w:szCs w:val="24"/>
        </w:rPr>
        <w:t>Biti</w:t>
      </w:r>
      <w:r>
        <w:rPr>
          <w:rFonts w:ascii="Times New Roman" w:hAnsi="Times New Roman" w:cs="Times New Roman"/>
          <w:sz w:val="24"/>
          <w:szCs w:val="24"/>
        </w:rPr>
        <w:t xml:space="preserve"> submitted that this arose from the findings of the court </w:t>
      </w:r>
      <w:r>
        <w:rPr>
          <w:rFonts w:ascii="Times New Roman" w:hAnsi="Times New Roman" w:cs="Times New Roman"/>
          <w:i/>
          <w:sz w:val="24"/>
          <w:szCs w:val="24"/>
        </w:rPr>
        <w:t>a quo</w:t>
      </w:r>
      <w:r>
        <w:rPr>
          <w:rFonts w:ascii="Times New Roman" w:hAnsi="Times New Roman" w:cs="Times New Roman"/>
          <w:sz w:val="24"/>
          <w:szCs w:val="24"/>
        </w:rPr>
        <w:t xml:space="preserve"> that the first respondent was the rightful owner of the house.</w:t>
      </w:r>
    </w:p>
    <w:p w14:paraId="0DE92A89" w14:textId="77777777" w:rsidR="007F670A" w:rsidRDefault="007F670A" w:rsidP="00B321DC">
      <w:pPr>
        <w:spacing w:after="0" w:line="240" w:lineRule="auto"/>
        <w:ind w:firstLine="1134"/>
        <w:jc w:val="both"/>
        <w:rPr>
          <w:rFonts w:ascii="Times New Roman" w:hAnsi="Times New Roman" w:cs="Times New Roman"/>
          <w:sz w:val="24"/>
          <w:szCs w:val="24"/>
        </w:rPr>
      </w:pPr>
    </w:p>
    <w:p w14:paraId="451190CD" w14:textId="15267EC1" w:rsidR="007F670A" w:rsidRDefault="007F670A" w:rsidP="007F670A">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Fourthly, it was submitted for the first respondent that prescription must be properly pleaded and that the pleader is bound by his, her or i</w:t>
      </w:r>
      <w:r w:rsidR="00BC13FD">
        <w:rPr>
          <w:rFonts w:ascii="Times New Roman" w:hAnsi="Times New Roman" w:cs="Times New Roman"/>
          <w:sz w:val="24"/>
          <w:szCs w:val="24"/>
        </w:rPr>
        <w:t>t</w:t>
      </w:r>
      <w:r w:rsidR="00580865">
        <w:rPr>
          <w:rFonts w:ascii="Times New Roman" w:hAnsi="Times New Roman" w:cs="Times New Roman"/>
          <w:sz w:val="24"/>
          <w:szCs w:val="24"/>
        </w:rPr>
        <w:t xml:space="preserve">s plea on prescription.  </w:t>
      </w:r>
      <w:r>
        <w:rPr>
          <w:rFonts w:ascii="Times New Roman" w:hAnsi="Times New Roman" w:cs="Times New Roman"/>
          <w:sz w:val="24"/>
          <w:szCs w:val="24"/>
        </w:rPr>
        <w:t xml:space="preserve">In that regard, so the argument </w:t>
      </w:r>
      <w:r w:rsidR="00BC13FD">
        <w:rPr>
          <w:rFonts w:ascii="Times New Roman" w:hAnsi="Times New Roman" w:cs="Times New Roman"/>
          <w:sz w:val="24"/>
          <w:szCs w:val="24"/>
        </w:rPr>
        <w:t>went</w:t>
      </w:r>
      <w:r>
        <w:rPr>
          <w:rFonts w:ascii="Times New Roman" w:hAnsi="Times New Roman" w:cs="Times New Roman"/>
          <w:sz w:val="24"/>
          <w:szCs w:val="24"/>
        </w:rPr>
        <w:t>, to the extent that the appellants pleaded that prescription arose in 1980 but led no evidence of how, meant that the plea was not proved at all.  This was more so considering that both in evidence and in arguments made on appeal, the appellants relied on facts not pleaded at all.  In any event, so it was argued, the</w:t>
      </w:r>
      <w:r w:rsidR="00BC13FD">
        <w:rPr>
          <w:rFonts w:ascii="Times New Roman" w:hAnsi="Times New Roman" w:cs="Times New Roman"/>
          <w:sz w:val="24"/>
          <w:szCs w:val="24"/>
        </w:rPr>
        <w:t xml:space="preserve"> first respondent’s</w:t>
      </w:r>
      <w:r>
        <w:rPr>
          <w:rFonts w:ascii="Times New Roman" w:hAnsi="Times New Roman" w:cs="Times New Roman"/>
          <w:sz w:val="24"/>
          <w:szCs w:val="24"/>
        </w:rPr>
        <w:t xml:space="preserve"> claim is a continuing wrong.</w:t>
      </w:r>
    </w:p>
    <w:p w14:paraId="4DECE9CE" w14:textId="77777777" w:rsidR="007F670A" w:rsidRDefault="007F670A" w:rsidP="007F670A">
      <w:pPr>
        <w:spacing w:after="0" w:line="240" w:lineRule="auto"/>
        <w:ind w:firstLine="1134"/>
        <w:jc w:val="both"/>
        <w:rPr>
          <w:rFonts w:ascii="Times New Roman" w:hAnsi="Times New Roman" w:cs="Times New Roman"/>
          <w:sz w:val="24"/>
          <w:szCs w:val="24"/>
        </w:rPr>
      </w:pPr>
    </w:p>
    <w:p w14:paraId="14D25BCE" w14:textId="7358F34E" w:rsidR="007F670A" w:rsidRDefault="00DD7381" w:rsidP="007F670A">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In arguing the fourth point, which in my view is dispositive of the special plea, </w:t>
      </w:r>
      <w:r w:rsidR="007F670A">
        <w:rPr>
          <w:rFonts w:ascii="Times New Roman" w:hAnsi="Times New Roman" w:cs="Times New Roman"/>
          <w:sz w:val="24"/>
          <w:szCs w:val="24"/>
        </w:rPr>
        <w:t xml:space="preserve">Mr </w:t>
      </w:r>
      <w:r w:rsidR="007F670A">
        <w:rPr>
          <w:rFonts w:ascii="Times New Roman" w:hAnsi="Times New Roman" w:cs="Times New Roman"/>
          <w:i/>
          <w:sz w:val="24"/>
          <w:szCs w:val="24"/>
        </w:rPr>
        <w:t>Biti</w:t>
      </w:r>
      <w:r w:rsidR="007F670A">
        <w:rPr>
          <w:rFonts w:ascii="Times New Roman" w:hAnsi="Times New Roman" w:cs="Times New Roman"/>
          <w:sz w:val="24"/>
          <w:szCs w:val="24"/>
        </w:rPr>
        <w:t xml:space="preserve"> relied heavily on two judgments of the Constitutional Court namely</w:t>
      </w:r>
      <w:r w:rsidR="0011198F">
        <w:rPr>
          <w:rFonts w:ascii="Times New Roman" w:hAnsi="Times New Roman" w:cs="Times New Roman"/>
          <w:sz w:val="24"/>
          <w:szCs w:val="24"/>
        </w:rPr>
        <w:t>,</w:t>
      </w:r>
      <w:r w:rsidR="007F670A">
        <w:rPr>
          <w:rFonts w:ascii="Times New Roman" w:hAnsi="Times New Roman" w:cs="Times New Roman"/>
          <w:sz w:val="24"/>
          <w:szCs w:val="24"/>
        </w:rPr>
        <w:t xml:space="preserve"> </w:t>
      </w:r>
      <w:r w:rsidR="007F670A">
        <w:rPr>
          <w:rFonts w:ascii="Times New Roman" w:hAnsi="Times New Roman" w:cs="Times New Roman"/>
          <w:i/>
          <w:sz w:val="24"/>
          <w:szCs w:val="24"/>
        </w:rPr>
        <w:t xml:space="preserve">Nyika </w:t>
      </w:r>
      <w:r w:rsidR="00580865">
        <w:rPr>
          <w:rFonts w:ascii="Times New Roman" w:hAnsi="Times New Roman" w:cs="Times New Roman"/>
          <w:i/>
          <w:sz w:val="24"/>
          <w:szCs w:val="24"/>
        </w:rPr>
        <w:t>&amp;</w:t>
      </w:r>
      <w:r w:rsidR="007F670A">
        <w:rPr>
          <w:rFonts w:ascii="Times New Roman" w:hAnsi="Times New Roman" w:cs="Times New Roman"/>
          <w:i/>
          <w:sz w:val="24"/>
          <w:szCs w:val="24"/>
        </w:rPr>
        <w:t xml:space="preserve"> Anor </w:t>
      </w:r>
      <w:r w:rsidR="007F670A">
        <w:rPr>
          <w:rFonts w:ascii="Times New Roman" w:hAnsi="Times New Roman" w:cs="Times New Roman"/>
          <w:sz w:val="24"/>
          <w:szCs w:val="24"/>
        </w:rPr>
        <w:t xml:space="preserve">v </w:t>
      </w:r>
      <w:r w:rsidR="007F670A">
        <w:rPr>
          <w:rFonts w:ascii="Times New Roman" w:hAnsi="Times New Roman" w:cs="Times New Roman"/>
          <w:i/>
          <w:sz w:val="24"/>
          <w:szCs w:val="24"/>
        </w:rPr>
        <w:t xml:space="preserve">Ministry of Home Affairs </w:t>
      </w:r>
      <w:r w:rsidR="003101D2">
        <w:rPr>
          <w:rFonts w:ascii="Times New Roman" w:hAnsi="Times New Roman" w:cs="Times New Roman"/>
          <w:i/>
          <w:sz w:val="24"/>
          <w:szCs w:val="24"/>
        </w:rPr>
        <w:t>&amp;</w:t>
      </w:r>
      <w:r w:rsidR="007F670A">
        <w:rPr>
          <w:rFonts w:ascii="Times New Roman" w:hAnsi="Times New Roman" w:cs="Times New Roman"/>
          <w:i/>
          <w:sz w:val="24"/>
          <w:szCs w:val="24"/>
        </w:rPr>
        <w:t xml:space="preserve"> </w:t>
      </w:r>
      <w:r w:rsidR="00E13149">
        <w:rPr>
          <w:rFonts w:ascii="Times New Roman" w:hAnsi="Times New Roman" w:cs="Times New Roman"/>
          <w:i/>
          <w:sz w:val="24"/>
          <w:szCs w:val="24"/>
        </w:rPr>
        <w:t>Ors</w:t>
      </w:r>
      <w:r w:rsidR="00E13149">
        <w:rPr>
          <w:rFonts w:ascii="Times New Roman" w:hAnsi="Times New Roman" w:cs="Times New Roman"/>
          <w:sz w:val="24"/>
          <w:szCs w:val="24"/>
        </w:rPr>
        <w:t xml:space="preserve"> CCZ</w:t>
      </w:r>
      <w:r w:rsidR="007F670A">
        <w:rPr>
          <w:rFonts w:ascii="Times New Roman" w:hAnsi="Times New Roman" w:cs="Times New Roman"/>
          <w:sz w:val="24"/>
          <w:szCs w:val="24"/>
        </w:rPr>
        <w:t xml:space="preserve"> 5/20 where at para 26 the </w:t>
      </w:r>
      <w:r w:rsidR="00E13149">
        <w:rPr>
          <w:rFonts w:ascii="Times New Roman" w:hAnsi="Times New Roman" w:cs="Times New Roman"/>
          <w:sz w:val="24"/>
          <w:szCs w:val="24"/>
        </w:rPr>
        <w:t>Court stated</w:t>
      </w:r>
      <w:r w:rsidR="0011198F">
        <w:rPr>
          <w:rFonts w:ascii="Times New Roman" w:hAnsi="Times New Roman" w:cs="Times New Roman"/>
          <w:sz w:val="24"/>
          <w:szCs w:val="24"/>
        </w:rPr>
        <w:t>,</w:t>
      </w:r>
      <w:r w:rsidR="007F670A">
        <w:rPr>
          <w:rFonts w:ascii="Times New Roman" w:hAnsi="Times New Roman" w:cs="Times New Roman"/>
          <w:sz w:val="24"/>
          <w:szCs w:val="24"/>
        </w:rPr>
        <w:t xml:space="preserve"> </w:t>
      </w:r>
      <w:r w:rsidR="007F670A">
        <w:rPr>
          <w:rFonts w:ascii="Times New Roman" w:hAnsi="Times New Roman" w:cs="Times New Roman"/>
          <w:i/>
          <w:sz w:val="24"/>
          <w:szCs w:val="24"/>
        </w:rPr>
        <w:t>obiter dictum</w:t>
      </w:r>
      <w:r w:rsidR="0011198F">
        <w:rPr>
          <w:rFonts w:ascii="Times New Roman" w:hAnsi="Times New Roman" w:cs="Times New Roman"/>
          <w:i/>
          <w:sz w:val="24"/>
          <w:szCs w:val="24"/>
        </w:rPr>
        <w:t>,</w:t>
      </w:r>
      <w:r w:rsidR="007F670A">
        <w:rPr>
          <w:rFonts w:ascii="Times New Roman" w:hAnsi="Times New Roman" w:cs="Times New Roman"/>
          <w:sz w:val="24"/>
          <w:szCs w:val="24"/>
        </w:rPr>
        <w:t xml:space="preserve"> </w:t>
      </w:r>
      <w:r w:rsidR="00E13149">
        <w:rPr>
          <w:rFonts w:ascii="Times New Roman" w:hAnsi="Times New Roman" w:cs="Times New Roman"/>
          <w:sz w:val="24"/>
          <w:szCs w:val="24"/>
        </w:rPr>
        <w:t>that where</w:t>
      </w:r>
      <w:r w:rsidR="007F670A">
        <w:rPr>
          <w:rFonts w:ascii="Times New Roman" w:hAnsi="Times New Roman" w:cs="Times New Roman"/>
          <w:sz w:val="24"/>
          <w:szCs w:val="24"/>
        </w:rPr>
        <w:t xml:space="preserve"> a plea in bar is filed raising two issues, these are the only issues that the court is required </w:t>
      </w:r>
      <w:r w:rsidR="00E13149">
        <w:rPr>
          <w:rFonts w:ascii="Times New Roman" w:hAnsi="Times New Roman" w:cs="Times New Roman"/>
          <w:sz w:val="24"/>
          <w:szCs w:val="24"/>
        </w:rPr>
        <w:t>to determine</w:t>
      </w:r>
      <w:r w:rsidR="007F670A">
        <w:rPr>
          <w:rFonts w:ascii="Times New Roman" w:hAnsi="Times New Roman" w:cs="Times New Roman"/>
          <w:sz w:val="24"/>
          <w:szCs w:val="24"/>
        </w:rPr>
        <w:t xml:space="preserve"> and nothing else.</w:t>
      </w:r>
    </w:p>
    <w:p w14:paraId="6518AAC0" w14:textId="77777777" w:rsidR="007F670A" w:rsidRDefault="007F670A" w:rsidP="007F670A">
      <w:pPr>
        <w:spacing w:after="0" w:line="240" w:lineRule="auto"/>
        <w:ind w:firstLine="1134"/>
        <w:jc w:val="both"/>
        <w:rPr>
          <w:rFonts w:ascii="Times New Roman" w:hAnsi="Times New Roman" w:cs="Times New Roman"/>
          <w:sz w:val="24"/>
          <w:szCs w:val="24"/>
        </w:rPr>
      </w:pPr>
    </w:p>
    <w:p w14:paraId="7E5B7B70" w14:textId="2BE624FE" w:rsidR="007F670A" w:rsidRDefault="007F670A" w:rsidP="00E13149">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Counsel also drew attention to the case of </w:t>
      </w:r>
      <w:r>
        <w:rPr>
          <w:rFonts w:ascii="Times New Roman" w:hAnsi="Times New Roman" w:cs="Times New Roman"/>
          <w:i/>
          <w:sz w:val="24"/>
          <w:szCs w:val="24"/>
        </w:rPr>
        <w:t>Dengezi</w:t>
      </w:r>
      <w:r>
        <w:rPr>
          <w:rFonts w:ascii="Times New Roman" w:hAnsi="Times New Roman" w:cs="Times New Roman"/>
          <w:sz w:val="24"/>
          <w:szCs w:val="24"/>
        </w:rPr>
        <w:t xml:space="preserve"> v </w:t>
      </w:r>
      <w:r>
        <w:rPr>
          <w:rFonts w:ascii="Times New Roman" w:hAnsi="Times New Roman" w:cs="Times New Roman"/>
          <w:i/>
          <w:sz w:val="24"/>
          <w:szCs w:val="24"/>
        </w:rPr>
        <w:t xml:space="preserve">Nyamururu </w:t>
      </w:r>
      <w:r w:rsidR="009E6E30">
        <w:rPr>
          <w:rFonts w:ascii="Times New Roman" w:hAnsi="Times New Roman" w:cs="Times New Roman"/>
          <w:i/>
          <w:sz w:val="24"/>
          <w:szCs w:val="24"/>
        </w:rPr>
        <w:t>&amp; Ors</w:t>
      </w:r>
      <w:r>
        <w:rPr>
          <w:rFonts w:ascii="Times New Roman" w:hAnsi="Times New Roman" w:cs="Times New Roman"/>
          <w:i/>
          <w:sz w:val="24"/>
          <w:szCs w:val="24"/>
        </w:rPr>
        <w:t xml:space="preserve"> CCZ</w:t>
      </w:r>
      <w:r>
        <w:rPr>
          <w:rFonts w:ascii="Times New Roman" w:hAnsi="Times New Roman" w:cs="Times New Roman"/>
          <w:sz w:val="24"/>
          <w:szCs w:val="24"/>
        </w:rPr>
        <w:t xml:space="preserve"> 13/23 where, after making reference to the case of </w:t>
      </w:r>
      <w:r>
        <w:rPr>
          <w:rFonts w:ascii="Times New Roman" w:hAnsi="Times New Roman" w:cs="Times New Roman"/>
          <w:i/>
          <w:sz w:val="24"/>
          <w:szCs w:val="24"/>
        </w:rPr>
        <w:t>Brooker</w:t>
      </w:r>
      <w:r>
        <w:rPr>
          <w:rFonts w:ascii="Times New Roman" w:hAnsi="Times New Roman" w:cs="Times New Roman"/>
          <w:sz w:val="24"/>
          <w:szCs w:val="24"/>
        </w:rPr>
        <w:t xml:space="preserve"> v </w:t>
      </w:r>
      <w:r>
        <w:rPr>
          <w:rFonts w:ascii="Times New Roman" w:hAnsi="Times New Roman" w:cs="Times New Roman"/>
          <w:i/>
          <w:sz w:val="24"/>
          <w:szCs w:val="24"/>
        </w:rPr>
        <w:t xml:space="preserve">Mudhanda </w:t>
      </w:r>
      <w:r w:rsidR="009E6E30">
        <w:rPr>
          <w:rFonts w:ascii="Times New Roman" w:hAnsi="Times New Roman" w:cs="Times New Roman"/>
          <w:i/>
          <w:sz w:val="24"/>
          <w:szCs w:val="24"/>
        </w:rPr>
        <w:t>&amp; Anor</w:t>
      </w:r>
      <w:r>
        <w:rPr>
          <w:rFonts w:ascii="Times New Roman" w:hAnsi="Times New Roman" w:cs="Times New Roman"/>
          <w:sz w:val="24"/>
          <w:szCs w:val="24"/>
        </w:rPr>
        <w:t xml:space="preserve"> 2018 (1) ZLR 33 at 38 F-G in which this Court ruled that the defen</w:t>
      </w:r>
      <w:r w:rsidR="00F60A9F">
        <w:rPr>
          <w:rFonts w:ascii="Times New Roman" w:hAnsi="Times New Roman" w:cs="Times New Roman"/>
          <w:sz w:val="24"/>
          <w:szCs w:val="24"/>
        </w:rPr>
        <w:t>s</w:t>
      </w:r>
      <w:r>
        <w:rPr>
          <w:rFonts w:ascii="Times New Roman" w:hAnsi="Times New Roman" w:cs="Times New Roman"/>
          <w:sz w:val="24"/>
          <w:szCs w:val="24"/>
        </w:rPr>
        <w:t xml:space="preserve">e of prescription must be specifically pleaded with </w:t>
      </w:r>
      <w:r>
        <w:rPr>
          <w:rFonts w:ascii="Times New Roman" w:hAnsi="Times New Roman" w:cs="Times New Roman"/>
          <w:sz w:val="24"/>
          <w:szCs w:val="24"/>
        </w:rPr>
        <w:lastRenderedPageBreak/>
        <w:t xml:space="preserve">the plea setting out sufficient facts to show on what it is based followed by the hearing of evidence from the parties, the apex </w:t>
      </w:r>
      <w:r w:rsidR="00F60A9F">
        <w:rPr>
          <w:rFonts w:ascii="Times New Roman" w:hAnsi="Times New Roman" w:cs="Times New Roman"/>
          <w:sz w:val="24"/>
          <w:szCs w:val="24"/>
        </w:rPr>
        <w:t>C</w:t>
      </w:r>
      <w:r>
        <w:rPr>
          <w:rFonts w:ascii="Times New Roman" w:hAnsi="Times New Roman" w:cs="Times New Roman"/>
          <w:sz w:val="24"/>
          <w:szCs w:val="24"/>
        </w:rPr>
        <w:t>ourt stated:</w:t>
      </w:r>
    </w:p>
    <w:p w14:paraId="169B62EA" w14:textId="33B2F691" w:rsidR="007F670A" w:rsidRDefault="007F670A" w:rsidP="00572848">
      <w:pPr>
        <w:tabs>
          <w:tab w:val="left" w:pos="1134"/>
        </w:tabs>
        <w:spacing w:line="240" w:lineRule="auto"/>
        <w:ind w:left="1134" w:hanging="567"/>
        <w:jc w:val="both"/>
        <w:rPr>
          <w:rFonts w:ascii="Times New Roman" w:hAnsi="Times New Roman" w:cs="Times New Roman"/>
          <w:sz w:val="24"/>
          <w:szCs w:val="24"/>
        </w:rPr>
      </w:pPr>
      <w:r>
        <w:rPr>
          <w:rFonts w:ascii="Times New Roman" w:hAnsi="Times New Roman" w:cs="Times New Roman"/>
          <w:sz w:val="24"/>
          <w:szCs w:val="24"/>
        </w:rPr>
        <w:t>“[35] In light of the above, the defence of prescription has to be specifically pleaded and properly established by evidence</w:t>
      </w:r>
      <w:r w:rsidR="00F60A9F">
        <w:rPr>
          <w:rFonts w:ascii="Times New Roman" w:hAnsi="Times New Roman" w:cs="Times New Roman"/>
          <w:sz w:val="24"/>
          <w:szCs w:val="24"/>
        </w:rPr>
        <w:t>.</w:t>
      </w:r>
      <w:r>
        <w:rPr>
          <w:rFonts w:ascii="Times New Roman" w:hAnsi="Times New Roman" w:cs="Times New Roman"/>
          <w:sz w:val="24"/>
          <w:szCs w:val="24"/>
        </w:rPr>
        <w:t xml:space="preserve"> </w:t>
      </w:r>
      <w:r w:rsidR="00F60A9F">
        <w:rPr>
          <w:rFonts w:ascii="Times New Roman" w:hAnsi="Times New Roman" w:cs="Times New Roman"/>
          <w:sz w:val="24"/>
          <w:szCs w:val="24"/>
        </w:rPr>
        <w:t>I</w:t>
      </w:r>
      <w:r>
        <w:rPr>
          <w:rFonts w:ascii="Times New Roman" w:hAnsi="Times New Roman" w:cs="Times New Roman"/>
          <w:sz w:val="24"/>
          <w:szCs w:val="24"/>
        </w:rPr>
        <w:t>ndeed</w:t>
      </w:r>
      <w:r w:rsidR="00A70B96">
        <w:rPr>
          <w:rFonts w:ascii="Times New Roman" w:hAnsi="Times New Roman" w:cs="Times New Roman"/>
          <w:sz w:val="24"/>
          <w:szCs w:val="24"/>
        </w:rPr>
        <w:t>,</w:t>
      </w:r>
      <w:r>
        <w:rPr>
          <w:rFonts w:ascii="Times New Roman" w:hAnsi="Times New Roman" w:cs="Times New Roman"/>
          <w:sz w:val="24"/>
          <w:szCs w:val="24"/>
        </w:rPr>
        <w:t xml:space="preserve"> the Prescription Act itself provide</w:t>
      </w:r>
      <w:r w:rsidR="00F60A9F">
        <w:rPr>
          <w:rFonts w:ascii="Times New Roman" w:hAnsi="Times New Roman" w:cs="Times New Roman"/>
          <w:sz w:val="24"/>
          <w:szCs w:val="24"/>
        </w:rPr>
        <w:t>s</w:t>
      </w:r>
      <w:r>
        <w:rPr>
          <w:rFonts w:ascii="Times New Roman" w:hAnsi="Times New Roman" w:cs="Times New Roman"/>
          <w:sz w:val="24"/>
          <w:szCs w:val="24"/>
        </w:rPr>
        <w:t xml:space="preserve"> in s 20, that the defence of prescription must be specifically pleaded.”</w:t>
      </w:r>
    </w:p>
    <w:p w14:paraId="622E5BC9" w14:textId="77777777" w:rsidR="007F670A" w:rsidRDefault="007F670A" w:rsidP="007F670A">
      <w:pPr>
        <w:spacing w:after="0" w:line="480" w:lineRule="auto"/>
        <w:jc w:val="both"/>
        <w:rPr>
          <w:rFonts w:ascii="Times New Roman" w:hAnsi="Times New Roman" w:cs="Times New Roman"/>
          <w:sz w:val="24"/>
          <w:szCs w:val="24"/>
        </w:rPr>
      </w:pPr>
    </w:p>
    <w:p w14:paraId="27841160" w14:textId="2E3B4AD7" w:rsidR="007F670A" w:rsidRDefault="007F670A" w:rsidP="007F670A">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It was submitted further that while the plea in bar makes reference to the law or policy that was changed in 1980</w:t>
      </w:r>
      <w:r w:rsidR="00A70B96">
        <w:rPr>
          <w:rFonts w:ascii="Times New Roman" w:hAnsi="Times New Roman" w:cs="Times New Roman"/>
          <w:sz w:val="24"/>
          <w:szCs w:val="24"/>
        </w:rPr>
        <w:t>,</w:t>
      </w:r>
      <w:r>
        <w:rPr>
          <w:rFonts w:ascii="Times New Roman" w:hAnsi="Times New Roman" w:cs="Times New Roman"/>
          <w:sz w:val="24"/>
          <w:szCs w:val="24"/>
        </w:rPr>
        <w:t xml:space="preserve"> no shred of evidence on such change was led and accordingly the appellants` plea was not founded on any proven policy or law that existed or was changed in 1980.</w:t>
      </w:r>
    </w:p>
    <w:p w14:paraId="74EFBCF7" w14:textId="77777777" w:rsidR="00A01C75" w:rsidRDefault="00A01C75" w:rsidP="00A01C75">
      <w:pPr>
        <w:spacing w:after="0" w:line="240" w:lineRule="auto"/>
        <w:ind w:firstLine="1134"/>
        <w:jc w:val="both"/>
        <w:rPr>
          <w:rFonts w:ascii="Times New Roman" w:hAnsi="Times New Roman" w:cs="Times New Roman"/>
          <w:sz w:val="24"/>
          <w:szCs w:val="24"/>
        </w:rPr>
      </w:pPr>
    </w:p>
    <w:p w14:paraId="109B642C" w14:textId="7D018C5D" w:rsidR="007F670A" w:rsidRDefault="007F670A" w:rsidP="007F670A">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I have said that in both</w:t>
      </w:r>
      <w:r w:rsidR="003D2CA6">
        <w:rPr>
          <w:rFonts w:ascii="Times New Roman" w:hAnsi="Times New Roman" w:cs="Times New Roman"/>
          <w:sz w:val="24"/>
          <w:szCs w:val="24"/>
        </w:rPr>
        <w:t xml:space="preserve"> </w:t>
      </w:r>
      <w:r>
        <w:rPr>
          <w:rFonts w:ascii="Times New Roman" w:hAnsi="Times New Roman" w:cs="Times New Roman"/>
          <w:sz w:val="24"/>
          <w:szCs w:val="24"/>
        </w:rPr>
        <w:t xml:space="preserve">evidence led </w:t>
      </w:r>
      <w:r>
        <w:rPr>
          <w:rFonts w:ascii="Times New Roman" w:hAnsi="Times New Roman" w:cs="Times New Roman"/>
          <w:i/>
          <w:sz w:val="24"/>
          <w:szCs w:val="24"/>
        </w:rPr>
        <w:t>a quo</w:t>
      </w:r>
      <w:r>
        <w:rPr>
          <w:rFonts w:ascii="Times New Roman" w:hAnsi="Times New Roman" w:cs="Times New Roman"/>
          <w:sz w:val="24"/>
          <w:szCs w:val="24"/>
        </w:rPr>
        <w:t xml:space="preserve"> and</w:t>
      </w:r>
      <w:r w:rsidR="003D2CA6">
        <w:rPr>
          <w:rFonts w:ascii="Times New Roman" w:hAnsi="Times New Roman" w:cs="Times New Roman"/>
          <w:sz w:val="24"/>
          <w:szCs w:val="24"/>
        </w:rPr>
        <w:t xml:space="preserve"> in</w:t>
      </w:r>
      <w:r>
        <w:rPr>
          <w:rFonts w:ascii="Times New Roman" w:hAnsi="Times New Roman" w:cs="Times New Roman"/>
          <w:sz w:val="24"/>
          <w:szCs w:val="24"/>
        </w:rPr>
        <w:t xml:space="preserve"> submissions made </w:t>
      </w:r>
      <w:r w:rsidR="003D2CA6">
        <w:rPr>
          <w:rFonts w:ascii="Times New Roman" w:hAnsi="Times New Roman" w:cs="Times New Roman"/>
          <w:sz w:val="24"/>
          <w:szCs w:val="24"/>
        </w:rPr>
        <w:t>o</w:t>
      </w:r>
      <w:r>
        <w:rPr>
          <w:rFonts w:ascii="Times New Roman" w:hAnsi="Times New Roman" w:cs="Times New Roman"/>
          <w:sz w:val="24"/>
          <w:szCs w:val="24"/>
        </w:rPr>
        <w:t>n appeal the appellants appeared to rely on either the registration of transfer of the house in the names of the appellants or the letter of demand written on behalf of the first respondent a</w:t>
      </w:r>
      <w:r w:rsidR="003D2CA6">
        <w:rPr>
          <w:rFonts w:ascii="Times New Roman" w:hAnsi="Times New Roman" w:cs="Times New Roman"/>
          <w:sz w:val="24"/>
          <w:szCs w:val="24"/>
        </w:rPr>
        <w:t>s</w:t>
      </w:r>
      <w:r>
        <w:rPr>
          <w:rFonts w:ascii="Times New Roman" w:hAnsi="Times New Roman" w:cs="Times New Roman"/>
          <w:sz w:val="24"/>
          <w:szCs w:val="24"/>
        </w:rPr>
        <w:t xml:space="preserve"> triggering the running of prescription.  Doing so was clearly at variance with the appellants` pleaded case, a clear case of barking </w:t>
      </w:r>
      <w:r w:rsidR="00C61031">
        <w:rPr>
          <w:rFonts w:ascii="Times New Roman" w:hAnsi="Times New Roman" w:cs="Times New Roman"/>
          <w:sz w:val="24"/>
          <w:szCs w:val="24"/>
        </w:rPr>
        <w:t>up</w:t>
      </w:r>
      <w:r>
        <w:rPr>
          <w:rFonts w:ascii="Times New Roman" w:hAnsi="Times New Roman" w:cs="Times New Roman"/>
          <w:sz w:val="24"/>
          <w:szCs w:val="24"/>
        </w:rPr>
        <w:t xml:space="preserve"> a wrong tree.</w:t>
      </w:r>
    </w:p>
    <w:p w14:paraId="345EACB9" w14:textId="77777777" w:rsidR="007F670A" w:rsidRDefault="007F670A" w:rsidP="007F670A">
      <w:pPr>
        <w:spacing w:after="0" w:line="240" w:lineRule="auto"/>
        <w:ind w:firstLine="1134"/>
        <w:jc w:val="both"/>
        <w:rPr>
          <w:rFonts w:ascii="Times New Roman" w:hAnsi="Times New Roman" w:cs="Times New Roman"/>
          <w:sz w:val="24"/>
          <w:szCs w:val="24"/>
        </w:rPr>
      </w:pPr>
    </w:p>
    <w:p w14:paraId="2F150CA6" w14:textId="177FEFC2" w:rsidR="007F670A" w:rsidRDefault="007F670A" w:rsidP="007F670A">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It is trite that a litigant is bo</w:t>
      </w:r>
      <w:r w:rsidR="0007289B">
        <w:rPr>
          <w:rFonts w:ascii="Times New Roman" w:hAnsi="Times New Roman" w:cs="Times New Roman"/>
          <w:sz w:val="24"/>
          <w:szCs w:val="24"/>
        </w:rPr>
        <w:t>u</w:t>
      </w:r>
      <w:r>
        <w:rPr>
          <w:rFonts w:ascii="Times New Roman" w:hAnsi="Times New Roman" w:cs="Times New Roman"/>
          <w:sz w:val="24"/>
          <w:szCs w:val="24"/>
        </w:rPr>
        <w:t xml:space="preserve">nd by its pleadings and is not allowed to plead a certain case but to then set about proving a case that was not pleaded.  Not only is that procedurally irregular, it is also against public policy.  It amounts to an ambush and or sending the opposite party on the garden </w:t>
      </w:r>
      <w:r w:rsidR="00975705">
        <w:rPr>
          <w:rFonts w:ascii="Times New Roman" w:hAnsi="Times New Roman" w:cs="Times New Roman"/>
          <w:sz w:val="24"/>
          <w:szCs w:val="24"/>
        </w:rPr>
        <w:t>path that is, having been prepared by the pleadings to meet a certain case</w:t>
      </w:r>
      <w:r>
        <w:rPr>
          <w:rFonts w:ascii="Times New Roman" w:hAnsi="Times New Roman" w:cs="Times New Roman"/>
          <w:sz w:val="24"/>
          <w:szCs w:val="24"/>
        </w:rPr>
        <w:t xml:space="preserve"> the party is then confronted with a different case.</w:t>
      </w:r>
    </w:p>
    <w:p w14:paraId="5593152B" w14:textId="77777777" w:rsidR="007F670A" w:rsidRDefault="007F670A" w:rsidP="007F670A">
      <w:pPr>
        <w:spacing w:after="0" w:line="240" w:lineRule="auto"/>
        <w:jc w:val="both"/>
        <w:rPr>
          <w:rFonts w:ascii="Times New Roman" w:hAnsi="Times New Roman" w:cs="Times New Roman"/>
          <w:sz w:val="24"/>
          <w:szCs w:val="24"/>
        </w:rPr>
      </w:pPr>
    </w:p>
    <w:p w14:paraId="069FFCCC" w14:textId="2E2869E8" w:rsidR="007F670A" w:rsidRDefault="007F670A" w:rsidP="007F670A">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In my view, the court </w:t>
      </w:r>
      <w:r>
        <w:rPr>
          <w:rFonts w:ascii="Times New Roman" w:hAnsi="Times New Roman" w:cs="Times New Roman"/>
          <w:i/>
          <w:sz w:val="24"/>
          <w:szCs w:val="24"/>
        </w:rPr>
        <w:t>a quo</w:t>
      </w:r>
      <w:r>
        <w:rPr>
          <w:rFonts w:ascii="Times New Roman" w:hAnsi="Times New Roman" w:cs="Times New Roman"/>
          <w:sz w:val="24"/>
          <w:szCs w:val="24"/>
        </w:rPr>
        <w:t xml:space="preserve"> arrived at the correct conclusion that the defen</w:t>
      </w:r>
      <w:r w:rsidR="0007289B">
        <w:rPr>
          <w:rFonts w:ascii="Times New Roman" w:hAnsi="Times New Roman" w:cs="Times New Roman"/>
          <w:sz w:val="24"/>
          <w:szCs w:val="24"/>
        </w:rPr>
        <w:t>s</w:t>
      </w:r>
      <w:r>
        <w:rPr>
          <w:rFonts w:ascii="Times New Roman" w:hAnsi="Times New Roman" w:cs="Times New Roman"/>
          <w:sz w:val="24"/>
          <w:szCs w:val="24"/>
        </w:rPr>
        <w:t xml:space="preserve">e of prescription could not be sustained but for the wrong reason.  The position is that the appellants </w:t>
      </w:r>
      <w:r>
        <w:rPr>
          <w:rFonts w:ascii="Times New Roman" w:hAnsi="Times New Roman" w:cs="Times New Roman"/>
          <w:sz w:val="24"/>
          <w:szCs w:val="24"/>
        </w:rPr>
        <w:lastRenderedPageBreak/>
        <w:t>did not prove their pleaded case of prescripti</w:t>
      </w:r>
      <w:r w:rsidR="009E6E30">
        <w:rPr>
          <w:rFonts w:ascii="Times New Roman" w:hAnsi="Times New Roman" w:cs="Times New Roman"/>
          <w:sz w:val="24"/>
          <w:szCs w:val="24"/>
        </w:rPr>
        <w:t xml:space="preserve">on.  </w:t>
      </w:r>
      <w:r>
        <w:rPr>
          <w:rFonts w:ascii="Times New Roman" w:hAnsi="Times New Roman" w:cs="Times New Roman"/>
          <w:sz w:val="24"/>
          <w:szCs w:val="24"/>
        </w:rPr>
        <w:t>The first ground of appeal is demonstrably without merit and ought to fail.</w:t>
      </w:r>
    </w:p>
    <w:p w14:paraId="42B1E059" w14:textId="77777777" w:rsidR="007F670A" w:rsidRDefault="007F670A" w:rsidP="007F670A">
      <w:pPr>
        <w:spacing w:after="0" w:line="240" w:lineRule="auto"/>
        <w:jc w:val="both"/>
        <w:rPr>
          <w:rFonts w:ascii="Times New Roman" w:hAnsi="Times New Roman" w:cs="Times New Roman"/>
          <w:sz w:val="24"/>
          <w:szCs w:val="24"/>
        </w:rPr>
      </w:pPr>
    </w:p>
    <w:p w14:paraId="3CF87FB0" w14:textId="6D6C242A" w:rsidR="007F670A" w:rsidRDefault="00FD632C" w:rsidP="009E6E30">
      <w:pPr>
        <w:tabs>
          <w:tab w:val="left" w:pos="1134"/>
        </w:tabs>
        <w:spacing w:after="0" w:line="240" w:lineRule="auto"/>
        <w:jc w:val="both"/>
        <w:rPr>
          <w:rFonts w:ascii="Times New Roman" w:hAnsi="Times New Roman" w:cs="Times New Roman"/>
          <w:b/>
          <w:sz w:val="24"/>
          <w:szCs w:val="24"/>
        </w:rPr>
      </w:pPr>
      <w:r w:rsidRPr="00975705">
        <w:rPr>
          <w:rFonts w:ascii="Times New Roman" w:hAnsi="Times New Roman" w:cs="Times New Roman"/>
          <w:b/>
          <w:sz w:val="24"/>
          <w:szCs w:val="24"/>
          <w:u w:val="single"/>
        </w:rPr>
        <w:t xml:space="preserve">WHETHER THE COURT </w:t>
      </w:r>
      <w:r w:rsidRPr="00975705">
        <w:rPr>
          <w:rFonts w:ascii="Times New Roman" w:hAnsi="Times New Roman" w:cs="Times New Roman"/>
          <w:b/>
          <w:i/>
          <w:sz w:val="24"/>
          <w:szCs w:val="24"/>
          <w:u w:val="single"/>
        </w:rPr>
        <w:t>A QUO</w:t>
      </w:r>
      <w:r w:rsidRPr="00975705">
        <w:rPr>
          <w:rFonts w:ascii="Times New Roman" w:hAnsi="Times New Roman" w:cs="Times New Roman"/>
          <w:b/>
          <w:sz w:val="24"/>
          <w:szCs w:val="24"/>
          <w:u w:val="single"/>
        </w:rPr>
        <w:t xml:space="preserve"> ERRED IN GRANTING RELIEF IN FAVOUR OF THE FIRST RESPONDENT</w:t>
      </w:r>
      <w:r>
        <w:rPr>
          <w:rFonts w:ascii="Times New Roman" w:hAnsi="Times New Roman" w:cs="Times New Roman"/>
          <w:b/>
          <w:sz w:val="24"/>
          <w:szCs w:val="24"/>
        </w:rPr>
        <w:t>.</w:t>
      </w:r>
    </w:p>
    <w:p w14:paraId="3328FBE5" w14:textId="77777777" w:rsidR="009E6E30" w:rsidRDefault="009E6E30" w:rsidP="009E6E30">
      <w:pPr>
        <w:tabs>
          <w:tab w:val="left" w:pos="1134"/>
        </w:tabs>
        <w:spacing w:after="0" w:line="240" w:lineRule="auto"/>
        <w:jc w:val="both"/>
        <w:rPr>
          <w:rFonts w:ascii="Times New Roman" w:hAnsi="Times New Roman" w:cs="Times New Roman"/>
          <w:b/>
          <w:sz w:val="24"/>
          <w:szCs w:val="24"/>
        </w:rPr>
      </w:pPr>
    </w:p>
    <w:p w14:paraId="5FBF3B79" w14:textId="4E35D110" w:rsidR="007F670A" w:rsidRDefault="007F670A" w:rsidP="00FD632C">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It is apparent from the excerpts of the judgment of the court </w:t>
      </w:r>
      <w:r>
        <w:rPr>
          <w:rFonts w:ascii="Times New Roman" w:hAnsi="Times New Roman" w:cs="Times New Roman"/>
          <w:i/>
          <w:sz w:val="24"/>
          <w:szCs w:val="24"/>
        </w:rPr>
        <w:t>a quo</w:t>
      </w:r>
      <w:r>
        <w:rPr>
          <w:rFonts w:ascii="Times New Roman" w:hAnsi="Times New Roman" w:cs="Times New Roman"/>
          <w:sz w:val="24"/>
          <w:szCs w:val="24"/>
        </w:rPr>
        <w:t xml:space="preserve"> quoted above that it made both credibility and factual findings after assessing the evidence led before it.  It found the evidence of the first respondent that she and her late husband had an arrangement to acquire that house for themselves using the appellants</w:t>
      </w:r>
      <w:r w:rsidR="001A5148">
        <w:rPr>
          <w:rFonts w:ascii="Times New Roman" w:hAnsi="Times New Roman" w:cs="Times New Roman"/>
          <w:sz w:val="24"/>
          <w:szCs w:val="24"/>
        </w:rPr>
        <w:t>’</w:t>
      </w:r>
      <w:r>
        <w:rPr>
          <w:rFonts w:ascii="Times New Roman" w:hAnsi="Times New Roman" w:cs="Times New Roman"/>
          <w:sz w:val="24"/>
          <w:szCs w:val="24"/>
        </w:rPr>
        <w:t xml:space="preserve"> marriage certificate to be credible.  It also found that it is the first respondent and her husband who paid all that was due for the acquisition of the house</w:t>
      </w:r>
      <w:r w:rsidR="0007289B">
        <w:rPr>
          <w:rFonts w:ascii="Times New Roman" w:hAnsi="Times New Roman" w:cs="Times New Roman"/>
          <w:sz w:val="24"/>
          <w:szCs w:val="24"/>
        </w:rPr>
        <w:t>,</w:t>
      </w:r>
      <w:r>
        <w:rPr>
          <w:rFonts w:ascii="Times New Roman" w:hAnsi="Times New Roman" w:cs="Times New Roman"/>
          <w:sz w:val="24"/>
          <w:szCs w:val="24"/>
        </w:rPr>
        <w:t xml:space="preserve"> including</w:t>
      </w:r>
      <w:r w:rsidR="00A40C03">
        <w:rPr>
          <w:rFonts w:ascii="Times New Roman" w:hAnsi="Times New Roman" w:cs="Times New Roman"/>
          <w:sz w:val="24"/>
          <w:szCs w:val="24"/>
        </w:rPr>
        <w:t xml:space="preserve"> the purchase price and</w:t>
      </w:r>
      <w:r>
        <w:rPr>
          <w:rFonts w:ascii="Times New Roman" w:hAnsi="Times New Roman" w:cs="Times New Roman"/>
          <w:sz w:val="24"/>
          <w:szCs w:val="24"/>
        </w:rPr>
        <w:t xml:space="preserve"> transfer fees</w:t>
      </w:r>
      <w:r w:rsidR="0007289B">
        <w:rPr>
          <w:rFonts w:ascii="Times New Roman" w:hAnsi="Times New Roman" w:cs="Times New Roman"/>
          <w:sz w:val="24"/>
          <w:szCs w:val="24"/>
        </w:rPr>
        <w:t>,</w:t>
      </w:r>
      <w:r>
        <w:rPr>
          <w:rFonts w:ascii="Times New Roman" w:hAnsi="Times New Roman" w:cs="Times New Roman"/>
          <w:sz w:val="24"/>
          <w:szCs w:val="24"/>
        </w:rPr>
        <w:t xml:space="preserve"> and that the appellants did not pay anything.  It further found that Grace Mandaza la</w:t>
      </w:r>
      <w:r w:rsidR="0007289B">
        <w:rPr>
          <w:rFonts w:ascii="Times New Roman" w:hAnsi="Times New Roman" w:cs="Times New Roman"/>
          <w:sz w:val="24"/>
          <w:szCs w:val="24"/>
        </w:rPr>
        <w:t>y</w:t>
      </w:r>
      <w:r>
        <w:rPr>
          <w:rFonts w:ascii="Times New Roman" w:hAnsi="Times New Roman" w:cs="Times New Roman"/>
          <w:sz w:val="24"/>
          <w:szCs w:val="24"/>
        </w:rPr>
        <w:t xml:space="preserve"> a claim to the house merely because it was registered in her name and that of her late husband and nothing else.</w:t>
      </w:r>
    </w:p>
    <w:p w14:paraId="221DA325" w14:textId="77777777" w:rsidR="00975705" w:rsidRDefault="00975705" w:rsidP="009E6E30">
      <w:pPr>
        <w:spacing w:after="0" w:line="240" w:lineRule="auto"/>
        <w:ind w:firstLine="1134"/>
        <w:jc w:val="both"/>
        <w:rPr>
          <w:rFonts w:ascii="Times New Roman" w:hAnsi="Times New Roman" w:cs="Times New Roman"/>
          <w:sz w:val="24"/>
          <w:szCs w:val="24"/>
        </w:rPr>
      </w:pPr>
    </w:p>
    <w:p w14:paraId="46597FDA" w14:textId="38D42428" w:rsidR="007F670A" w:rsidRDefault="007F670A" w:rsidP="007F670A">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The grounds of appeal relied upon by the appellants attack these credibility and factual finding</w:t>
      </w:r>
      <w:r w:rsidR="00AB62DB">
        <w:rPr>
          <w:rFonts w:ascii="Times New Roman" w:hAnsi="Times New Roman" w:cs="Times New Roman"/>
          <w:sz w:val="24"/>
          <w:szCs w:val="24"/>
        </w:rPr>
        <w:t>s</w:t>
      </w:r>
      <w:r>
        <w:rPr>
          <w:rFonts w:ascii="Times New Roman" w:hAnsi="Times New Roman" w:cs="Times New Roman"/>
          <w:sz w:val="24"/>
          <w:szCs w:val="24"/>
        </w:rPr>
        <w:t>.  The position is settled in our jurisdiction that an appella</w:t>
      </w:r>
      <w:r w:rsidR="00AB62DB">
        <w:rPr>
          <w:rFonts w:ascii="Times New Roman" w:hAnsi="Times New Roman" w:cs="Times New Roman"/>
          <w:sz w:val="24"/>
          <w:szCs w:val="24"/>
        </w:rPr>
        <w:t>te</w:t>
      </w:r>
      <w:r>
        <w:rPr>
          <w:rFonts w:ascii="Times New Roman" w:hAnsi="Times New Roman" w:cs="Times New Roman"/>
          <w:sz w:val="24"/>
          <w:szCs w:val="24"/>
        </w:rPr>
        <w:t xml:space="preserve"> court can only interfere with credibility and factual findings of the court below on specific laid down grounds.  </w:t>
      </w:r>
    </w:p>
    <w:p w14:paraId="728AA170" w14:textId="77777777" w:rsidR="007F670A" w:rsidRDefault="007F670A" w:rsidP="007F670A">
      <w:pPr>
        <w:spacing w:after="0" w:line="240" w:lineRule="auto"/>
        <w:ind w:firstLine="1134"/>
        <w:jc w:val="both"/>
        <w:rPr>
          <w:rFonts w:ascii="Times New Roman" w:hAnsi="Times New Roman" w:cs="Times New Roman"/>
          <w:sz w:val="24"/>
          <w:szCs w:val="24"/>
        </w:rPr>
      </w:pPr>
    </w:p>
    <w:p w14:paraId="4B603E52" w14:textId="77777777" w:rsidR="007F670A" w:rsidRDefault="007F670A" w:rsidP="00975705">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This Court has been emphatic that it will only interfere with factual findings of a lower court where these findings are grossly unreasonable.  This position was reiterated in the case of </w:t>
      </w:r>
      <w:r>
        <w:rPr>
          <w:rFonts w:ascii="Times New Roman" w:hAnsi="Times New Roman" w:cs="Times New Roman"/>
          <w:i/>
          <w:sz w:val="24"/>
          <w:szCs w:val="24"/>
        </w:rPr>
        <w:t>Zinwa</w:t>
      </w:r>
      <w:r>
        <w:rPr>
          <w:rFonts w:ascii="Times New Roman" w:hAnsi="Times New Roman" w:cs="Times New Roman"/>
          <w:sz w:val="24"/>
          <w:szCs w:val="24"/>
        </w:rPr>
        <w:t xml:space="preserve"> v </w:t>
      </w:r>
      <w:r>
        <w:rPr>
          <w:rFonts w:ascii="Times New Roman" w:hAnsi="Times New Roman" w:cs="Times New Roman"/>
          <w:i/>
          <w:sz w:val="24"/>
          <w:szCs w:val="24"/>
        </w:rPr>
        <w:t>Mwoyounotsva</w:t>
      </w:r>
      <w:r>
        <w:rPr>
          <w:rFonts w:ascii="Times New Roman" w:hAnsi="Times New Roman" w:cs="Times New Roman"/>
          <w:sz w:val="24"/>
          <w:szCs w:val="24"/>
        </w:rPr>
        <w:t xml:space="preserve"> 2015 (1) ZLR 935 (S) at 940 E-F as follows:</w:t>
      </w:r>
    </w:p>
    <w:p w14:paraId="4643BAB6" w14:textId="6669C8E2" w:rsidR="007F670A" w:rsidRDefault="007F670A" w:rsidP="00572848">
      <w:pPr>
        <w:spacing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ab/>
        <w:t>“It is settled that the appella</w:t>
      </w:r>
      <w:r w:rsidR="00AB62DB">
        <w:rPr>
          <w:rFonts w:ascii="Times New Roman" w:hAnsi="Times New Roman" w:cs="Times New Roman"/>
          <w:sz w:val="24"/>
          <w:szCs w:val="24"/>
        </w:rPr>
        <w:t>te</w:t>
      </w:r>
      <w:r>
        <w:rPr>
          <w:rFonts w:ascii="Times New Roman" w:hAnsi="Times New Roman" w:cs="Times New Roman"/>
          <w:sz w:val="24"/>
          <w:szCs w:val="24"/>
        </w:rPr>
        <w:t xml:space="preserve"> court will not interfere with factual findings made by a lower court unless these findings were grossly unreasonable in the sense that no reasonable tribunal applying its mind to the same facts would have arrived at the same conclusions, or that the court had taken leave of its senses, or, put otherwise, the decision is so outrageous in its defiance of logic that no sensible  person who had applied his mind to the question to be decided would have arrived at it, or that the decision was clearly wrong.”</w:t>
      </w:r>
    </w:p>
    <w:p w14:paraId="6005E85B" w14:textId="472016FA" w:rsidR="007F670A" w:rsidRDefault="007F670A" w:rsidP="007F670A">
      <w:pPr>
        <w:spacing w:line="480" w:lineRule="auto"/>
        <w:ind w:firstLine="993"/>
        <w:jc w:val="both"/>
        <w:rPr>
          <w:rFonts w:ascii="Times New Roman" w:hAnsi="Times New Roman" w:cs="Times New Roman"/>
          <w:sz w:val="24"/>
          <w:szCs w:val="24"/>
        </w:rPr>
      </w:pPr>
      <w:r>
        <w:rPr>
          <w:rFonts w:ascii="Times New Roman" w:hAnsi="Times New Roman" w:cs="Times New Roman"/>
          <w:sz w:val="24"/>
          <w:szCs w:val="24"/>
        </w:rPr>
        <w:lastRenderedPageBreak/>
        <w:t xml:space="preserve">See also </w:t>
      </w:r>
      <w:r>
        <w:rPr>
          <w:rFonts w:ascii="Times New Roman" w:hAnsi="Times New Roman" w:cs="Times New Roman"/>
          <w:i/>
          <w:sz w:val="24"/>
          <w:szCs w:val="24"/>
        </w:rPr>
        <w:t>Chioza</w:t>
      </w:r>
      <w:r>
        <w:rPr>
          <w:rFonts w:ascii="Times New Roman" w:hAnsi="Times New Roman" w:cs="Times New Roman"/>
          <w:sz w:val="24"/>
          <w:szCs w:val="24"/>
        </w:rPr>
        <w:t xml:space="preserve"> v </w:t>
      </w:r>
      <w:r>
        <w:rPr>
          <w:rFonts w:ascii="Times New Roman" w:hAnsi="Times New Roman" w:cs="Times New Roman"/>
          <w:i/>
          <w:sz w:val="24"/>
          <w:szCs w:val="24"/>
        </w:rPr>
        <w:t>Siziba</w:t>
      </w:r>
      <w:r w:rsidR="006C42BE">
        <w:rPr>
          <w:rFonts w:ascii="Times New Roman" w:hAnsi="Times New Roman" w:cs="Times New Roman"/>
          <w:sz w:val="24"/>
          <w:szCs w:val="24"/>
        </w:rPr>
        <w:t xml:space="preserve"> </w:t>
      </w:r>
      <w:r w:rsidR="00C61031">
        <w:rPr>
          <w:rFonts w:ascii="Times New Roman" w:hAnsi="Times New Roman" w:cs="Times New Roman"/>
          <w:sz w:val="24"/>
          <w:szCs w:val="24"/>
        </w:rPr>
        <w:t>2015 (1) ZLR 252 (S)</w:t>
      </w:r>
      <w:r>
        <w:rPr>
          <w:rFonts w:ascii="Times New Roman" w:hAnsi="Times New Roman" w:cs="Times New Roman"/>
          <w:sz w:val="24"/>
          <w:szCs w:val="24"/>
        </w:rPr>
        <w:t xml:space="preserve">, </w:t>
      </w:r>
      <w:r>
        <w:rPr>
          <w:rFonts w:ascii="Times New Roman" w:hAnsi="Times New Roman" w:cs="Times New Roman"/>
          <w:i/>
          <w:sz w:val="24"/>
          <w:szCs w:val="24"/>
        </w:rPr>
        <w:t>Hama</w:t>
      </w:r>
      <w:r>
        <w:rPr>
          <w:rFonts w:ascii="Times New Roman" w:hAnsi="Times New Roman" w:cs="Times New Roman"/>
          <w:sz w:val="24"/>
          <w:szCs w:val="24"/>
        </w:rPr>
        <w:t xml:space="preserve"> v </w:t>
      </w:r>
      <w:r>
        <w:rPr>
          <w:rFonts w:ascii="Times New Roman" w:hAnsi="Times New Roman" w:cs="Times New Roman"/>
          <w:i/>
          <w:sz w:val="24"/>
          <w:szCs w:val="24"/>
        </w:rPr>
        <w:t>National Railways of Zimbabwe</w:t>
      </w:r>
      <w:r>
        <w:rPr>
          <w:rFonts w:ascii="Times New Roman" w:hAnsi="Times New Roman" w:cs="Times New Roman"/>
          <w:sz w:val="24"/>
          <w:szCs w:val="24"/>
        </w:rPr>
        <w:t xml:space="preserve"> 1996 (1) ZLR 664 (S) at 670 C-D, </w:t>
      </w:r>
      <w:r>
        <w:rPr>
          <w:rFonts w:ascii="Times New Roman" w:hAnsi="Times New Roman" w:cs="Times New Roman"/>
          <w:i/>
          <w:sz w:val="24"/>
          <w:szCs w:val="24"/>
        </w:rPr>
        <w:t>Shuro</w:t>
      </w:r>
      <w:r>
        <w:rPr>
          <w:rFonts w:ascii="Times New Roman" w:hAnsi="Times New Roman" w:cs="Times New Roman"/>
          <w:sz w:val="24"/>
          <w:szCs w:val="24"/>
        </w:rPr>
        <w:t xml:space="preserve"> v </w:t>
      </w:r>
      <w:r>
        <w:rPr>
          <w:rFonts w:ascii="Times New Roman" w:hAnsi="Times New Roman" w:cs="Times New Roman"/>
          <w:i/>
          <w:sz w:val="24"/>
          <w:szCs w:val="24"/>
        </w:rPr>
        <w:t>Chiuraise</w:t>
      </w:r>
      <w:r>
        <w:rPr>
          <w:rFonts w:ascii="Times New Roman" w:hAnsi="Times New Roman" w:cs="Times New Roman"/>
          <w:sz w:val="24"/>
          <w:szCs w:val="24"/>
        </w:rPr>
        <w:t xml:space="preserve"> SC 20/19.</w:t>
      </w:r>
    </w:p>
    <w:p w14:paraId="5DAFC1F9" w14:textId="77777777" w:rsidR="007F670A" w:rsidRDefault="007F670A" w:rsidP="007F670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14:paraId="3AB16245" w14:textId="35C75F52" w:rsidR="007F670A" w:rsidRDefault="007F670A" w:rsidP="007F670A">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By the same token an appellate court is very slow to interfere with a trial court’s findings based on the credibility of witnesses.  This is so because,</w:t>
      </w:r>
      <w:r w:rsidR="00C9755F">
        <w:rPr>
          <w:rFonts w:ascii="Times New Roman" w:hAnsi="Times New Roman" w:cs="Times New Roman"/>
          <w:sz w:val="24"/>
          <w:szCs w:val="24"/>
        </w:rPr>
        <w:t xml:space="preserve"> as</w:t>
      </w:r>
      <w:r>
        <w:rPr>
          <w:rFonts w:ascii="Times New Roman" w:hAnsi="Times New Roman" w:cs="Times New Roman"/>
          <w:sz w:val="24"/>
          <w:szCs w:val="24"/>
        </w:rPr>
        <w:t xml:space="preserve"> Mr </w:t>
      </w:r>
      <w:r>
        <w:rPr>
          <w:rFonts w:ascii="Times New Roman" w:hAnsi="Times New Roman" w:cs="Times New Roman"/>
          <w:i/>
          <w:sz w:val="24"/>
          <w:szCs w:val="24"/>
        </w:rPr>
        <w:t xml:space="preserve">Biti </w:t>
      </w:r>
      <w:r>
        <w:rPr>
          <w:rFonts w:ascii="Times New Roman" w:hAnsi="Times New Roman" w:cs="Times New Roman"/>
          <w:sz w:val="24"/>
          <w:szCs w:val="24"/>
        </w:rPr>
        <w:t>correctly stated, the trial court is better placed to assess the credibility of evidence given that it is the one which feels the temperature of the evidence.</w:t>
      </w:r>
    </w:p>
    <w:p w14:paraId="4213D1B9" w14:textId="77777777" w:rsidR="007F670A" w:rsidRDefault="007F670A" w:rsidP="007F670A">
      <w:pPr>
        <w:spacing w:after="0" w:line="240" w:lineRule="auto"/>
        <w:ind w:firstLine="1134"/>
        <w:jc w:val="both"/>
        <w:rPr>
          <w:rFonts w:ascii="Times New Roman" w:hAnsi="Times New Roman" w:cs="Times New Roman"/>
          <w:sz w:val="24"/>
          <w:szCs w:val="24"/>
        </w:rPr>
      </w:pPr>
    </w:p>
    <w:p w14:paraId="0D618C30" w14:textId="7B20C670" w:rsidR="007F670A" w:rsidRDefault="007F670A" w:rsidP="007F670A">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Part of the evidence which the court </w:t>
      </w:r>
      <w:r>
        <w:rPr>
          <w:rFonts w:ascii="Times New Roman" w:hAnsi="Times New Roman" w:cs="Times New Roman"/>
          <w:i/>
          <w:sz w:val="24"/>
          <w:szCs w:val="24"/>
        </w:rPr>
        <w:t>a quo</w:t>
      </w:r>
      <w:r>
        <w:rPr>
          <w:rFonts w:ascii="Times New Roman" w:hAnsi="Times New Roman" w:cs="Times New Roman"/>
          <w:sz w:val="24"/>
          <w:szCs w:val="24"/>
        </w:rPr>
        <w:t xml:space="preserve"> had regard to is that given by Grace Mandaza.  It is helpful to make reference to the part of the evidence</w:t>
      </w:r>
      <w:r w:rsidR="004C23F2">
        <w:rPr>
          <w:rFonts w:ascii="Times New Roman" w:hAnsi="Times New Roman" w:cs="Times New Roman"/>
          <w:sz w:val="24"/>
          <w:szCs w:val="24"/>
        </w:rPr>
        <w:t>-</w:t>
      </w:r>
      <w:r>
        <w:rPr>
          <w:rFonts w:ascii="Times New Roman" w:hAnsi="Times New Roman" w:cs="Times New Roman"/>
          <w:sz w:val="24"/>
          <w:szCs w:val="24"/>
        </w:rPr>
        <w:t xml:space="preserve"> in</w:t>
      </w:r>
      <w:r w:rsidR="004C23F2">
        <w:rPr>
          <w:rFonts w:ascii="Times New Roman" w:hAnsi="Times New Roman" w:cs="Times New Roman"/>
          <w:sz w:val="24"/>
          <w:szCs w:val="24"/>
        </w:rPr>
        <w:t>-</w:t>
      </w:r>
      <w:r>
        <w:rPr>
          <w:rFonts w:ascii="Times New Roman" w:hAnsi="Times New Roman" w:cs="Times New Roman"/>
          <w:sz w:val="24"/>
          <w:szCs w:val="24"/>
        </w:rPr>
        <w:t xml:space="preserve"> chief she gave on the issue of whether </w:t>
      </w:r>
      <w:r w:rsidR="00264B91">
        <w:rPr>
          <w:rFonts w:ascii="Times New Roman" w:hAnsi="Times New Roman" w:cs="Times New Roman"/>
          <w:sz w:val="24"/>
          <w:szCs w:val="24"/>
        </w:rPr>
        <w:t>she</w:t>
      </w:r>
      <w:r>
        <w:rPr>
          <w:rFonts w:ascii="Times New Roman" w:hAnsi="Times New Roman" w:cs="Times New Roman"/>
          <w:sz w:val="24"/>
          <w:szCs w:val="24"/>
        </w:rPr>
        <w:t xml:space="preserve"> and her husband paid anything towards th</w:t>
      </w:r>
      <w:r w:rsidR="004C23F2">
        <w:rPr>
          <w:rFonts w:ascii="Times New Roman" w:hAnsi="Times New Roman" w:cs="Times New Roman"/>
          <w:sz w:val="24"/>
          <w:szCs w:val="24"/>
        </w:rPr>
        <w:t>e</w:t>
      </w:r>
      <w:r>
        <w:rPr>
          <w:rFonts w:ascii="Times New Roman" w:hAnsi="Times New Roman" w:cs="Times New Roman"/>
          <w:sz w:val="24"/>
          <w:szCs w:val="24"/>
        </w:rPr>
        <w:t xml:space="preserve"> acquisition of the house.  The dialogue between her and her legal practitioner at p 176 to 177 of the record is as follows:</w:t>
      </w:r>
    </w:p>
    <w:p w14:paraId="724BC914" w14:textId="1CEAA46B" w:rsidR="007F670A" w:rsidRDefault="009E6E30" w:rsidP="00C32943">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w:t>
      </w:r>
      <w:r w:rsidR="007F670A">
        <w:rPr>
          <w:rFonts w:ascii="Times New Roman" w:hAnsi="Times New Roman" w:cs="Times New Roman"/>
          <w:sz w:val="24"/>
          <w:szCs w:val="24"/>
        </w:rPr>
        <w:t>Q: Why do you say it (the house</w:t>
      </w:r>
      <w:r w:rsidR="002777A9">
        <w:rPr>
          <w:rFonts w:ascii="Times New Roman" w:hAnsi="Times New Roman" w:cs="Times New Roman"/>
          <w:sz w:val="24"/>
          <w:szCs w:val="24"/>
        </w:rPr>
        <w:t>)</w:t>
      </w:r>
      <w:r w:rsidR="007F670A">
        <w:rPr>
          <w:rFonts w:ascii="Times New Roman" w:hAnsi="Times New Roman" w:cs="Times New Roman"/>
          <w:sz w:val="24"/>
          <w:szCs w:val="24"/>
        </w:rPr>
        <w:t xml:space="preserve"> belongs to you and your husband</w:t>
      </w:r>
      <w:r w:rsidR="002777A9">
        <w:rPr>
          <w:rFonts w:ascii="Times New Roman" w:hAnsi="Times New Roman" w:cs="Times New Roman"/>
          <w:sz w:val="24"/>
          <w:szCs w:val="24"/>
        </w:rPr>
        <w:t>?</w:t>
      </w:r>
    </w:p>
    <w:p w14:paraId="606DF495" w14:textId="2C3274A8" w:rsidR="007F670A" w:rsidRDefault="007F670A" w:rsidP="00C32943">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A: Because we are the ones who applied for it</w:t>
      </w:r>
      <w:r w:rsidR="002777A9">
        <w:rPr>
          <w:rFonts w:ascii="Times New Roman" w:hAnsi="Times New Roman" w:cs="Times New Roman"/>
          <w:sz w:val="24"/>
          <w:szCs w:val="24"/>
        </w:rPr>
        <w:t>.</w:t>
      </w:r>
    </w:p>
    <w:p w14:paraId="754CDCC1" w14:textId="77777777" w:rsidR="007F670A" w:rsidRDefault="007F670A" w:rsidP="00C32943">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Q: Which year was this?</w:t>
      </w:r>
    </w:p>
    <w:p w14:paraId="20BDD625" w14:textId="77777777" w:rsidR="007F670A" w:rsidRDefault="007F670A" w:rsidP="00C32943">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A: I do not recall clearly but it should be in 1960.</w:t>
      </w:r>
    </w:p>
    <w:p w14:paraId="2DCD1100" w14:textId="77777777" w:rsidR="007F670A" w:rsidRDefault="007F670A" w:rsidP="00C32943">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Q: Eventually the house was allocated to you?</w:t>
      </w:r>
    </w:p>
    <w:p w14:paraId="2F11F263" w14:textId="77777777" w:rsidR="007F670A" w:rsidRDefault="007F670A" w:rsidP="00C32943">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A: Yes.</w:t>
      </w:r>
    </w:p>
    <w:p w14:paraId="5E8C7B15" w14:textId="77777777" w:rsidR="007F670A" w:rsidRDefault="007F670A" w:rsidP="00C32943">
      <w:pPr>
        <w:spacing w:line="240" w:lineRule="auto"/>
        <w:ind w:firstLine="567"/>
        <w:jc w:val="both"/>
        <w:rPr>
          <w:rFonts w:ascii="Times New Roman" w:hAnsi="Times New Roman" w:cs="Times New Roman"/>
          <w:sz w:val="24"/>
          <w:szCs w:val="24"/>
        </w:rPr>
      </w:pPr>
      <w:r>
        <w:rPr>
          <w:rFonts w:ascii="Times New Roman" w:hAnsi="Times New Roman" w:cs="Times New Roman"/>
          <w:sz w:val="24"/>
          <w:szCs w:val="24"/>
        </w:rPr>
        <w:t>Q:  Have you ever occupied the house?</w:t>
      </w:r>
    </w:p>
    <w:p w14:paraId="4E5ABA88" w14:textId="5EAAB2EB" w:rsidR="007F670A" w:rsidRDefault="007F670A" w:rsidP="00C32943">
      <w:pPr>
        <w:spacing w:line="240" w:lineRule="auto"/>
        <w:ind w:left="993" w:hanging="426"/>
        <w:jc w:val="both"/>
        <w:rPr>
          <w:rFonts w:ascii="Times New Roman" w:hAnsi="Times New Roman" w:cs="Times New Roman"/>
          <w:sz w:val="24"/>
          <w:szCs w:val="24"/>
        </w:rPr>
      </w:pPr>
      <w:r>
        <w:rPr>
          <w:rFonts w:ascii="Times New Roman" w:hAnsi="Times New Roman" w:cs="Times New Roman"/>
          <w:sz w:val="24"/>
          <w:szCs w:val="24"/>
        </w:rPr>
        <w:t>A: No</w:t>
      </w:r>
      <w:r w:rsidR="002777A9">
        <w:rPr>
          <w:rFonts w:ascii="Times New Roman" w:hAnsi="Times New Roman" w:cs="Times New Roman"/>
          <w:sz w:val="24"/>
          <w:szCs w:val="24"/>
        </w:rPr>
        <w:t>.</w:t>
      </w:r>
      <w:r>
        <w:rPr>
          <w:rFonts w:ascii="Times New Roman" w:hAnsi="Times New Roman" w:cs="Times New Roman"/>
          <w:sz w:val="24"/>
          <w:szCs w:val="24"/>
        </w:rPr>
        <w:t xml:space="preserve"> </w:t>
      </w:r>
      <w:r w:rsidR="002777A9">
        <w:rPr>
          <w:rFonts w:ascii="Times New Roman" w:hAnsi="Times New Roman" w:cs="Times New Roman"/>
          <w:sz w:val="24"/>
          <w:szCs w:val="24"/>
        </w:rPr>
        <w:t>W</w:t>
      </w:r>
      <w:r>
        <w:rPr>
          <w:rFonts w:ascii="Times New Roman" w:hAnsi="Times New Roman" w:cs="Times New Roman"/>
          <w:sz w:val="24"/>
          <w:szCs w:val="24"/>
        </w:rPr>
        <w:t>e never occupied the house because when the papers came out that the house had been approved</w:t>
      </w:r>
      <w:r w:rsidR="003D69B7">
        <w:rPr>
          <w:rFonts w:ascii="Times New Roman" w:hAnsi="Times New Roman" w:cs="Times New Roman"/>
          <w:sz w:val="24"/>
          <w:szCs w:val="24"/>
        </w:rPr>
        <w:t xml:space="preserve"> (sic)</w:t>
      </w:r>
      <w:r>
        <w:rPr>
          <w:rFonts w:ascii="Times New Roman" w:hAnsi="Times New Roman" w:cs="Times New Roman"/>
          <w:sz w:val="24"/>
          <w:szCs w:val="24"/>
        </w:rPr>
        <w:t xml:space="preserve"> were no longer residing in this country.  We had gone out of the country.</w:t>
      </w:r>
    </w:p>
    <w:p w14:paraId="09B2CE73" w14:textId="77777777" w:rsidR="007F670A" w:rsidRDefault="007F670A" w:rsidP="00C32943">
      <w:pPr>
        <w:spacing w:line="240" w:lineRule="auto"/>
        <w:ind w:left="993" w:hanging="426"/>
        <w:jc w:val="both"/>
        <w:rPr>
          <w:rFonts w:ascii="Times New Roman" w:hAnsi="Times New Roman" w:cs="Times New Roman"/>
          <w:sz w:val="24"/>
          <w:szCs w:val="24"/>
        </w:rPr>
      </w:pPr>
      <w:r>
        <w:rPr>
          <w:rFonts w:ascii="Times New Roman" w:hAnsi="Times New Roman" w:cs="Times New Roman"/>
          <w:sz w:val="24"/>
          <w:szCs w:val="24"/>
        </w:rPr>
        <w:t>Q: Now from the time that this house was allocated to you up to now have you made any payments in respect of this house?</w:t>
      </w:r>
    </w:p>
    <w:p w14:paraId="2BA6B97E" w14:textId="77777777" w:rsidR="007F670A" w:rsidRDefault="007F670A" w:rsidP="00C32943">
      <w:pPr>
        <w:spacing w:line="240" w:lineRule="auto"/>
        <w:ind w:left="993" w:hanging="426"/>
        <w:jc w:val="both"/>
        <w:rPr>
          <w:rFonts w:ascii="Times New Roman" w:hAnsi="Times New Roman" w:cs="Times New Roman"/>
          <w:sz w:val="24"/>
          <w:szCs w:val="24"/>
        </w:rPr>
      </w:pPr>
      <w:r>
        <w:rPr>
          <w:rFonts w:ascii="Times New Roman" w:hAnsi="Times New Roman" w:cs="Times New Roman"/>
          <w:sz w:val="24"/>
          <w:szCs w:val="24"/>
        </w:rPr>
        <w:t>A: We were never told of any money that was needed that we paid.</w:t>
      </w:r>
    </w:p>
    <w:p w14:paraId="3626D497" w14:textId="77777777" w:rsidR="007F670A" w:rsidRDefault="007F670A" w:rsidP="00C32943">
      <w:pPr>
        <w:spacing w:line="240" w:lineRule="auto"/>
        <w:ind w:left="993" w:hanging="426"/>
        <w:jc w:val="both"/>
        <w:rPr>
          <w:rFonts w:ascii="Times New Roman" w:hAnsi="Times New Roman" w:cs="Times New Roman"/>
          <w:sz w:val="24"/>
          <w:szCs w:val="24"/>
        </w:rPr>
      </w:pPr>
      <w:r>
        <w:rPr>
          <w:rFonts w:ascii="Times New Roman" w:hAnsi="Times New Roman" w:cs="Times New Roman"/>
          <w:sz w:val="24"/>
          <w:szCs w:val="24"/>
        </w:rPr>
        <w:t>Q: Are you aware that there are payments made in respect of this property?</w:t>
      </w:r>
    </w:p>
    <w:p w14:paraId="0AB67914" w14:textId="77777777" w:rsidR="007F670A" w:rsidRDefault="007F670A" w:rsidP="00C32943">
      <w:pPr>
        <w:spacing w:line="240" w:lineRule="auto"/>
        <w:ind w:left="993" w:hanging="426"/>
        <w:jc w:val="both"/>
        <w:rPr>
          <w:rFonts w:ascii="Times New Roman" w:hAnsi="Times New Roman" w:cs="Times New Roman"/>
          <w:sz w:val="24"/>
          <w:szCs w:val="24"/>
        </w:rPr>
      </w:pPr>
      <w:r>
        <w:rPr>
          <w:rFonts w:ascii="Times New Roman" w:hAnsi="Times New Roman" w:cs="Times New Roman"/>
          <w:sz w:val="24"/>
          <w:szCs w:val="24"/>
        </w:rPr>
        <w:t>A: What I know is that when you are residing in these urban areas there are some monies that you are expected to pay for example utility bills.</w:t>
      </w:r>
    </w:p>
    <w:p w14:paraId="154FAE0A" w14:textId="77777777" w:rsidR="007F670A" w:rsidRDefault="007F670A" w:rsidP="00C32943">
      <w:pPr>
        <w:spacing w:line="240" w:lineRule="auto"/>
        <w:ind w:left="993" w:hanging="426"/>
        <w:jc w:val="both"/>
        <w:rPr>
          <w:rFonts w:ascii="Times New Roman" w:hAnsi="Times New Roman" w:cs="Times New Roman"/>
          <w:sz w:val="24"/>
          <w:szCs w:val="24"/>
        </w:rPr>
      </w:pPr>
      <w:r>
        <w:rPr>
          <w:rFonts w:ascii="Times New Roman" w:hAnsi="Times New Roman" w:cs="Times New Roman"/>
          <w:sz w:val="24"/>
          <w:szCs w:val="24"/>
        </w:rPr>
        <w:lastRenderedPageBreak/>
        <w:t>Q: If you did not make these payments who made the payments in respect of this house?</w:t>
      </w:r>
    </w:p>
    <w:p w14:paraId="2CD46AD5" w14:textId="77777777" w:rsidR="007F670A" w:rsidRDefault="007F670A" w:rsidP="00C32943">
      <w:pPr>
        <w:spacing w:line="240" w:lineRule="auto"/>
        <w:ind w:left="993" w:hanging="426"/>
        <w:jc w:val="both"/>
        <w:rPr>
          <w:rFonts w:ascii="Times New Roman" w:hAnsi="Times New Roman" w:cs="Times New Roman"/>
          <w:sz w:val="24"/>
          <w:szCs w:val="24"/>
        </w:rPr>
      </w:pPr>
      <w:r>
        <w:rPr>
          <w:rFonts w:ascii="Times New Roman" w:hAnsi="Times New Roman" w:cs="Times New Roman"/>
          <w:sz w:val="24"/>
          <w:szCs w:val="24"/>
        </w:rPr>
        <w:t>A: From the day it was approved or from the day it was purchased?</w:t>
      </w:r>
    </w:p>
    <w:p w14:paraId="6C1345DE" w14:textId="77777777" w:rsidR="007F670A" w:rsidRDefault="007F670A" w:rsidP="00C32943">
      <w:pPr>
        <w:spacing w:line="240" w:lineRule="auto"/>
        <w:ind w:left="993" w:hanging="426"/>
        <w:jc w:val="both"/>
        <w:rPr>
          <w:rFonts w:ascii="Times New Roman" w:hAnsi="Times New Roman" w:cs="Times New Roman"/>
          <w:sz w:val="24"/>
          <w:szCs w:val="24"/>
        </w:rPr>
      </w:pPr>
      <w:r>
        <w:rPr>
          <w:rFonts w:ascii="Times New Roman" w:hAnsi="Times New Roman" w:cs="Times New Roman"/>
          <w:sz w:val="24"/>
          <w:szCs w:val="24"/>
        </w:rPr>
        <w:t>Q: From the day it was allocated to you?</w:t>
      </w:r>
    </w:p>
    <w:p w14:paraId="66605DCF" w14:textId="65AED4E1" w:rsidR="007F670A" w:rsidRDefault="007F670A" w:rsidP="00CF7E19">
      <w:pPr>
        <w:spacing w:line="240" w:lineRule="auto"/>
        <w:ind w:left="993" w:hanging="426"/>
        <w:jc w:val="both"/>
        <w:rPr>
          <w:rFonts w:ascii="Times New Roman" w:hAnsi="Times New Roman" w:cs="Times New Roman"/>
          <w:sz w:val="24"/>
          <w:szCs w:val="24"/>
        </w:rPr>
      </w:pPr>
      <w:r>
        <w:rPr>
          <w:rFonts w:ascii="Times New Roman" w:hAnsi="Times New Roman" w:cs="Times New Roman"/>
          <w:sz w:val="24"/>
          <w:szCs w:val="24"/>
        </w:rPr>
        <w:t>A: That one I would leave it to my husband, he was the one who was the owner of the property.”</w:t>
      </w:r>
    </w:p>
    <w:p w14:paraId="5F9A7C16" w14:textId="77777777" w:rsidR="00C57FD4" w:rsidRDefault="00C57FD4" w:rsidP="00C57FD4">
      <w:pPr>
        <w:spacing w:after="0" w:line="480" w:lineRule="auto"/>
        <w:ind w:firstLine="1134"/>
        <w:jc w:val="both"/>
        <w:rPr>
          <w:rFonts w:ascii="Times New Roman" w:hAnsi="Times New Roman" w:cs="Times New Roman"/>
          <w:sz w:val="24"/>
          <w:szCs w:val="24"/>
        </w:rPr>
      </w:pPr>
    </w:p>
    <w:p w14:paraId="19FBBC0C" w14:textId="77777777" w:rsidR="007F670A" w:rsidRDefault="007F670A" w:rsidP="007F670A">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Grace Mandaza was pressed further on the issue of payment of consideration for the house under cross examination.  At pp 186-7 the dialogue went like this:</w:t>
      </w:r>
    </w:p>
    <w:p w14:paraId="6969D6C6" w14:textId="77777777" w:rsidR="007F670A" w:rsidRDefault="007F670A" w:rsidP="005C3687">
      <w:pPr>
        <w:tabs>
          <w:tab w:val="left" w:pos="1134"/>
        </w:tabs>
        <w:spacing w:after="0"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ab/>
        <w:t xml:space="preserve">“Q: And what would be your comment to the evidence advanced by the plaintiff to the </w:t>
      </w:r>
    </w:p>
    <w:p w14:paraId="0168F3AF" w14:textId="77777777" w:rsidR="005C3687" w:rsidRDefault="007F670A" w:rsidP="005C3687">
      <w:pPr>
        <w:tabs>
          <w:tab w:val="left" w:pos="851"/>
        </w:tabs>
        <w:spacing w:after="0" w:line="240" w:lineRule="auto"/>
        <w:ind w:left="1134" w:hanging="1134"/>
        <w:jc w:val="both"/>
        <w:rPr>
          <w:rFonts w:ascii="Times New Roman" w:hAnsi="Times New Roman" w:cs="Times New Roman"/>
          <w:sz w:val="24"/>
          <w:szCs w:val="24"/>
        </w:rPr>
      </w:pPr>
      <w:r>
        <w:rPr>
          <w:rFonts w:ascii="Times New Roman" w:hAnsi="Times New Roman" w:cs="Times New Roman"/>
          <w:sz w:val="24"/>
          <w:szCs w:val="24"/>
        </w:rPr>
        <w:t xml:space="preserve">                 effect that she, together with her husband, are the ones w</w:t>
      </w:r>
      <w:r w:rsidR="005C3687">
        <w:rPr>
          <w:rFonts w:ascii="Times New Roman" w:hAnsi="Times New Roman" w:cs="Times New Roman"/>
          <w:sz w:val="24"/>
          <w:szCs w:val="24"/>
        </w:rPr>
        <w:t xml:space="preserve">ho contributed to the utilities </w:t>
      </w:r>
    </w:p>
    <w:p w14:paraId="1C614F89" w14:textId="225CD1D7" w:rsidR="007F670A" w:rsidRDefault="005C3687" w:rsidP="005C3687">
      <w:pPr>
        <w:tabs>
          <w:tab w:val="left" w:pos="851"/>
        </w:tabs>
        <w:spacing w:after="0" w:line="240" w:lineRule="auto"/>
        <w:ind w:left="1134" w:hanging="1134"/>
        <w:jc w:val="both"/>
        <w:rPr>
          <w:rFonts w:ascii="Times New Roman" w:hAnsi="Times New Roman" w:cs="Times New Roman"/>
          <w:sz w:val="24"/>
          <w:szCs w:val="24"/>
        </w:rPr>
      </w:pPr>
      <w:r>
        <w:rPr>
          <w:rFonts w:ascii="Times New Roman" w:hAnsi="Times New Roman" w:cs="Times New Roman"/>
          <w:sz w:val="24"/>
          <w:szCs w:val="24"/>
        </w:rPr>
        <w:t xml:space="preserve">                 </w:t>
      </w:r>
      <w:r w:rsidR="007F670A">
        <w:rPr>
          <w:rFonts w:ascii="Times New Roman" w:hAnsi="Times New Roman" w:cs="Times New Roman"/>
          <w:sz w:val="24"/>
          <w:szCs w:val="24"/>
        </w:rPr>
        <w:t>of the said property?</w:t>
      </w:r>
    </w:p>
    <w:p w14:paraId="5C34F9EF" w14:textId="77777777" w:rsidR="007F670A" w:rsidRDefault="007F670A" w:rsidP="007F670A">
      <w:pPr>
        <w:tabs>
          <w:tab w:val="left" w:pos="1134"/>
        </w:tabs>
        <w:spacing w:after="0" w:line="240" w:lineRule="auto"/>
        <w:ind w:left="1134" w:hanging="1134"/>
        <w:jc w:val="both"/>
        <w:rPr>
          <w:rFonts w:ascii="Times New Roman" w:hAnsi="Times New Roman" w:cs="Times New Roman"/>
          <w:sz w:val="24"/>
          <w:szCs w:val="24"/>
        </w:rPr>
      </w:pPr>
    </w:p>
    <w:p w14:paraId="77652461" w14:textId="77777777" w:rsidR="007F670A" w:rsidRDefault="007F670A" w:rsidP="005C3687">
      <w:pPr>
        <w:spacing w:line="240" w:lineRule="auto"/>
        <w:ind w:left="993" w:hanging="426"/>
        <w:jc w:val="both"/>
        <w:rPr>
          <w:rFonts w:ascii="Times New Roman" w:hAnsi="Times New Roman" w:cs="Times New Roman"/>
          <w:sz w:val="24"/>
          <w:szCs w:val="24"/>
        </w:rPr>
      </w:pPr>
      <w:r>
        <w:rPr>
          <w:rFonts w:ascii="Times New Roman" w:hAnsi="Times New Roman" w:cs="Times New Roman"/>
          <w:sz w:val="24"/>
          <w:szCs w:val="24"/>
        </w:rPr>
        <w:t>A: What I know is that when you reside in these urban areas everything that needs money where you reside you are the one who is supposed to pay.</w:t>
      </w:r>
    </w:p>
    <w:p w14:paraId="7E31A647" w14:textId="77777777" w:rsidR="007F670A" w:rsidRDefault="007F670A" w:rsidP="005C3687">
      <w:pPr>
        <w:spacing w:line="240" w:lineRule="auto"/>
        <w:ind w:left="1134" w:hanging="567"/>
        <w:jc w:val="both"/>
        <w:rPr>
          <w:rFonts w:ascii="Times New Roman" w:hAnsi="Times New Roman" w:cs="Times New Roman"/>
          <w:sz w:val="24"/>
          <w:szCs w:val="24"/>
        </w:rPr>
      </w:pPr>
      <w:r>
        <w:rPr>
          <w:rFonts w:ascii="Times New Roman" w:hAnsi="Times New Roman" w:cs="Times New Roman"/>
          <w:sz w:val="24"/>
          <w:szCs w:val="24"/>
        </w:rPr>
        <w:t>Q: Perhaps then you may reconcile your earlier position that your husband is the one at one point as the head of the house hold who saw to these issues and you never consulted with him?</w:t>
      </w:r>
    </w:p>
    <w:p w14:paraId="51C4FA89" w14:textId="77777777" w:rsidR="007F670A" w:rsidRDefault="007F670A" w:rsidP="00F35BA9">
      <w:pPr>
        <w:spacing w:line="240" w:lineRule="auto"/>
        <w:ind w:left="1134" w:hanging="567"/>
        <w:jc w:val="both"/>
        <w:rPr>
          <w:rFonts w:ascii="Times New Roman" w:hAnsi="Times New Roman" w:cs="Times New Roman"/>
          <w:sz w:val="24"/>
          <w:szCs w:val="24"/>
        </w:rPr>
      </w:pPr>
      <w:r>
        <w:rPr>
          <w:rFonts w:ascii="Times New Roman" w:hAnsi="Times New Roman" w:cs="Times New Roman"/>
          <w:sz w:val="24"/>
          <w:szCs w:val="24"/>
        </w:rPr>
        <w:t>A: If I may put a question that when you are renting somewhere are you expecting someone to pay rentals for you?</w:t>
      </w:r>
    </w:p>
    <w:p w14:paraId="0CCC46A5" w14:textId="25F76478" w:rsidR="007F670A" w:rsidRDefault="007F670A" w:rsidP="00F35BA9">
      <w:pPr>
        <w:spacing w:line="240" w:lineRule="auto"/>
        <w:ind w:left="1134" w:hanging="567"/>
        <w:jc w:val="both"/>
        <w:rPr>
          <w:rFonts w:ascii="Times New Roman" w:hAnsi="Times New Roman" w:cs="Times New Roman"/>
          <w:sz w:val="24"/>
          <w:szCs w:val="24"/>
        </w:rPr>
      </w:pPr>
      <w:r>
        <w:rPr>
          <w:rFonts w:ascii="Times New Roman" w:hAnsi="Times New Roman" w:cs="Times New Roman"/>
          <w:sz w:val="24"/>
          <w:szCs w:val="24"/>
        </w:rPr>
        <w:t>Q: So</w:t>
      </w:r>
      <w:r w:rsidR="002777A9">
        <w:rPr>
          <w:rFonts w:ascii="Times New Roman" w:hAnsi="Times New Roman" w:cs="Times New Roman"/>
          <w:sz w:val="24"/>
          <w:szCs w:val="24"/>
        </w:rPr>
        <w:t>,</w:t>
      </w:r>
      <w:r>
        <w:rPr>
          <w:rFonts w:ascii="Times New Roman" w:hAnsi="Times New Roman" w:cs="Times New Roman"/>
          <w:sz w:val="24"/>
          <w:szCs w:val="24"/>
        </w:rPr>
        <w:t xml:space="preserve"> to clarify</w:t>
      </w:r>
      <w:r w:rsidR="002777A9">
        <w:rPr>
          <w:rFonts w:ascii="Times New Roman" w:hAnsi="Times New Roman" w:cs="Times New Roman"/>
          <w:sz w:val="24"/>
          <w:szCs w:val="24"/>
        </w:rPr>
        <w:t>,</w:t>
      </w:r>
      <w:r>
        <w:rPr>
          <w:rFonts w:ascii="Times New Roman" w:hAnsi="Times New Roman" w:cs="Times New Roman"/>
          <w:sz w:val="24"/>
          <w:szCs w:val="24"/>
        </w:rPr>
        <w:t xml:space="preserve"> your position would be that the plaintiff and her husband as the occupants were the ones who were contributing towards the utilities?</w:t>
      </w:r>
    </w:p>
    <w:p w14:paraId="13BED87F" w14:textId="5B4B5FB9" w:rsidR="007F670A" w:rsidRDefault="007F670A" w:rsidP="00F35BA9">
      <w:pPr>
        <w:spacing w:line="240" w:lineRule="auto"/>
        <w:ind w:left="851" w:hanging="284"/>
        <w:jc w:val="both"/>
        <w:rPr>
          <w:rFonts w:ascii="Times New Roman" w:hAnsi="Times New Roman" w:cs="Times New Roman"/>
          <w:sz w:val="24"/>
          <w:szCs w:val="24"/>
        </w:rPr>
      </w:pPr>
      <w:r>
        <w:rPr>
          <w:rFonts w:ascii="Times New Roman" w:hAnsi="Times New Roman" w:cs="Times New Roman"/>
          <w:sz w:val="24"/>
          <w:szCs w:val="24"/>
        </w:rPr>
        <w:t>A: Yes?</w:t>
      </w:r>
      <w:r w:rsidR="00740D52">
        <w:rPr>
          <w:rFonts w:ascii="Times New Roman" w:hAnsi="Times New Roman" w:cs="Times New Roman"/>
          <w:sz w:val="24"/>
          <w:szCs w:val="24"/>
        </w:rPr>
        <w:t>”</w:t>
      </w:r>
    </w:p>
    <w:p w14:paraId="1B844E97" w14:textId="77777777" w:rsidR="007F670A" w:rsidRDefault="007F670A" w:rsidP="00F35BA9">
      <w:pPr>
        <w:spacing w:after="0" w:line="480" w:lineRule="auto"/>
        <w:ind w:left="851" w:firstLine="142"/>
        <w:jc w:val="both"/>
        <w:rPr>
          <w:rFonts w:ascii="Times New Roman" w:hAnsi="Times New Roman" w:cs="Times New Roman"/>
          <w:sz w:val="24"/>
          <w:szCs w:val="24"/>
        </w:rPr>
      </w:pPr>
    </w:p>
    <w:p w14:paraId="3DC7B126" w14:textId="5865D744" w:rsidR="007F670A" w:rsidRDefault="007F670A" w:rsidP="007F670A">
      <w:pPr>
        <w:spacing w:line="480" w:lineRule="auto"/>
        <w:ind w:firstLine="993"/>
        <w:jc w:val="both"/>
        <w:rPr>
          <w:rFonts w:ascii="Times New Roman" w:hAnsi="Times New Roman" w:cs="Times New Roman"/>
          <w:sz w:val="24"/>
          <w:szCs w:val="24"/>
        </w:rPr>
      </w:pPr>
      <w:r>
        <w:rPr>
          <w:rFonts w:ascii="Times New Roman" w:hAnsi="Times New Roman" w:cs="Times New Roman"/>
          <w:sz w:val="24"/>
          <w:szCs w:val="24"/>
        </w:rPr>
        <w:t>There is no doubt therefore that the appellants</w:t>
      </w:r>
      <w:r w:rsidR="00F360CB">
        <w:rPr>
          <w:rFonts w:ascii="Times New Roman" w:hAnsi="Times New Roman" w:cs="Times New Roman"/>
          <w:sz w:val="24"/>
          <w:szCs w:val="24"/>
        </w:rPr>
        <w:t>’</w:t>
      </w:r>
      <w:r>
        <w:rPr>
          <w:rFonts w:ascii="Times New Roman" w:hAnsi="Times New Roman" w:cs="Times New Roman"/>
          <w:sz w:val="24"/>
          <w:szCs w:val="24"/>
        </w:rPr>
        <w:t xml:space="preserve"> case was that</w:t>
      </w:r>
      <w:r w:rsidR="00F360CB">
        <w:rPr>
          <w:rFonts w:ascii="Times New Roman" w:hAnsi="Times New Roman" w:cs="Times New Roman"/>
          <w:sz w:val="24"/>
          <w:szCs w:val="24"/>
        </w:rPr>
        <w:t>,</w:t>
      </w:r>
      <w:r>
        <w:rPr>
          <w:rFonts w:ascii="Times New Roman" w:hAnsi="Times New Roman" w:cs="Times New Roman"/>
          <w:sz w:val="24"/>
          <w:szCs w:val="24"/>
        </w:rPr>
        <w:t xml:space="preserve"> through no consideration whatsoever, they became owners of the house merely by virtue of their marriage certificate and nothing more.  We know of course from the documentary evidence on record that a lease agreement commencing on 1 December 1960 was signed in terms of which an initial rental of £ 5-00 was to be paid.  We also know that on 28 July 1980 a “Sale of Rented Houses” agreement was again signed in terms of which a purchase price of $ 1185-00 for the house was to be paid in certain instalments.</w:t>
      </w:r>
    </w:p>
    <w:p w14:paraId="145579B7" w14:textId="66A1E57E" w:rsidR="007F670A" w:rsidRDefault="007F670A" w:rsidP="00A01C75">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lastRenderedPageBreak/>
        <w:t>From the evidence given at the trial</w:t>
      </w:r>
      <w:r w:rsidR="003E6773">
        <w:rPr>
          <w:rFonts w:ascii="Times New Roman" w:hAnsi="Times New Roman" w:cs="Times New Roman"/>
          <w:sz w:val="24"/>
          <w:szCs w:val="24"/>
        </w:rPr>
        <w:t>,</w:t>
      </w:r>
      <w:r>
        <w:rPr>
          <w:rFonts w:ascii="Times New Roman" w:hAnsi="Times New Roman" w:cs="Times New Roman"/>
          <w:sz w:val="24"/>
          <w:szCs w:val="24"/>
        </w:rPr>
        <w:t xml:space="preserve"> all the money paid for the house was paid by the first respondent and her late husband.  The court </w:t>
      </w:r>
      <w:r>
        <w:rPr>
          <w:rFonts w:ascii="Times New Roman" w:hAnsi="Times New Roman" w:cs="Times New Roman"/>
          <w:i/>
          <w:sz w:val="24"/>
          <w:szCs w:val="24"/>
        </w:rPr>
        <w:t>a quo</w:t>
      </w:r>
      <w:r>
        <w:rPr>
          <w:rFonts w:ascii="Times New Roman" w:hAnsi="Times New Roman" w:cs="Times New Roman"/>
          <w:sz w:val="24"/>
          <w:szCs w:val="24"/>
        </w:rPr>
        <w:t xml:space="preserve"> cannot be faulted at all for coming to the conclusion that the circumstances surrounding the acquisition of the house were truthfully explained by the first respondent.</w:t>
      </w:r>
    </w:p>
    <w:p w14:paraId="74654201" w14:textId="77777777" w:rsidR="00FF7861" w:rsidRDefault="00FF7861" w:rsidP="00FF7861">
      <w:pPr>
        <w:spacing w:after="0" w:line="240" w:lineRule="auto"/>
        <w:ind w:firstLine="1134"/>
        <w:jc w:val="both"/>
        <w:rPr>
          <w:rFonts w:ascii="Times New Roman" w:hAnsi="Times New Roman" w:cs="Times New Roman"/>
          <w:sz w:val="24"/>
          <w:szCs w:val="24"/>
        </w:rPr>
      </w:pPr>
    </w:p>
    <w:p w14:paraId="476ADA2F" w14:textId="2B8FE3BF" w:rsidR="007F670A" w:rsidRDefault="007F670A" w:rsidP="004863FD">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It is also significant to note that in granting relief to the first respondent, the court </w:t>
      </w:r>
      <w:r>
        <w:rPr>
          <w:rFonts w:ascii="Times New Roman" w:hAnsi="Times New Roman" w:cs="Times New Roman"/>
          <w:i/>
          <w:sz w:val="24"/>
          <w:szCs w:val="24"/>
        </w:rPr>
        <w:t>a quo</w:t>
      </w:r>
      <w:r>
        <w:rPr>
          <w:rFonts w:ascii="Times New Roman" w:hAnsi="Times New Roman" w:cs="Times New Roman"/>
          <w:sz w:val="24"/>
          <w:szCs w:val="24"/>
        </w:rPr>
        <w:t xml:space="preserve"> exercised judicial discretion to relax the </w:t>
      </w:r>
      <w:r>
        <w:rPr>
          <w:rFonts w:ascii="Times New Roman" w:hAnsi="Times New Roman" w:cs="Times New Roman"/>
          <w:i/>
          <w:sz w:val="24"/>
          <w:szCs w:val="24"/>
        </w:rPr>
        <w:t xml:space="preserve">in pari delictum </w:t>
      </w:r>
      <w:r>
        <w:rPr>
          <w:rFonts w:ascii="Times New Roman" w:hAnsi="Times New Roman" w:cs="Times New Roman"/>
          <w:sz w:val="24"/>
          <w:szCs w:val="24"/>
        </w:rPr>
        <w:t xml:space="preserve">rule given that the parties had acted outside the law in the process of acquiring the house.  There has been an attempt by the appellants to impugn that exercise of the judicial discretion.  It is clear that the attempt has been half-hearted which is why, after stating that ground 4 was being raised in the alternative, Mr </w:t>
      </w:r>
      <w:r>
        <w:rPr>
          <w:rFonts w:ascii="Times New Roman" w:hAnsi="Times New Roman" w:cs="Times New Roman"/>
          <w:i/>
          <w:sz w:val="24"/>
          <w:szCs w:val="24"/>
        </w:rPr>
        <w:t>Goba</w:t>
      </w:r>
      <w:r>
        <w:rPr>
          <w:rFonts w:ascii="Times New Roman" w:hAnsi="Times New Roman" w:cs="Times New Roman"/>
          <w:sz w:val="24"/>
          <w:szCs w:val="24"/>
        </w:rPr>
        <w:t xml:space="preserve"> did not bother to motivate that ground in his submissions.</w:t>
      </w:r>
    </w:p>
    <w:p w14:paraId="4C2576A3" w14:textId="77777777" w:rsidR="00975705" w:rsidRDefault="00975705" w:rsidP="007F670A">
      <w:pPr>
        <w:spacing w:after="0" w:line="480" w:lineRule="auto"/>
        <w:ind w:firstLine="1134"/>
        <w:jc w:val="both"/>
        <w:rPr>
          <w:rFonts w:ascii="Times New Roman" w:hAnsi="Times New Roman" w:cs="Times New Roman"/>
          <w:sz w:val="24"/>
          <w:szCs w:val="24"/>
        </w:rPr>
      </w:pPr>
    </w:p>
    <w:p w14:paraId="6941089A" w14:textId="28D5EE58" w:rsidR="007F670A" w:rsidRDefault="007F670A" w:rsidP="007F670A">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Whichever way, the exercise of discretion has not been sufficiently impugned as there is no ground of appeal couched in a manner impeaching it.  As eloquently stated by </w:t>
      </w:r>
      <w:r w:rsidR="00975705">
        <w:rPr>
          <w:rFonts w:ascii="Times New Roman" w:hAnsi="Times New Roman" w:cs="Times New Roman"/>
          <w:smallCaps/>
          <w:sz w:val="24"/>
          <w:szCs w:val="24"/>
        </w:rPr>
        <w:t>Z</w:t>
      </w:r>
      <w:r>
        <w:rPr>
          <w:rFonts w:ascii="Times New Roman" w:hAnsi="Times New Roman" w:cs="Times New Roman"/>
          <w:smallCaps/>
          <w:sz w:val="24"/>
          <w:szCs w:val="24"/>
        </w:rPr>
        <w:t xml:space="preserve">iyambi  </w:t>
      </w:r>
      <w:r w:rsidR="003E6773">
        <w:rPr>
          <w:rFonts w:ascii="Times New Roman" w:hAnsi="Times New Roman" w:cs="Times New Roman"/>
          <w:smallCaps/>
          <w:sz w:val="24"/>
          <w:szCs w:val="24"/>
        </w:rPr>
        <w:t>A</w:t>
      </w:r>
      <w:r>
        <w:rPr>
          <w:rFonts w:ascii="Times New Roman" w:hAnsi="Times New Roman" w:cs="Times New Roman"/>
          <w:sz w:val="24"/>
          <w:szCs w:val="24"/>
        </w:rPr>
        <w:t xml:space="preserve">JA in </w:t>
      </w:r>
      <w:r>
        <w:rPr>
          <w:rFonts w:ascii="Times New Roman" w:hAnsi="Times New Roman" w:cs="Times New Roman"/>
          <w:i/>
          <w:sz w:val="24"/>
          <w:szCs w:val="24"/>
        </w:rPr>
        <w:t>African Century Limited</w:t>
      </w:r>
      <w:r>
        <w:rPr>
          <w:rFonts w:ascii="Times New Roman" w:hAnsi="Times New Roman" w:cs="Times New Roman"/>
          <w:sz w:val="24"/>
          <w:szCs w:val="24"/>
        </w:rPr>
        <w:t xml:space="preserve"> v </w:t>
      </w:r>
      <w:r>
        <w:rPr>
          <w:rFonts w:ascii="Times New Roman" w:hAnsi="Times New Roman" w:cs="Times New Roman"/>
          <w:i/>
          <w:sz w:val="24"/>
          <w:szCs w:val="24"/>
        </w:rPr>
        <w:t xml:space="preserve">Megalink Investments (Private) Limited </w:t>
      </w:r>
      <w:r w:rsidR="009E6E30">
        <w:rPr>
          <w:rFonts w:ascii="Times New Roman" w:hAnsi="Times New Roman" w:cs="Times New Roman"/>
          <w:i/>
          <w:sz w:val="24"/>
          <w:szCs w:val="24"/>
        </w:rPr>
        <w:t>&amp; Ors</w:t>
      </w:r>
      <w:r>
        <w:rPr>
          <w:rFonts w:ascii="Times New Roman" w:hAnsi="Times New Roman" w:cs="Times New Roman"/>
          <w:i/>
          <w:sz w:val="24"/>
          <w:szCs w:val="24"/>
        </w:rPr>
        <w:t xml:space="preserve"> </w:t>
      </w:r>
      <w:r>
        <w:rPr>
          <w:rFonts w:ascii="Times New Roman" w:hAnsi="Times New Roman" w:cs="Times New Roman"/>
          <w:sz w:val="24"/>
          <w:szCs w:val="24"/>
        </w:rPr>
        <w:t>SC 44/18</w:t>
      </w:r>
      <w:r w:rsidR="003E6773">
        <w:rPr>
          <w:rFonts w:ascii="Times New Roman" w:hAnsi="Times New Roman" w:cs="Times New Roman"/>
          <w:sz w:val="24"/>
          <w:szCs w:val="24"/>
        </w:rPr>
        <w:t>:</w:t>
      </w:r>
    </w:p>
    <w:p w14:paraId="7EF3D961" w14:textId="7CFE1C6E" w:rsidR="007F670A" w:rsidRDefault="007F670A" w:rsidP="005C3687">
      <w:pPr>
        <w:tabs>
          <w:tab w:val="left" w:pos="851"/>
        </w:tabs>
        <w:spacing w:line="24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 </w:t>
      </w:r>
      <w:r w:rsidR="003E6773">
        <w:rPr>
          <w:rFonts w:ascii="Times New Roman" w:hAnsi="Times New Roman" w:cs="Times New Roman"/>
          <w:sz w:val="24"/>
          <w:szCs w:val="24"/>
        </w:rPr>
        <w:t>i</w:t>
      </w:r>
      <w:r>
        <w:rPr>
          <w:rFonts w:ascii="Times New Roman" w:hAnsi="Times New Roman" w:cs="Times New Roman"/>
          <w:sz w:val="24"/>
          <w:szCs w:val="24"/>
        </w:rPr>
        <w:t>n exercising this inherent power</w:t>
      </w:r>
      <w:r w:rsidR="003E6773">
        <w:rPr>
          <w:rFonts w:ascii="Times New Roman" w:hAnsi="Times New Roman" w:cs="Times New Roman"/>
          <w:sz w:val="24"/>
          <w:szCs w:val="24"/>
        </w:rPr>
        <w:t>,</w:t>
      </w:r>
      <w:r>
        <w:rPr>
          <w:rFonts w:ascii="Times New Roman" w:hAnsi="Times New Roman" w:cs="Times New Roman"/>
          <w:sz w:val="24"/>
          <w:szCs w:val="24"/>
        </w:rPr>
        <w:t xml:space="preserve"> the court exercise</w:t>
      </w:r>
      <w:r w:rsidR="003E6773">
        <w:rPr>
          <w:rFonts w:ascii="Times New Roman" w:hAnsi="Times New Roman" w:cs="Times New Roman"/>
          <w:sz w:val="24"/>
          <w:szCs w:val="24"/>
        </w:rPr>
        <w:t>s</w:t>
      </w:r>
      <w:r>
        <w:rPr>
          <w:rFonts w:ascii="Times New Roman" w:hAnsi="Times New Roman" w:cs="Times New Roman"/>
          <w:sz w:val="24"/>
          <w:szCs w:val="24"/>
        </w:rPr>
        <w:t xml:space="preserve"> a judicial discretion.  Any attack therefore, on a decision made in the exercise of such discretion must necessarily be aimed at the manner of the exercise of the court`s discretion. Th</w:t>
      </w:r>
      <w:r w:rsidR="003E6773">
        <w:rPr>
          <w:rFonts w:ascii="Times New Roman" w:hAnsi="Times New Roman" w:cs="Times New Roman"/>
          <w:sz w:val="24"/>
          <w:szCs w:val="24"/>
        </w:rPr>
        <w:t>u</w:t>
      </w:r>
      <w:r>
        <w:rPr>
          <w:rFonts w:ascii="Times New Roman" w:hAnsi="Times New Roman" w:cs="Times New Roman"/>
          <w:sz w:val="24"/>
          <w:szCs w:val="24"/>
        </w:rPr>
        <w:t>s</w:t>
      </w:r>
      <w:r w:rsidR="003E6773">
        <w:rPr>
          <w:rFonts w:ascii="Times New Roman" w:hAnsi="Times New Roman" w:cs="Times New Roman"/>
          <w:sz w:val="24"/>
          <w:szCs w:val="24"/>
        </w:rPr>
        <w:t>,</w:t>
      </w:r>
      <w:r>
        <w:rPr>
          <w:rFonts w:ascii="Times New Roman" w:hAnsi="Times New Roman" w:cs="Times New Roman"/>
          <w:sz w:val="24"/>
          <w:szCs w:val="24"/>
        </w:rPr>
        <w:t xml:space="preserve"> while I agree with Mr </w:t>
      </w:r>
      <w:r w:rsidRPr="00E025FA">
        <w:rPr>
          <w:rFonts w:ascii="Times New Roman" w:hAnsi="Times New Roman" w:cs="Times New Roman"/>
          <w:i/>
          <w:iCs/>
          <w:sz w:val="24"/>
          <w:szCs w:val="24"/>
        </w:rPr>
        <w:t>Mpofu</w:t>
      </w:r>
      <w:r>
        <w:rPr>
          <w:rFonts w:ascii="Times New Roman" w:hAnsi="Times New Roman" w:cs="Times New Roman"/>
          <w:sz w:val="24"/>
          <w:szCs w:val="24"/>
        </w:rPr>
        <w:t xml:space="preserve"> that such </w:t>
      </w:r>
      <w:r w:rsidR="003E6773">
        <w:rPr>
          <w:rFonts w:ascii="Times New Roman" w:hAnsi="Times New Roman" w:cs="Times New Roman"/>
          <w:sz w:val="24"/>
          <w:szCs w:val="24"/>
        </w:rPr>
        <w:t>‘</w:t>
      </w:r>
      <w:r>
        <w:rPr>
          <w:rFonts w:ascii="Times New Roman" w:hAnsi="Times New Roman" w:cs="Times New Roman"/>
          <w:sz w:val="24"/>
          <w:szCs w:val="24"/>
        </w:rPr>
        <w:t>incantation’ is unnecessary, it must appear in the grounds of appeal that an improper or incorrect exercise of the court`s discretion</w:t>
      </w:r>
      <w:r w:rsidR="003E6773">
        <w:rPr>
          <w:rFonts w:ascii="Times New Roman" w:hAnsi="Times New Roman" w:cs="Times New Roman"/>
          <w:sz w:val="24"/>
          <w:szCs w:val="24"/>
        </w:rPr>
        <w:t xml:space="preserve"> is</w:t>
      </w:r>
      <w:r>
        <w:rPr>
          <w:rFonts w:ascii="Times New Roman" w:hAnsi="Times New Roman" w:cs="Times New Roman"/>
          <w:sz w:val="24"/>
          <w:szCs w:val="24"/>
        </w:rPr>
        <w:t xml:space="preserve"> what is being put in issue.  None of the grounds of appeal is directed against the prop</w:t>
      </w:r>
      <w:r w:rsidR="003E6773">
        <w:rPr>
          <w:rFonts w:ascii="Times New Roman" w:hAnsi="Times New Roman" w:cs="Times New Roman"/>
          <w:sz w:val="24"/>
          <w:szCs w:val="24"/>
        </w:rPr>
        <w:t>rie</w:t>
      </w:r>
      <w:r>
        <w:rPr>
          <w:rFonts w:ascii="Times New Roman" w:hAnsi="Times New Roman" w:cs="Times New Roman"/>
          <w:sz w:val="24"/>
          <w:szCs w:val="24"/>
        </w:rPr>
        <w:t>ty or otherwise of the exercise of the court`s discretion.”</w:t>
      </w:r>
    </w:p>
    <w:p w14:paraId="6BE74B7B" w14:textId="77777777" w:rsidR="007F670A" w:rsidRDefault="007F670A" w:rsidP="007F670A">
      <w:pPr>
        <w:spacing w:after="0" w:line="480" w:lineRule="auto"/>
        <w:ind w:left="1276" w:hanging="142"/>
        <w:jc w:val="both"/>
        <w:rPr>
          <w:rFonts w:ascii="Times New Roman" w:hAnsi="Times New Roman" w:cs="Times New Roman"/>
          <w:sz w:val="24"/>
          <w:szCs w:val="24"/>
        </w:rPr>
      </w:pPr>
    </w:p>
    <w:p w14:paraId="2347A798" w14:textId="3F427C4D" w:rsidR="007F670A" w:rsidRDefault="007F670A" w:rsidP="007F670A">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The same can be said about the appellants</w:t>
      </w:r>
      <w:r w:rsidR="00E96750">
        <w:rPr>
          <w:rFonts w:ascii="Times New Roman" w:hAnsi="Times New Roman" w:cs="Times New Roman"/>
          <w:sz w:val="24"/>
          <w:szCs w:val="24"/>
        </w:rPr>
        <w:t>’</w:t>
      </w:r>
      <w:r>
        <w:rPr>
          <w:rFonts w:ascii="Times New Roman" w:hAnsi="Times New Roman" w:cs="Times New Roman"/>
          <w:sz w:val="24"/>
          <w:szCs w:val="24"/>
        </w:rPr>
        <w:t xml:space="preserve"> ground</w:t>
      </w:r>
      <w:r w:rsidR="00E96750">
        <w:rPr>
          <w:rFonts w:ascii="Times New Roman" w:hAnsi="Times New Roman" w:cs="Times New Roman"/>
          <w:sz w:val="24"/>
          <w:szCs w:val="24"/>
        </w:rPr>
        <w:t>s</w:t>
      </w:r>
      <w:r>
        <w:rPr>
          <w:rFonts w:ascii="Times New Roman" w:hAnsi="Times New Roman" w:cs="Times New Roman"/>
          <w:sz w:val="24"/>
          <w:szCs w:val="24"/>
        </w:rPr>
        <w:t xml:space="preserve"> of appeal.  Not only do they fail to make a case for interference on appeal with the factual and credibility findings of the court </w:t>
      </w:r>
      <w:r>
        <w:rPr>
          <w:rFonts w:ascii="Times New Roman" w:hAnsi="Times New Roman" w:cs="Times New Roman"/>
          <w:i/>
          <w:sz w:val="24"/>
          <w:szCs w:val="24"/>
        </w:rPr>
        <w:t>a quo</w:t>
      </w:r>
      <w:r>
        <w:rPr>
          <w:rFonts w:ascii="Times New Roman" w:hAnsi="Times New Roman" w:cs="Times New Roman"/>
          <w:sz w:val="24"/>
          <w:szCs w:val="24"/>
        </w:rPr>
        <w:t xml:space="preserve">, they also dismally fail to make a case for interference with what was clearly an exercise of judicial discretion.  It is trite that an appellate court will not lightly interference with the exercise </w:t>
      </w:r>
      <w:r>
        <w:rPr>
          <w:rFonts w:ascii="Times New Roman" w:hAnsi="Times New Roman" w:cs="Times New Roman"/>
          <w:sz w:val="24"/>
          <w:szCs w:val="24"/>
        </w:rPr>
        <w:lastRenderedPageBreak/>
        <w:t xml:space="preserve">of discretion.  The remarks made in the famous case of </w:t>
      </w:r>
      <w:r>
        <w:rPr>
          <w:rFonts w:ascii="Times New Roman" w:hAnsi="Times New Roman" w:cs="Times New Roman"/>
          <w:i/>
          <w:sz w:val="24"/>
          <w:szCs w:val="24"/>
        </w:rPr>
        <w:t xml:space="preserve">Barros </w:t>
      </w:r>
      <w:r w:rsidR="009E6E30">
        <w:rPr>
          <w:rFonts w:ascii="Times New Roman" w:hAnsi="Times New Roman" w:cs="Times New Roman"/>
          <w:i/>
          <w:sz w:val="24"/>
          <w:szCs w:val="24"/>
        </w:rPr>
        <w:t>&amp; Anor</w:t>
      </w:r>
      <w:r>
        <w:rPr>
          <w:rFonts w:ascii="Times New Roman" w:hAnsi="Times New Roman" w:cs="Times New Roman"/>
          <w:sz w:val="24"/>
          <w:szCs w:val="24"/>
        </w:rPr>
        <w:t xml:space="preserve"> v </w:t>
      </w:r>
      <w:r>
        <w:rPr>
          <w:rFonts w:ascii="Times New Roman" w:hAnsi="Times New Roman" w:cs="Times New Roman"/>
          <w:i/>
          <w:sz w:val="24"/>
          <w:szCs w:val="24"/>
        </w:rPr>
        <w:t>Chimphonda</w:t>
      </w:r>
      <w:r>
        <w:rPr>
          <w:rFonts w:ascii="Times New Roman" w:hAnsi="Times New Roman" w:cs="Times New Roman"/>
          <w:sz w:val="24"/>
          <w:szCs w:val="24"/>
        </w:rPr>
        <w:t xml:space="preserve"> 199</w:t>
      </w:r>
      <w:r w:rsidR="007D7AA3">
        <w:rPr>
          <w:rFonts w:ascii="Times New Roman" w:hAnsi="Times New Roman" w:cs="Times New Roman"/>
          <w:sz w:val="24"/>
          <w:szCs w:val="24"/>
        </w:rPr>
        <w:t>9</w:t>
      </w:r>
      <w:r>
        <w:rPr>
          <w:rFonts w:ascii="Times New Roman" w:hAnsi="Times New Roman" w:cs="Times New Roman"/>
          <w:sz w:val="24"/>
          <w:szCs w:val="24"/>
        </w:rPr>
        <w:t xml:space="preserve"> (1) ZLR 58 (</w:t>
      </w:r>
      <w:r w:rsidR="007D7AA3">
        <w:rPr>
          <w:rFonts w:ascii="Times New Roman" w:hAnsi="Times New Roman" w:cs="Times New Roman"/>
          <w:sz w:val="24"/>
          <w:szCs w:val="24"/>
        </w:rPr>
        <w:t>S</w:t>
      </w:r>
      <w:r>
        <w:rPr>
          <w:rFonts w:ascii="Times New Roman" w:hAnsi="Times New Roman" w:cs="Times New Roman"/>
          <w:sz w:val="24"/>
          <w:szCs w:val="24"/>
        </w:rPr>
        <w:t xml:space="preserve">) at 62F-63A are apposite:   </w:t>
      </w:r>
    </w:p>
    <w:p w14:paraId="0EF53A14" w14:textId="164E9EA9" w:rsidR="007F670A" w:rsidRDefault="007F670A" w:rsidP="00727C24">
      <w:pPr>
        <w:spacing w:line="240" w:lineRule="auto"/>
        <w:ind w:left="567"/>
        <w:jc w:val="both"/>
        <w:rPr>
          <w:rFonts w:ascii="Times New Roman" w:hAnsi="Times New Roman" w:cs="Times New Roman"/>
          <w:sz w:val="24"/>
          <w:szCs w:val="24"/>
        </w:rPr>
      </w:pPr>
      <w:r>
        <w:rPr>
          <w:rFonts w:ascii="Times New Roman" w:hAnsi="Times New Roman" w:cs="Times New Roman"/>
          <w:sz w:val="24"/>
          <w:szCs w:val="24"/>
        </w:rPr>
        <w:t>“</w:t>
      </w:r>
      <w:r w:rsidR="007D7AA3">
        <w:rPr>
          <w:rFonts w:ascii="Times New Roman" w:hAnsi="Times New Roman" w:cs="Times New Roman"/>
          <w:sz w:val="24"/>
          <w:szCs w:val="24"/>
        </w:rPr>
        <w:t>I</w:t>
      </w:r>
      <w:r>
        <w:rPr>
          <w:rFonts w:ascii="Times New Roman" w:hAnsi="Times New Roman" w:cs="Times New Roman"/>
          <w:sz w:val="24"/>
          <w:szCs w:val="24"/>
        </w:rPr>
        <w:t>t is not enough that an appellate court considers that had</w:t>
      </w:r>
      <w:r w:rsidR="007D7AA3">
        <w:rPr>
          <w:rFonts w:ascii="Times New Roman" w:hAnsi="Times New Roman" w:cs="Times New Roman"/>
          <w:sz w:val="24"/>
          <w:szCs w:val="24"/>
        </w:rPr>
        <w:t xml:space="preserve"> it</w:t>
      </w:r>
      <w:r>
        <w:rPr>
          <w:rFonts w:ascii="Times New Roman" w:hAnsi="Times New Roman" w:cs="Times New Roman"/>
          <w:sz w:val="24"/>
          <w:szCs w:val="24"/>
        </w:rPr>
        <w:t xml:space="preserve"> been in the position of the primary court it would have taken a different course.  It must appear that some error has been made in exercising the discretion.  If the primary court act</w:t>
      </w:r>
      <w:r w:rsidR="007D7AA3">
        <w:rPr>
          <w:rFonts w:ascii="Times New Roman" w:hAnsi="Times New Roman" w:cs="Times New Roman"/>
          <w:sz w:val="24"/>
          <w:szCs w:val="24"/>
        </w:rPr>
        <w:t>s</w:t>
      </w:r>
      <w:r>
        <w:rPr>
          <w:rFonts w:ascii="Times New Roman" w:hAnsi="Times New Roman" w:cs="Times New Roman"/>
          <w:sz w:val="24"/>
          <w:szCs w:val="24"/>
        </w:rPr>
        <w:t xml:space="preserve"> upon a wrong principle, if it allows extraneous or irrelevant matters to guide or aff</w:t>
      </w:r>
      <w:r w:rsidR="007D7AA3">
        <w:rPr>
          <w:rFonts w:ascii="Times New Roman" w:hAnsi="Times New Roman" w:cs="Times New Roman"/>
          <w:sz w:val="24"/>
          <w:szCs w:val="24"/>
        </w:rPr>
        <w:t>ect</w:t>
      </w:r>
      <w:r>
        <w:rPr>
          <w:rFonts w:ascii="Times New Roman" w:hAnsi="Times New Roman" w:cs="Times New Roman"/>
          <w:sz w:val="24"/>
          <w:szCs w:val="24"/>
        </w:rPr>
        <w:t xml:space="preserve"> it, if it mistakes the facts, if it does not take into account some relevant consideration, then its determination should be reviewed and the appellate court may exercise its own discretion in substitution…”</w:t>
      </w:r>
    </w:p>
    <w:p w14:paraId="70C1CC28" w14:textId="77777777" w:rsidR="007F670A" w:rsidRDefault="007F670A" w:rsidP="007F670A">
      <w:pPr>
        <w:spacing w:line="240" w:lineRule="auto"/>
        <w:jc w:val="both"/>
        <w:rPr>
          <w:rFonts w:ascii="Times New Roman" w:hAnsi="Times New Roman" w:cs="Times New Roman"/>
          <w:sz w:val="24"/>
          <w:szCs w:val="24"/>
        </w:rPr>
      </w:pPr>
    </w:p>
    <w:p w14:paraId="55C211E4" w14:textId="61297EA1" w:rsidR="007F670A" w:rsidRDefault="007F670A" w:rsidP="007F670A">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As already stated</w:t>
      </w:r>
      <w:r w:rsidR="007D7AA3">
        <w:rPr>
          <w:rFonts w:ascii="Times New Roman" w:hAnsi="Times New Roman" w:cs="Times New Roman"/>
          <w:sz w:val="24"/>
          <w:szCs w:val="24"/>
        </w:rPr>
        <w:t>,</w:t>
      </w:r>
      <w:r>
        <w:rPr>
          <w:rFonts w:ascii="Times New Roman" w:hAnsi="Times New Roman" w:cs="Times New Roman"/>
          <w:sz w:val="24"/>
          <w:szCs w:val="24"/>
        </w:rPr>
        <w:t xml:space="preserve"> no case has been made in both the grounds of appeal and the submissions made on appeal for interference.</w:t>
      </w:r>
    </w:p>
    <w:p w14:paraId="11353F4F" w14:textId="77777777" w:rsidR="007F670A" w:rsidRDefault="007F670A" w:rsidP="007F670A">
      <w:pPr>
        <w:spacing w:after="0" w:line="240" w:lineRule="auto"/>
        <w:jc w:val="both"/>
        <w:rPr>
          <w:rFonts w:ascii="Times New Roman" w:hAnsi="Times New Roman" w:cs="Times New Roman"/>
          <w:sz w:val="24"/>
          <w:szCs w:val="24"/>
        </w:rPr>
      </w:pPr>
    </w:p>
    <w:p w14:paraId="42CA6741" w14:textId="77777777" w:rsidR="007F670A" w:rsidRDefault="007F670A" w:rsidP="007F670A">
      <w:pPr>
        <w:spacing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DISPOSITION</w:t>
      </w:r>
    </w:p>
    <w:p w14:paraId="69E8133C" w14:textId="0F7F71AA" w:rsidR="007F670A" w:rsidRDefault="007F670A" w:rsidP="007F670A">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The appellants did not properly plead the defen</w:t>
      </w:r>
      <w:r w:rsidR="007D7AA3">
        <w:rPr>
          <w:rFonts w:ascii="Times New Roman" w:hAnsi="Times New Roman" w:cs="Times New Roman"/>
          <w:sz w:val="24"/>
          <w:szCs w:val="24"/>
        </w:rPr>
        <w:t>s</w:t>
      </w:r>
      <w:r>
        <w:rPr>
          <w:rFonts w:ascii="Times New Roman" w:hAnsi="Times New Roman" w:cs="Times New Roman"/>
          <w:sz w:val="24"/>
          <w:szCs w:val="24"/>
        </w:rPr>
        <w:t>e of prescription having pleaded a certain case, that is, that prescription started running in 1980 when it became possible to acquire houses without a marriage certificate</w:t>
      </w:r>
      <w:r w:rsidR="007D7AA3">
        <w:rPr>
          <w:rFonts w:ascii="Times New Roman" w:hAnsi="Times New Roman" w:cs="Times New Roman"/>
          <w:sz w:val="24"/>
          <w:szCs w:val="24"/>
        </w:rPr>
        <w:t>,</w:t>
      </w:r>
      <w:r>
        <w:rPr>
          <w:rFonts w:ascii="Times New Roman" w:hAnsi="Times New Roman" w:cs="Times New Roman"/>
          <w:sz w:val="24"/>
          <w:szCs w:val="24"/>
        </w:rPr>
        <w:t xml:space="preserve"> but </w:t>
      </w:r>
      <w:r w:rsidR="007D7AA3">
        <w:rPr>
          <w:rFonts w:ascii="Times New Roman" w:hAnsi="Times New Roman" w:cs="Times New Roman"/>
          <w:sz w:val="24"/>
          <w:szCs w:val="24"/>
        </w:rPr>
        <w:t>gone</w:t>
      </w:r>
      <w:r>
        <w:rPr>
          <w:rFonts w:ascii="Times New Roman" w:hAnsi="Times New Roman" w:cs="Times New Roman"/>
          <w:sz w:val="24"/>
          <w:szCs w:val="24"/>
        </w:rPr>
        <w:t xml:space="preserve"> on to lead evidence at variance with the plea.</w:t>
      </w:r>
    </w:p>
    <w:p w14:paraId="0736D0D9" w14:textId="77777777" w:rsidR="007F670A" w:rsidRDefault="007F670A" w:rsidP="007F670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14:paraId="5CF6C576" w14:textId="2738313E" w:rsidR="007F670A" w:rsidRDefault="007F670A" w:rsidP="007F670A">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In finding in favor of the first respondent, the court </w:t>
      </w:r>
      <w:r>
        <w:rPr>
          <w:rFonts w:ascii="Times New Roman" w:hAnsi="Times New Roman" w:cs="Times New Roman"/>
          <w:i/>
          <w:sz w:val="24"/>
          <w:szCs w:val="24"/>
        </w:rPr>
        <w:t xml:space="preserve">a quo </w:t>
      </w:r>
      <w:r>
        <w:rPr>
          <w:rFonts w:ascii="Times New Roman" w:hAnsi="Times New Roman" w:cs="Times New Roman"/>
          <w:sz w:val="24"/>
          <w:szCs w:val="24"/>
        </w:rPr>
        <w:t xml:space="preserve">made credibility and factual findings which the appellants have failed to impugn.  In relaxing the in </w:t>
      </w:r>
      <w:r>
        <w:rPr>
          <w:rFonts w:ascii="Times New Roman" w:hAnsi="Times New Roman" w:cs="Times New Roman"/>
          <w:i/>
          <w:sz w:val="24"/>
          <w:szCs w:val="24"/>
        </w:rPr>
        <w:t>pari delictum</w:t>
      </w:r>
      <w:r>
        <w:rPr>
          <w:rFonts w:ascii="Times New Roman" w:hAnsi="Times New Roman" w:cs="Times New Roman"/>
          <w:sz w:val="24"/>
          <w:szCs w:val="24"/>
        </w:rPr>
        <w:t xml:space="preserve"> rule, the court </w:t>
      </w:r>
      <w:r>
        <w:rPr>
          <w:rFonts w:ascii="Times New Roman" w:hAnsi="Times New Roman" w:cs="Times New Roman"/>
          <w:i/>
          <w:sz w:val="24"/>
          <w:szCs w:val="24"/>
        </w:rPr>
        <w:t>a quo</w:t>
      </w:r>
      <w:r>
        <w:rPr>
          <w:rFonts w:ascii="Times New Roman" w:hAnsi="Times New Roman" w:cs="Times New Roman"/>
          <w:sz w:val="24"/>
          <w:szCs w:val="24"/>
        </w:rPr>
        <w:t xml:space="preserve"> was engaged in the exercise of judicial discretion.  No case has been made for interfering with that exercise of discretion. The appeal ought to fail.</w:t>
      </w:r>
    </w:p>
    <w:p w14:paraId="0202154A" w14:textId="77777777" w:rsidR="007F670A" w:rsidRDefault="007F670A" w:rsidP="007F670A">
      <w:pPr>
        <w:spacing w:after="0" w:line="240" w:lineRule="auto"/>
        <w:ind w:firstLine="1134"/>
        <w:jc w:val="both"/>
        <w:rPr>
          <w:rFonts w:ascii="Times New Roman" w:hAnsi="Times New Roman" w:cs="Times New Roman"/>
          <w:sz w:val="24"/>
          <w:szCs w:val="24"/>
        </w:rPr>
      </w:pPr>
    </w:p>
    <w:p w14:paraId="24F76E0F" w14:textId="29D6DFD1" w:rsidR="007F670A" w:rsidRDefault="007F670A" w:rsidP="007F670A">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Regarding the question of costs, generally the costs follow the result.  The appellants</w:t>
      </w:r>
      <w:r w:rsidR="006C42BE">
        <w:rPr>
          <w:rFonts w:ascii="Times New Roman" w:hAnsi="Times New Roman" w:cs="Times New Roman"/>
          <w:sz w:val="24"/>
          <w:szCs w:val="24"/>
        </w:rPr>
        <w:t xml:space="preserve"> </w:t>
      </w:r>
      <w:r>
        <w:rPr>
          <w:rFonts w:ascii="Times New Roman" w:hAnsi="Times New Roman" w:cs="Times New Roman"/>
          <w:sz w:val="24"/>
          <w:szCs w:val="24"/>
        </w:rPr>
        <w:t>have been unsuccessful.  There is no basis for sparing them the consequences of such failure.  They should bear the costs.</w:t>
      </w:r>
    </w:p>
    <w:p w14:paraId="4345F571" w14:textId="77777777" w:rsidR="007F670A" w:rsidRDefault="007F670A" w:rsidP="007F670A">
      <w:pPr>
        <w:spacing w:after="0" w:line="240" w:lineRule="auto"/>
        <w:jc w:val="both"/>
        <w:rPr>
          <w:rFonts w:ascii="Times New Roman" w:hAnsi="Times New Roman" w:cs="Times New Roman"/>
          <w:sz w:val="24"/>
          <w:szCs w:val="24"/>
        </w:rPr>
      </w:pPr>
    </w:p>
    <w:p w14:paraId="6DE5BF2C" w14:textId="77777777" w:rsidR="007F670A" w:rsidRDefault="007F670A" w:rsidP="007F670A">
      <w:p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ab/>
        <w:t>In the result it be and is hereby ordered that.</w:t>
      </w:r>
    </w:p>
    <w:p w14:paraId="21E3F3FF" w14:textId="77777777" w:rsidR="007F670A" w:rsidRDefault="007F670A" w:rsidP="007F670A">
      <w:pPr>
        <w:spacing w:line="480" w:lineRule="auto"/>
        <w:ind w:firstLine="1418"/>
        <w:jc w:val="both"/>
        <w:rPr>
          <w:rFonts w:ascii="Times New Roman" w:hAnsi="Times New Roman" w:cs="Times New Roman"/>
          <w:sz w:val="24"/>
          <w:szCs w:val="24"/>
        </w:rPr>
      </w:pPr>
      <w:r>
        <w:rPr>
          <w:rFonts w:ascii="Times New Roman" w:hAnsi="Times New Roman" w:cs="Times New Roman"/>
          <w:sz w:val="24"/>
          <w:szCs w:val="24"/>
        </w:rPr>
        <w:lastRenderedPageBreak/>
        <w:t>“The appeal is dismissed with costs.”</w:t>
      </w:r>
    </w:p>
    <w:p w14:paraId="5A67E114" w14:textId="77777777" w:rsidR="00C06D42" w:rsidRDefault="00C06D42" w:rsidP="00D413EF">
      <w:pPr>
        <w:spacing w:line="480" w:lineRule="auto"/>
        <w:jc w:val="both"/>
        <w:rPr>
          <w:rFonts w:ascii="Times New Roman" w:hAnsi="Times New Roman" w:cs="Times New Roman"/>
          <w:b/>
          <w:sz w:val="24"/>
          <w:szCs w:val="24"/>
        </w:rPr>
      </w:pPr>
    </w:p>
    <w:p w14:paraId="5F3387D7" w14:textId="77777777" w:rsidR="00766F47" w:rsidRDefault="00766F47" w:rsidP="007F670A">
      <w:pPr>
        <w:spacing w:line="480" w:lineRule="auto"/>
        <w:ind w:firstLine="1134"/>
        <w:jc w:val="both"/>
        <w:rPr>
          <w:rFonts w:ascii="Times New Roman" w:hAnsi="Times New Roman" w:cs="Times New Roman"/>
          <w:b/>
          <w:sz w:val="24"/>
          <w:szCs w:val="24"/>
        </w:rPr>
      </w:pPr>
    </w:p>
    <w:p w14:paraId="1616F9F7" w14:textId="77777777" w:rsidR="007F670A" w:rsidRDefault="007F670A" w:rsidP="00766F47">
      <w:pPr>
        <w:spacing w:line="480" w:lineRule="auto"/>
        <w:ind w:firstLine="1134"/>
        <w:jc w:val="both"/>
        <w:rPr>
          <w:rFonts w:ascii="Times New Roman" w:hAnsi="Times New Roman" w:cs="Times New Roman"/>
          <w:b/>
          <w:sz w:val="24"/>
          <w:szCs w:val="24"/>
        </w:rPr>
      </w:pPr>
      <w:r>
        <w:rPr>
          <w:rFonts w:ascii="Times New Roman" w:hAnsi="Times New Roman" w:cs="Times New Roman"/>
          <w:b/>
          <w:sz w:val="24"/>
          <w:szCs w:val="24"/>
        </w:rPr>
        <w:t>GUVAVA JA</w:t>
      </w:r>
      <w:r>
        <w:rPr>
          <w:rFonts w:ascii="Times New Roman" w:hAnsi="Times New Roman" w:cs="Times New Roman"/>
          <w:b/>
          <w:sz w:val="24"/>
          <w:szCs w:val="24"/>
        </w:rPr>
        <w:tab/>
      </w:r>
      <w:r>
        <w:rPr>
          <w:rFonts w:ascii="Times New Roman" w:hAnsi="Times New Roman" w:cs="Times New Roman"/>
          <w:b/>
          <w:sz w:val="24"/>
          <w:szCs w:val="24"/>
        </w:rPr>
        <w:tab/>
      </w:r>
      <w:r w:rsidRPr="00D337BE">
        <w:rPr>
          <w:rFonts w:ascii="Times New Roman" w:hAnsi="Times New Roman" w:cs="Times New Roman"/>
          <w:sz w:val="24"/>
          <w:szCs w:val="24"/>
        </w:rPr>
        <w:t>:</w:t>
      </w:r>
      <w:r>
        <w:rPr>
          <w:rFonts w:ascii="Times New Roman" w:hAnsi="Times New Roman" w:cs="Times New Roman"/>
          <w:b/>
          <w:sz w:val="24"/>
          <w:szCs w:val="24"/>
        </w:rPr>
        <w:tab/>
      </w:r>
      <w:r>
        <w:rPr>
          <w:rFonts w:ascii="Times New Roman" w:hAnsi="Times New Roman" w:cs="Times New Roman"/>
          <w:sz w:val="24"/>
          <w:szCs w:val="24"/>
        </w:rPr>
        <w:t>I agree</w:t>
      </w:r>
    </w:p>
    <w:p w14:paraId="0A803DAB" w14:textId="77777777" w:rsidR="007F670A" w:rsidRDefault="007F670A" w:rsidP="007F670A">
      <w:pPr>
        <w:spacing w:after="0" w:line="240" w:lineRule="auto"/>
        <w:jc w:val="both"/>
        <w:rPr>
          <w:rFonts w:ascii="Times New Roman" w:hAnsi="Times New Roman" w:cs="Times New Roman"/>
          <w:b/>
          <w:sz w:val="24"/>
          <w:szCs w:val="24"/>
        </w:rPr>
      </w:pPr>
    </w:p>
    <w:p w14:paraId="2DB9C39D" w14:textId="77777777" w:rsidR="00D413EF" w:rsidRDefault="00D413EF" w:rsidP="00D337BE">
      <w:pPr>
        <w:spacing w:after="0" w:line="240" w:lineRule="auto"/>
        <w:ind w:firstLine="1134"/>
        <w:jc w:val="both"/>
        <w:rPr>
          <w:rFonts w:ascii="Times New Roman" w:hAnsi="Times New Roman" w:cs="Times New Roman"/>
          <w:b/>
          <w:sz w:val="24"/>
          <w:szCs w:val="24"/>
        </w:rPr>
      </w:pPr>
    </w:p>
    <w:p w14:paraId="195B8008" w14:textId="335527DF" w:rsidR="007F670A" w:rsidRDefault="007F670A" w:rsidP="00D413EF">
      <w:pPr>
        <w:spacing w:line="480" w:lineRule="auto"/>
        <w:ind w:firstLine="1134"/>
        <w:jc w:val="both"/>
        <w:rPr>
          <w:rFonts w:ascii="Times New Roman" w:hAnsi="Times New Roman" w:cs="Times New Roman"/>
          <w:sz w:val="24"/>
          <w:szCs w:val="24"/>
        </w:rPr>
      </w:pPr>
      <w:r>
        <w:rPr>
          <w:rFonts w:ascii="Times New Roman" w:hAnsi="Times New Roman" w:cs="Times New Roman"/>
          <w:b/>
          <w:sz w:val="24"/>
          <w:szCs w:val="24"/>
        </w:rPr>
        <w:t>UCHEN</w:t>
      </w:r>
      <w:r w:rsidR="006C42BE">
        <w:rPr>
          <w:rFonts w:ascii="Times New Roman" w:hAnsi="Times New Roman" w:cs="Times New Roman"/>
          <w:b/>
          <w:sz w:val="24"/>
          <w:szCs w:val="24"/>
        </w:rPr>
        <w:t>A</w:t>
      </w:r>
      <w:r>
        <w:rPr>
          <w:rFonts w:ascii="Times New Roman" w:hAnsi="Times New Roman" w:cs="Times New Roman"/>
          <w:b/>
          <w:sz w:val="24"/>
          <w:szCs w:val="24"/>
        </w:rPr>
        <w:t xml:space="preserve"> JA</w:t>
      </w:r>
      <w:r>
        <w:rPr>
          <w:rFonts w:ascii="Times New Roman" w:hAnsi="Times New Roman" w:cs="Times New Roman"/>
          <w:b/>
          <w:sz w:val="24"/>
          <w:szCs w:val="24"/>
        </w:rPr>
        <w:tab/>
      </w:r>
      <w:r>
        <w:rPr>
          <w:rFonts w:ascii="Times New Roman" w:hAnsi="Times New Roman" w:cs="Times New Roman"/>
          <w:b/>
          <w:sz w:val="24"/>
          <w:szCs w:val="24"/>
        </w:rPr>
        <w:tab/>
      </w:r>
      <w:r w:rsidRPr="00D337BE">
        <w:rPr>
          <w:rFonts w:ascii="Times New Roman" w:hAnsi="Times New Roman" w:cs="Times New Roman"/>
          <w:sz w:val="24"/>
          <w:szCs w:val="24"/>
        </w:rPr>
        <w:t>:</w:t>
      </w:r>
      <w:r>
        <w:rPr>
          <w:rFonts w:ascii="Times New Roman" w:hAnsi="Times New Roman" w:cs="Times New Roman"/>
          <w:sz w:val="24"/>
          <w:szCs w:val="24"/>
        </w:rPr>
        <w:tab/>
        <w:t xml:space="preserve"> I agree</w:t>
      </w:r>
    </w:p>
    <w:p w14:paraId="4A921F13" w14:textId="77777777" w:rsidR="00D413EF" w:rsidRDefault="00D413EF" w:rsidP="00D413EF">
      <w:pPr>
        <w:spacing w:line="480" w:lineRule="auto"/>
        <w:ind w:firstLine="1134"/>
        <w:jc w:val="both"/>
        <w:rPr>
          <w:rFonts w:ascii="Times New Roman" w:hAnsi="Times New Roman" w:cs="Times New Roman"/>
          <w:sz w:val="24"/>
          <w:szCs w:val="24"/>
        </w:rPr>
      </w:pPr>
    </w:p>
    <w:p w14:paraId="62BEE8DA" w14:textId="77777777" w:rsidR="00D413EF" w:rsidRDefault="00D413EF" w:rsidP="00D413EF">
      <w:pPr>
        <w:spacing w:line="480" w:lineRule="auto"/>
        <w:ind w:firstLine="1134"/>
        <w:jc w:val="both"/>
        <w:rPr>
          <w:rFonts w:ascii="Times New Roman" w:hAnsi="Times New Roman" w:cs="Times New Roman"/>
          <w:sz w:val="24"/>
          <w:szCs w:val="24"/>
        </w:rPr>
      </w:pPr>
    </w:p>
    <w:p w14:paraId="664B7DAF" w14:textId="68097338" w:rsidR="007F670A" w:rsidRDefault="007F670A" w:rsidP="00D337BE">
      <w:pPr>
        <w:spacing w:after="0" w:line="480" w:lineRule="auto"/>
        <w:jc w:val="both"/>
        <w:rPr>
          <w:rFonts w:ascii="Times New Roman" w:hAnsi="Times New Roman" w:cs="Times New Roman"/>
          <w:sz w:val="24"/>
          <w:szCs w:val="24"/>
        </w:rPr>
      </w:pPr>
      <w:r>
        <w:rPr>
          <w:rFonts w:ascii="Times New Roman" w:hAnsi="Times New Roman" w:cs="Times New Roman"/>
          <w:i/>
          <w:sz w:val="24"/>
          <w:szCs w:val="24"/>
        </w:rPr>
        <w:t>Ziumbe &amp; Partners</w:t>
      </w:r>
      <w:r>
        <w:rPr>
          <w:rFonts w:ascii="Times New Roman" w:hAnsi="Times New Roman" w:cs="Times New Roman"/>
          <w:sz w:val="24"/>
          <w:szCs w:val="24"/>
        </w:rPr>
        <w:t xml:space="preserve">, the appellants` legal </w:t>
      </w:r>
      <w:r w:rsidR="00D337BE">
        <w:rPr>
          <w:rFonts w:ascii="Times New Roman" w:hAnsi="Times New Roman" w:cs="Times New Roman"/>
          <w:sz w:val="24"/>
          <w:szCs w:val="24"/>
        </w:rPr>
        <w:t>practitioners</w:t>
      </w:r>
      <w:r>
        <w:rPr>
          <w:rFonts w:ascii="Times New Roman" w:hAnsi="Times New Roman" w:cs="Times New Roman"/>
          <w:sz w:val="24"/>
          <w:szCs w:val="24"/>
        </w:rPr>
        <w:t>.</w:t>
      </w:r>
    </w:p>
    <w:p w14:paraId="7921870D" w14:textId="155DA699" w:rsidR="007F670A" w:rsidRDefault="007F670A" w:rsidP="00D337BE">
      <w:pPr>
        <w:spacing w:after="0" w:line="480" w:lineRule="auto"/>
        <w:jc w:val="both"/>
        <w:rPr>
          <w:rFonts w:ascii="Times New Roman" w:hAnsi="Times New Roman" w:cs="Times New Roman"/>
          <w:sz w:val="24"/>
          <w:szCs w:val="24"/>
        </w:rPr>
      </w:pPr>
      <w:r>
        <w:rPr>
          <w:rFonts w:ascii="Times New Roman" w:hAnsi="Times New Roman" w:cs="Times New Roman"/>
          <w:i/>
          <w:sz w:val="24"/>
          <w:szCs w:val="24"/>
        </w:rPr>
        <w:t>Tendai Biti Law</w:t>
      </w:r>
      <w:r w:rsidR="000B7F75">
        <w:rPr>
          <w:rFonts w:ascii="Times New Roman" w:hAnsi="Times New Roman" w:cs="Times New Roman"/>
          <w:sz w:val="24"/>
          <w:szCs w:val="24"/>
        </w:rPr>
        <w:t>, 1</w:t>
      </w:r>
      <w:r w:rsidR="000B7F75">
        <w:rPr>
          <w:rFonts w:ascii="Times New Roman" w:hAnsi="Times New Roman" w:cs="Times New Roman"/>
          <w:sz w:val="24"/>
          <w:szCs w:val="24"/>
          <w:vertAlign w:val="superscript"/>
        </w:rPr>
        <w:t xml:space="preserve">st </w:t>
      </w:r>
      <w:r w:rsidR="00D337BE">
        <w:rPr>
          <w:rFonts w:ascii="Times New Roman" w:hAnsi="Times New Roman" w:cs="Times New Roman"/>
          <w:sz w:val="24"/>
          <w:szCs w:val="24"/>
        </w:rPr>
        <w:t>respondents` legal practitioners</w:t>
      </w:r>
    </w:p>
    <w:p w14:paraId="1646EDD1" w14:textId="77777777" w:rsidR="007F670A" w:rsidRDefault="007F670A" w:rsidP="007F670A">
      <w:pPr>
        <w:spacing w:line="480" w:lineRule="auto"/>
        <w:ind w:left="993" w:hanging="273"/>
        <w:jc w:val="both"/>
        <w:rPr>
          <w:rFonts w:ascii="Times New Roman" w:hAnsi="Times New Roman" w:cs="Times New Roman"/>
          <w:sz w:val="24"/>
          <w:szCs w:val="24"/>
        </w:rPr>
      </w:pPr>
    </w:p>
    <w:p w14:paraId="3A1E3A93" w14:textId="77777777" w:rsidR="007F670A" w:rsidRDefault="007F670A" w:rsidP="007F670A">
      <w:pPr>
        <w:spacing w:line="480" w:lineRule="auto"/>
        <w:ind w:left="993" w:hanging="273"/>
        <w:jc w:val="both"/>
        <w:rPr>
          <w:rFonts w:ascii="Times New Roman" w:hAnsi="Times New Roman" w:cs="Times New Roman"/>
          <w:sz w:val="24"/>
          <w:szCs w:val="24"/>
        </w:rPr>
      </w:pPr>
    </w:p>
    <w:p w14:paraId="34B9F677" w14:textId="77777777" w:rsidR="007F670A" w:rsidRDefault="007F670A" w:rsidP="007F670A">
      <w:pPr>
        <w:spacing w:line="480" w:lineRule="auto"/>
        <w:jc w:val="both"/>
        <w:rPr>
          <w:rFonts w:ascii="Times New Roman" w:hAnsi="Times New Roman" w:cs="Times New Roman"/>
          <w:b/>
          <w:sz w:val="24"/>
          <w:szCs w:val="24"/>
        </w:rPr>
      </w:pPr>
    </w:p>
    <w:p w14:paraId="3009AF77" w14:textId="77777777" w:rsidR="003A2390" w:rsidRDefault="003A2390" w:rsidP="00056A66">
      <w:pPr>
        <w:spacing w:after="0" w:line="480" w:lineRule="auto"/>
        <w:ind w:firstLine="1134"/>
        <w:jc w:val="both"/>
        <w:rPr>
          <w:rFonts w:ascii="Times New Roman" w:eastAsia="Calibri" w:hAnsi="Times New Roman" w:cs="Times New Roman"/>
          <w:iCs/>
          <w:sz w:val="24"/>
          <w:szCs w:val="24"/>
          <w:lang w:val="en-ZW"/>
        </w:rPr>
      </w:pPr>
    </w:p>
    <w:p w14:paraId="2CBF2D54" w14:textId="484F94BB" w:rsidR="009F57A3" w:rsidRPr="0056270A" w:rsidRDefault="003A2390" w:rsidP="0056270A">
      <w:pPr>
        <w:spacing w:after="0" w:line="480" w:lineRule="auto"/>
        <w:ind w:firstLine="1134"/>
        <w:jc w:val="both"/>
        <w:rPr>
          <w:rFonts w:ascii="Times New Roman" w:eastAsia="Calibri" w:hAnsi="Times New Roman" w:cs="Times New Roman"/>
          <w:b/>
          <w:iCs/>
          <w:sz w:val="24"/>
          <w:szCs w:val="24"/>
          <w:u w:val="single"/>
          <w:lang w:val="en-ZW"/>
        </w:rPr>
      </w:pPr>
      <w:r>
        <w:rPr>
          <w:rFonts w:ascii="Times New Roman" w:eastAsia="Calibri" w:hAnsi="Times New Roman" w:cs="Times New Roman"/>
          <w:iCs/>
          <w:sz w:val="24"/>
          <w:szCs w:val="24"/>
          <w:lang w:val="en-ZW"/>
        </w:rPr>
        <w:t xml:space="preserve"> </w:t>
      </w:r>
      <w:r w:rsidR="00DB3953">
        <w:rPr>
          <w:rFonts w:ascii="Times New Roman" w:eastAsia="Calibri" w:hAnsi="Times New Roman" w:cs="Times New Roman"/>
          <w:iCs/>
          <w:sz w:val="24"/>
          <w:szCs w:val="24"/>
          <w:lang w:val="en-ZW"/>
        </w:rPr>
        <w:t xml:space="preserve">    </w:t>
      </w:r>
      <w:r w:rsidR="00937815">
        <w:rPr>
          <w:rFonts w:ascii="Times New Roman" w:eastAsia="Calibri" w:hAnsi="Times New Roman" w:cs="Times New Roman"/>
          <w:iCs/>
          <w:sz w:val="24"/>
          <w:szCs w:val="24"/>
          <w:lang w:val="en-ZW"/>
        </w:rPr>
        <w:t xml:space="preserve"> </w:t>
      </w:r>
      <w:r w:rsidR="0056270A" w:rsidRPr="0056270A">
        <w:rPr>
          <w:rFonts w:ascii="Times New Roman" w:eastAsia="Calibri" w:hAnsi="Times New Roman" w:cs="Times New Roman"/>
          <w:b/>
          <w:iCs/>
          <w:sz w:val="24"/>
          <w:szCs w:val="24"/>
          <w:u w:val="single"/>
          <w:lang w:val="en-ZW"/>
        </w:rPr>
        <w:t xml:space="preserve">    </w:t>
      </w:r>
    </w:p>
    <w:p w14:paraId="0EA84F25" w14:textId="77777777" w:rsidR="009F57A3" w:rsidRDefault="009F57A3" w:rsidP="009F57A3">
      <w:pPr>
        <w:spacing w:after="0" w:line="480" w:lineRule="auto"/>
        <w:jc w:val="both"/>
        <w:rPr>
          <w:rFonts w:ascii="Times New Roman" w:eastAsia="Calibri" w:hAnsi="Times New Roman" w:cs="Times New Roman"/>
          <w:iCs/>
          <w:sz w:val="24"/>
          <w:szCs w:val="24"/>
          <w:lang w:val="en-ZW"/>
        </w:rPr>
      </w:pPr>
    </w:p>
    <w:p w14:paraId="69F0FF7A" w14:textId="77777777" w:rsidR="009F57A3" w:rsidRDefault="009F57A3" w:rsidP="009F57A3">
      <w:pPr>
        <w:spacing w:after="0" w:line="480" w:lineRule="auto"/>
        <w:jc w:val="both"/>
        <w:rPr>
          <w:rFonts w:ascii="Times New Roman" w:eastAsia="Calibri" w:hAnsi="Times New Roman" w:cs="Times New Roman"/>
          <w:iCs/>
          <w:sz w:val="24"/>
          <w:szCs w:val="24"/>
          <w:lang w:val="en-ZW"/>
        </w:rPr>
      </w:pPr>
    </w:p>
    <w:p w14:paraId="5D85DEA2" w14:textId="77777777" w:rsidR="009F57A3" w:rsidRDefault="009F57A3" w:rsidP="009F57A3">
      <w:pPr>
        <w:spacing w:after="0" w:line="480" w:lineRule="auto"/>
        <w:jc w:val="both"/>
        <w:rPr>
          <w:rFonts w:ascii="Times New Roman" w:eastAsia="Calibri" w:hAnsi="Times New Roman" w:cs="Times New Roman"/>
          <w:iCs/>
          <w:sz w:val="24"/>
          <w:szCs w:val="24"/>
          <w:lang w:val="en-ZW"/>
        </w:rPr>
      </w:pPr>
    </w:p>
    <w:p w14:paraId="73BADB98" w14:textId="77777777" w:rsidR="009F57A3" w:rsidRDefault="009F57A3" w:rsidP="009F57A3">
      <w:pPr>
        <w:spacing w:after="0" w:line="480" w:lineRule="auto"/>
        <w:jc w:val="both"/>
        <w:rPr>
          <w:rFonts w:ascii="Times New Roman" w:eastAsia="Calibri" w:hAnsi="Times New Roman" w:cs="Times New Roman"/>
          <w:iCs/>
          <w:sz w:val="24"/>
          <w:szCs w:val="24"/>
          <w:lang w:val="en-ZW"/>
        </w:rPr>
      </w:pPr>
    </w:p>
    <w:p w14:paraId="628741E4" w14:textId="77777777" w:rsidR="009F57A3" w:rsidRDefault="009F57A3" w:rsidP="009F57A3">
      <w:pPr>
        <w:spacing w:after="0" w:line="480" w:lineRule="auto"/>
        <w:jc w:val="both"/>
        <w:rPr>
          <w:rFonts w:ascii="Times New Roman" w:eastAsia="Calibri" w:hAnsi="Times New Roman" w:cs="Times New Roman"/>
          <w:iCs/>
          <w:sz w:val="24"/>
          <w:szCs w:val="24"/>
          <w:lang w:val="en-ZW"/>
        </w:rPr>
      </w:pPr>
    </w:p>
    <w:p w14:paraId="50A10701" w14:textId="7A4E32B0" w:rsidR="007577AB" w:rsidRPr="00766F47" w:rsidRDefault="007577AB" w:rsidP="00766F47">
      <w:pPr>
        <w:spacing w:after="0" w:line="480" w:lineRule="auto"/>
        <w:jc w:val="both"/>
        <w:rPr>
          <w:rFonts w:ascii="Times New Roman" w:eastAsia="Calibri" w:hAnsi="Times New Roman" w:cs="Times New Roman"/>
          <w:iCs/>
          <w:sz w:val="24"/>
          <w:szCs w:val="24"/>
          <w:lang w:val="en-ZW"/>
        </w:rPr>
      </w:pPr>
    </w:p>
    <w:sectPr w:rsidR="007577AB" w:rsidRPr="00766F4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F8BF77" w14:textId="77777777" w:rsidR="00E049A3" w:rsidRDefault="00E049A3" w:rsidP="00125BF6">
      <w:pPr>
        <w:spacing w:after="0" w:line="240" w:lineRule="auto"/>
      </w:pPr>
      <w:r>
        <w:separator/>
      </w:r>
    </w:p>
  </w:endnote>
  <w:endnote w:type="continuationSeparator" w:id="0">
    <w:p w14:paraId="755A8461" w14:textId="77777777" w:rsidR="00E049A3" w:rsidRDefault="00E049A3" w:rsidP="00125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76C716" w14:textId="77777777" w:rsidR="00E049A3" w:rsidRDefault="00E049A3" w:rsidP="00125BF6">
      <w:pPr>
        <w:spacing w:after="0" w:line="240" w:lineRule="auto"/>
      </w:pPr>
      <w:r>
        <w:separator/>
      </w:r>
    </w:p>
  </w:footnote>
  <w:footnote w:type="continuationSeparator" w:id="0">
    <w:p w14:paraId="2022A823" w14:textId="77777777" w:rsidR="00E049A3" w:rsidRDefault="00E049A3" w:rsidP="00125B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01D92" w14:textId="1D10F890" w:rsidR="002954EF" w:rsidRDefault="002954EF">
    <w:pPr>
      <w:pStyle w:val="Header"/>
    </w:pPr>
    <w:r>
      <w:rPr>
        <w:noProof/>
        <w:lang w:val="en-ZW" w:eastAsia="en-ZW"/>
      </w:rPr>
      <mc:AlternateContent>
        <mc:Choice Requires="wps">
          <w:drawing>
            <wp:anchor distT="0" distB="0" distL="114300" distR="114300" simplePos="0" relativeHeight="251660288" behindDoc="0" locked="0" layoutInCell="0" allowOverlap="1" wp14:anchorId="2F1C6483" wp14:editId="6F48B1E8">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ECBA70" w14:textId="6D67F7E8" w:rsidR="002954EF" w:rsidRPr="000A73C6" w:rsidRDefault="00870FDF" w:rsidP="00E0442F">
                          <w:pPr>
                            <w:spacing w:after="0" w:line="240" w:lineRule="auto"/>
                            <w:jc w:val="right"/>
                            <w:rPr>
                              <w:rFonts w:ascii="Times New Roman" w:hAnsi="Times New Roman" w:cs="Times New Roman"/>
                              <w:b/>
                              <w:noProof/>
                              <w:sz w:val="24"/>
                              <w:szCs w:val="24"/>
                            </w:rPr>
                          </w:pPr>
                          <w:r>
                            <w:rPr>
                              <w:rFonts w:ascii="Times New Roman" w:hAnsi="Times New Roman" w:cs="Times New Roman"/>
                              <w:b/>
                              <w:noProof/>
                              <w:sz w:val="24"/>
                              <w:szCs w:val="24"/>
                            </w:rPr>
                            <w:t>Judgment No. SC  86</w:t>
                          </w:r>
                          <w:r w:rsidR="002954EF" w:rsidRPr="000A73C6">
                            <w:rPr>
                              <w:rFonts w:ascii="Times New Roman" w:hAnsi="Times New Roman" w:cs="Times New Roman"/>
                              <w:b/>
                              <w:noProof/>
                              <w:sz w:val="24"/>
                              <w:szCs w:val="24"/>
                            </w:rPr>
                            <w:t>/24</w:t>
                          </w:r>
                        </w:p>
                        <w:p w14:paraId="2061C4EE" w14:textId="04B77B7F" w:rsidR="002954EF" w:rsidRPr="000A73C6" w:rsidRDefault="002954EF" w:rsidP="00E0442F">
                          <w:pPr>
                            <w:spacing w:after="0" w:line="240" w:lineRule="auto"/>
                            <w:jc w:val="right"/>
                            <w:rPr>
                              <w:rFonts w:ascii="Times New Roman" w:hAnsi="Times New Roman" w:cs="Times New Roman"/>
                              <w:b/>
                              <w:noProof/>
                              <w:sz w:val="24"/>
                              <w:szCs w:val="24"/>
                            </w:rPr>
                          </w:pPr>
                          <w:r w:rsidRPr="000A73C6">
                            <w:rPr>
                              <w:rFonts w:ascii="Times New Roman" w:hAnsi="Times New Roman" w:cs="Times New Roman"/>
                              <w:b/>
                              <w:noProof/>
                              <w:sz w:val="24"/>
                              <w:szCs w:val="24"/>
                            </w:rPr>
                            <w:t>Civil Appeal No. SC 234/24</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F1C6483"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07ECBA70" w14:textId="6D67F7E8" w:rsidR="002954EF" w:rsidRPr="000A73C6" w:rsidRDefault="00870FDF" w:rsidP="00E0442F">
                    <w:pPr>
                      <w:spacing w:after="0" w:line="240" w:lineRule="auto"/>
                      <w:jc w:val="right"/>
                      <w:rPr>
                        <w:rFonts w:ascii="Times New Roman" w:hAnsi="Times New Roman" w:cs="Times New Roman"/>
                        <w:b/>
                        <w:noProof/>
                        <w:sz w:val="24"/>
                        <w:szCs w:val="24"/>
                      </w:rPr>
                    </w:pPr>
                    <w:r>
                      <w:rPr>
                        <w:rFonts w:ascii="Times New Roman" w:hAnsi="Times New Roman" w:cs="Times New Roman"/>
                        <w:b/>
                        <w:noProof/>
                        <w:sz w:val="24"/>
                        <w:szCs w:val="24"/>
                      </w:rPr>
                      <w:t>Judgment No. SC  86</w:t>
                    </w:r>
                    <w:r w:rsidR="002954EF" w:rsidRPr="000A73C6">
                      <w:rPr>
                        <w:rFonts w:ascii="Times New Roman" w:hAnsi="Times New Roman" w:cs="Times New Roman"/>
                        <w:b/>
                        <w:noProof/>
                        <w:sz w:val="24"/>
                        <w:szCs w:val="24"/>
                      </w:rPr>
                      <w:t>/24</w:t>
                    </w:r>
                  </w:p>
                  <w:p w14:paraId="2061C4EE" w14:textId="04B77B7F" w:rsidR="002954EF" w:rsidRPr="000A73C6" w:rsidRDefault="002954EF" w:rsidP="00E0442F">
                    <w:pPr>
                      <w:spacing w:after="0" w:line="240" w:lineRule="auto"/>
                      <w:jc w:val="right"/>
                      <w:rPr>
                        <w:rFonts w:ascii="Times New Roman" w:hAnsi="Times New Roman" w:cs="Times New Roman"/>
                        <w:b/>
                        <w:noProof/>
                        <w:sz w:val="24"/>
                        <w:szCs w:val="24"/>
                      </w:rPr>
                    </w:pPr>
                    <w:r w:rsidRPr="000A73C6">
                      <w:rPr>
                        <w:rFonts w:ascii="Times New Roman" w:hAnsi="Times New Roman" w:cs="Times New Roman"/>
                        <w:b/>
                        <w:noProof/>
                        <w:sz w:val="24"/>
                        <w:szCs w:val="24"/>
                      </w:rPr>
                      <w:t>Civil Appeal No. SC 234/24</w:t>
                    </w:r>
                  </w:p>
                </w:txbxContent>
              </v:textbox>
              <w10:wrap anchorx="margin" anchory="margin"/>
            </v:shape>
          </w:pict>
        </mc:Fallback>
      </mc:AlternateContent>
    </w:r>
    <w:r>
      <w:rPr>
        <w:noProof/>
        <w:lang w:val="en-ZW" w:eastAsia="en-ZW"/>
      </w:rPr>
      <mc:AlternateContent>
        <mc:Choice Requires="wps">
          <w:drawing>
            <wp:anchor distT="0" distB="0" distL="114300" distR="114300" simplePos="0" relativeHeight="251659264" behindDoc="0" locked="0" layoutInCell="0" allowOverlap="1" wp14:anchorId="52DDF396" wp14:editId="27D6A752">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1C60B067" w14:textId="77777777" w:rsidR="002954EF" w:rsidRDefault="002954EF">
                          <w:pPr>
                            <w:spacing w:after="0" w:line="240" w:lineRule="auto"/>
                            <w:rPr>
                              <w:color w:val="FFFFFF" w:themeColor="background1"/>
                            </w:rPr>
                          </w:pPr>
                          <w:r>
                            <w:fldChar w:fldCharType="begin"/>
                          </w:r>
                          <w:r>
                            <w:instrText xml:space="preserve"> PAGE   \* MERGEFORMAT </w:instrText>
                          </w:r>
                          <w:r>
                            <w:fldChar w:fldCharType="separate"/>
                          </w:r>
                          <w:r w:rsidR="004F0141" w:rsidRPr="004F0141">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52DDF396"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1C60B067" w14:textId="77777777" w:rsidR="002954EF" w:rsidRDefault="002954EF">
                    <w:pPr>
                      <w:spacing w:after="0" w:line="240" w:lineRule="auto"/>
                      <w:rPr>
                        <w:color w:val="FFFFFF" w:themeColor="background1"/>
                      </w:rPr>
                    </w:pPr>
                    <w:r>
                      <w:fldChar w:fldCharType="begin"/>
                    </w:r>
                    <w:r>
                      <w:instrText xml:space="preserve"> PAGE   \* MERGEFORMAT </w:instrText>
                    </w:r>
                    <w:r>
                      <w:fldChar w:fldCharType="separate"/>
                    </w:r>
                    <w:r w:rsidR="004F0141" w:rsidRPr="004F0141">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112A4"/>
    <w:multiLevelType w:val="hybridMultilevel"/>
    <w:tmpl w:val="199CD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456C9"/>
    <w:multiLevelType w:val="hybridMultilevel"/>
    <w:tmpl w:val="7E809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D60D94"/>
    <w:multiLevelType w:val="hybridMultilevel"/>
    <w:tmpl w:val="BAA83D32"/>
    <w:lvl w:ilvl="0" w:tplc="D2D831F4">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1F39018B"/>
    <w:multiLevelType w:val="hybridMultilevel"/>
    <w:tmpl w:val="BCAA7D48"/>
    <w:lvl w:ilvl="0" w:tplc="F05202B8">
      <w:start w:val="1"/>
      <w:numFmt w:val="decimal"/>
      <w:lvlText w:val="%1."/>
      <w:lvlJc w:val="left"/>
      <w:pPr>
        <w:ind w:left="1494" w:hanging="360"/>
      </w:pPr>
      <w:rPr>
        <w:rFonts w:hint="default"/>
      </w:rPr>
    </w:lvl>
    <w:lvl w:ilvl="1" w:tplc="30090019" w:tentative="1">
      <w:start w:val="1"/>
      <w:numFmt w:val="lowerLetter"/>
      <w:lvlText w:val="%2."/>
      <w:lvlJc w:val="left"/>
      <w:pPr>
        <w:ind w:left="2214" w:hanging="360"/>
      </w:pPr>
    </w:lvl>
    <w:lvl w:ilvl="2" w:tplc="3009001B" w:tentative="1">
      <w:start w:val="1"/>
      <w:numFmt w:val="lowerRoman"/>
      <w:lvlText w:val="%3."/>
      <w:lvlJc w:val="right"/>
      <w:pPr>
        <w:ind w:left="2934" w:hanging="180"/>
      </w:pPr>
    </w:lvl>
    <w:lvl w:ilvl="3" w:tplc="3009000F" w:tentative="1">
      <w:start w:val="1"/>
      <w:numFmt w:val="decimal"/>
      <w:lvlText w:val="%4."/>
      <w:lvlJc w:val="left"/>
      <w:pPr>
        <w:ind w:left="3654" w:hanging="360"/>
      </w:pPr>
    </w:lvl>
    <w:lvl w:ilvl="4" w:tplc="30090019" w:tentative="1">
      <w:start w:val="1"/>
      <w:numFmt w:val="lowerLetter"/>
      <w:lvlText w:val="%5."/>
      <w:lvlJc w:val="left"/>
      <w:pPr>
        <w:ind w:left="4374" w:hanging="360"/>
      </w:pPr>
    </w:lvl>
    <w:lvl w:ilvl="5" w:tplc="3009001B" w:tentative="1">
      <w:start w:val="1"/>
      <w:numFmt w:val="lowerRoman"/>
      <w:lvlText w:val="%6."/>
      <w:lvlJc w:val="right"/>
      <w:pPr>
        <w:ind w:left="5094" w:hanging="180"/>
      </w:pPr>
    </w:lvl>
    <w:lvl w:ilvl="6" w:tplc="3009000F" w:tentative="1">
      <w:start w:val="1"/>
      <w:numFmt w:val="decimal"/>
      <w:lvlText w:val="%7."/>
      <w:lvlJc w:val="left"/>
      <w:pPr>
        <w:ind w:left="5814" w:hanging="360"/>
      </w:pPr>
    </w:lvl>
    <w:lvl w:ilvl="7" w:tplc="30090019" w:tentative="1">
      <w:start w:val="1"/>
      <w:numFmt w:val="lowerLetter"/>
      <w:lvlText w:val="%8."/>
      <w:lvlJc w:val="left"/>
      <w:pPr>
        <w:ind w:left="6534" w:hanging="360"/>
      </w:pPr>
    </w:lvl>
    <w:lvl w:ilvl="8" w:tplc="3009001B" w:tentative="1">
      <w:start w:val="1"/>
      <w:numFmt w:val="lowerRoman"/>
      <w:lvlText w:val="%9."/>
      <w:lvlJc w:val="right"/>
      <w:pPr>
        <w:ind w:left="7254" w:hanging="180"/>
      </w:pPr>
    </w:lvl>
  </w:abstractNum>
  <w:abstractNum w:abstractNumId="4" w15:restartNumberingAfterBreak="0">
    <w:nsid w:val="22652D34"/>
    <w:multiLevelType w:val="hybridMultilevel"/>
    <w:tmpl w:val="A7863294"/>
    <w:lvl w:ilvl="0" w:tplc="95E0521E">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2E633A7A"/>
    <w:multiLevelType w:val="hybridMultilevel"/>
    <w:tmpl w:val="4E12898A"/>
    <w:lvl w:ilvl="0" w:tplc="1C984D92">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6" w15:restartNumberingAfterBreak="0">
    <w:nsid w:val="2E955119"/>
    <w:multiLevelType w:val="hybridMultilevel"/>
    <w:tmpl w:val="F29628C0"/>
    <w:lvl w:ilvl="0" w:tplc="30090017">
      <w:start w:val="1"/>
      <w:numFmt w:val="lowerLetter"/>
      <w:lvlText w:val="%1)"/>
      <w:lvlJc w:val="left"/>
      <w:pPr>
        <w:ind w:left="3141" w:hanging="360"/>
      </w:pPr>
    </w:lvl>
    <w:lvl w:ilvl="1" w:tplc="30090019" w:tentative="1">
      <w:start w:val="1"/>
      <w:numFmt w:val="lowerLetter"/>
      <w:lvlText w:val="%2."/>
      <w:lvlJc w:val="left"/>
      <w:pPr>
        <w:ind w:left="3861" w:hanging="360"/>
      </w:pPr>
    </w:lvl>
    <w:lvl w:ilvl="2" w:tplc="3009001B" w:tentative="1">
      <w:start w:val="1"/>
      <w:numFmt w:val="lowerRoman"/>
      <w:lvlText w:val="%3."/>
      <w:lvlJc w:val="right"/>
      <w:pPr>
        <w:ind w:left="4581" w:hanging="180"/>
      </w:pPr>
    </w:lvl>
    <w:lvl w:ilvl="3" w:tplc="3009000F" w:tentative="1">
      <w:start w:val="1"/>
      <w:numFmt w:val="decimal"/>
      <w:lvlText w:val="%4."/>
      <w:lvlJc w:val="left"/>
      <w:pPr>
        <w:ind w:left="5301" w:hanging="360"/>
      </w:pPr>
    </w:lvl>
    <w:lvl w:ilvl="4" w:tplc="30090019" w:tentative="1">
      <w:start w:val="1"/>
      <w:numFmt w:val="lowerLetter"/>
      <w:lvlText w:val="%5."/>
      <w:lvlJc w:val="left"/>
      <w:pPr>
        <w:ind w:left="6021" w:hanging="360"/>
      </w:pPr>
    </w:lvl>
    <w:lvl w:ilvl="5" w:tplc="3009001B" w:tentative="1">
      <w:start w:val="1"/>
      <w:numFmt w:val="lowerRoman"/>
      <w:lvlText w:val="%6."/>
      <w:lvlJc w:val="right"/>
      <w:pPr>
        <w:ind w:left="6741" w:hanging="180"/>
      </w:pPr>
    </w:lvl>
    <w:lvl w:ilvl="6" w:tplc="3009000F" w:tentative="1">
      <w:start w:val="1"/>
      <w:numFmt w:val="decimal"/>
      <w:lvlText w:val="%7."/>
      <w:lvlJc w:val="left"/>
      <w:pPr>
        <w:ind w:left="7461" w:hanging="360"/>
      </w:pPr>
    </w:lvl>
    <w:lvl w:ilvl="7" w:tplc="30090019" w:tentative="1">
      <w:start w:val="1"/>
      <w:numFmt w:val="lowerLetter"/>
      <w:lvlText w:val="%8."/>
      <w:lvlJc w:val="left"/>
      <w:pPr>
        <w:ind w:left="8181" w:hanging="360"/>
      </w:pPr>
    </w:lvl>
    <w:lvl w:ilvl="8" w:tplc="3009001B" w:tentative="1">
      <w:start w:val="1"/>
      <w:numFmt w:val="lowerRoman"/>
      <w:lvlText w:val="%9."/>
      <w:lvlJc w:val="right"/>
      <w:pPr>
        <w:ind w:left="8901" w:hanging="180"/>
      </w:pPr>
    </w:lvl>
  </w:abstractNum>
  <w:abstractNum w:abstractNumId="7" w15:restartNumberingAfterBreak="0">
    <w:nsid w:val="31FC584A"/>
    <w:multiLevelType w:val="hybridMultilevel"/>
    <w:tmpl w:val="620E2DE0"/>
    <w:lvl w:ilvl="0" w:tplc="EA5A1E6C">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38AA14B3"/>
    <w:multiLevelType w:val="hybridMultilevel"/>
    <w:tmpl w:val="C8FCFA84"/>
    <w:lvl w:ilvl="0" w:tplc="77F6AD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AE65167"/>
    <w:multiLevelType w:val="hybridMultilevel"/>
    <w:tmpl w:val="4ED819D6"/>
    <w:lvl w:ilvl="0" w:tplc="30090017">
      <w:start w:val="1"/>
      <w:numFmt w:val="lowerLetter"/>
      <w:lvlText w:val="%1)"/>
      <w:lvlJc w:val="left"/>
      <w:pPr>
        <w:ind w:left="2421" w:hanging="360"/>
      </w:pPr>
    </w:lvl>
    <w:lvl w:ilvl="1" w:tplc="30090019" w:tentative="1">
      <w:start w:val="1"/>
      <w:numFmt w:val="lowerLetter"/>
      <w:lvlText w:val="%2."/>
      <w:lvlJc w:val="left"/>
      <w:pPr>
        <w:ind w:left="3141" w:hanging="360"/>
      </w:pPr>
    </w:lvl>
    <w:lvl w:ilvl="2" w:tplc="3009001B" w:tentative="1">
      <w:start w:val="1"/>
      <w:numFmt w:val="lowerRoman"/>
      <w:lvlText w:val="%3."/>
      <w:lvlJc w:val="right"/>
      <w:pPr>
        <w:ind w:left="3861" w:hanging="180"/>
      </w:pPr>
    </w:lvl>
    <w:lvl w:ilvl="3" w:tplc="3009000F" w:tentative="1">
      <w:start w:val="1"/>
      <w:numFmt w:val="decimal"/>
      <w:lvlText w:val="%4."/>
      <w:lvlJc w:val="left"/>
      <w:pPr>
        <w:ind w:left="4581" w:hanging="360"/>
      </w:pPr>
    </w:lvl>
    <w:lvl w:ilvl="4" w:tplc="30090019" w:tentative="1">
      <w:start w:val="1"/>
      <w:numFmt w:val="lowerLetter"/>
      <w:lvlText w:val="%5."/>
      <w:lvlJc w:val="left"/>
      <w:pPr>
        <w:ind w:left="5301" w:hanging="360"/>
      </w:pPr>
    </w:lvl>
    <w:lvl w:ilvl="5" w:tplc="3009001B" w:tentative="1">
      <w:start w:val="1"/>
      <w:numFmt w:val="lowerRoman"/>
      <w:lvlText w:val="%6."/>
      <w:lvlJc w:val="right"/>
      <w:pPr>
        <w:ind w:left="6021" w:hanging="180"/>
      </w:pPr>
    </w:lvl>
    <w:lvl w:ilvl="6" w:tplc="3009000F" w:tentative="1">
      <w:start w:val="1"/>
      <w:numFmt w:val="decimal"/>
      <w:lvlText w:val="%7."/>
      <w:lvlJc w:val="left"/>
      <w:pPr>
        <w:ind w:left="6741" w:hanging="360"/>
      </w:pPr>
    </w:lvl>
    <w:lvl w:ilvl="7" w:tplc="30090019" w:tentative="1">
      <w:start w:val="1"/>
      <w:numFmt w:val="lowerLetter"/>
      <w:lvlText w:val="%8."/>
      <w:lvlJc w:val="left"/>
      <w:pPr>
        <w:ind w:left="7461" w:hanging="360"/>
      </w:pPr>
    </w:lvl>
    <w:lvl w:ilvl="8" w:tplc="3009001B" w:tentative="1">
      <w:start w:val="1"/>
      <w:numFmt w:val="lowerRoman"/>
      <w:lvlText w:val="%9."/>
      <w:lvlJc w:val="right"/>
      <w:pPr>
        <w:ind w:left="8181" w:hanging="180"/>
      </w:pPr>
    </w:lvl>
  </w:abstractNum>
  <w:abstractNum w:abstractNumId="10" w15:restartNumberingAfterBreak="0">
    <w:nsid w:val="40FB1718"/>
    <w:multiLevelType w:val="hybridMultilevel"/>
    <w:tmpl w:val="30B84B78"/>
    <w:lvl w:ilvl="0" w:tplc="B536473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3B3DE6"/>
    <w:multiLevelType w:val="hybridMultilevel"/>
    <w:tmpl w:val="EFB80926"/>
    <w:lvl w:ilvl="0" w:tplc="5614D410">
      <w:start w:val="1"/>
      <w:numFmt w:val="decimal"/>
      <w:lvlText w:val="%1."/>
      <w:lvlJc w:val="left"/>
      <w:pPr>
        <w:ind w:left="1494" w:hanging="360"/>
      </w:pPr>
      <w:rPr>
        <w:rFonts w:hint="default"/>
      </w:rPr>
    </w:lvl>
    <w:lvl w:ilvl="1" w:tplc="30090019" w:tentative="1">
      <w:start w:val="1"/>
      <w:numFmt w:val="lowerLetter"/>
      <w:lvlText w:val="%2."/>
      <w:lvlJc w:val="left"/>
      <w:pPr>
        <w:ind w:left="2214" w:hanging="360"/>
      </w:pPr>
    </w:lvl>
    <w:lvl w:ilvl="2" w:tplc="3009001B" w:tentative="1">
      <w:start w:val="1"/>
      <w:numFmt w:val="lowerRoman"/>
      <w:lvlText w:val="%3."/>
      <w:lvlJc w:val="right"/>
      <w:pPr>
        <w:ind w:left="2934" w:hanging="180"/>
      </w:pPr>
    </w:lvl>
    <w:lvl w:ilvl="3" w:tplc="3009000F" w:tentative="1">
      <w:start w:val="1"/>
      <w:numFmt w:val="decimal"/>
      <w:lvlText w:val="%4."/>
      <w:lvlJc w:val="left"/>
      <w:pPr>
        <w:ind w:left="3654" w:hanging="360"/>
      </w:pPr>
    </w:lvl>
    <w:lvl w:ilvl="4" w:tplc="30090019" w:tentative="1">
      <w:start w:val="1"/>
      <w:numFmt w:val="lowerLetter"/>
      <w:lvlText w:val="%5."/>
      <w:lvlJc w:val="left"/>
      <w:pPr>
        <w:ind w:left="4374" w:hanging="360"/>
      </w:pPr>
    </w:lvl>
    <w:lvl w:ilvl="5" w:tplc="3009001B" w:tentative="1">
      <w:start w:val="1"/>
      <w:numFmt w:val="lowerRoman"/>
      <w:lvlText w:val="%6."/>
      <w:lvlJc w:val="right"/>
      <w:pPr>
        <w:ind w:left="5094" w:hanging="180"/>
      </w:pPr>
    </w:lvl>
    <w:lvl w:ilvl="6" w:tplc="3009000F" w:tentative="1">
      <w:start w:val="1"/>
      <w:numFmt w:val="decimal"/>
      <w:lvlText w:val="%7."/>
      <w:lvlJc w:val="left"/>
      <w:pPr>
        <w:ind w:left="5814" w:hanging="360"/>
      </w:pPr>
    </w:lvl>
    <w:lvl w:ilvl="7" w:tplc="30090019" w:tentative="1">
      <w:start w:val="1"/>
      <w:numFmt w:val="lowerLetter"/>
      <w:lvlText w:val="%8."/>
      <w:lvlJc w:val="left"/>
      <w:pPr>
        <w:ind w:left="6534" w:hanging="360"/>
      </w:pPr>
    </w:lvl>
    <w:lvl w:ilvl="8" w:tplc="3009001B" w:tentative="1">
      <w:start w:val="1"/>
      <w:numFmt w:val="lowerRoman"/>
      <w:lvlText w:val="%9."/>
      <w:lvlJc w:val="right"/>
      <w:pPr>
        <w:ind w:left="7254" w:hanging="180"/>
      </w:pPr>
    </w:lvl>
  </w:abstractNum>
  <w:abstractNum w:abstractNumId="12" w15:restartNumberingAfterBreak="0">
    <w:nsid w:val="51D92E7D"/>
    <w:multiLevelType w:val="hybridMultilevel"/>
    <w:tmpl w:val="A96410CC"/>
    <w:lvl w:ilvl="0" w:tplc="2C74AB8C">
      <w:start w:val="1"/>
      <w:numFmt w:val="decimal"/>
      <w:lvlText w:val="%1."/>
      <w:lvlJc w:val="left"/>
      <w:pPr>
        <w:ind w:left="1494" w:hanging="360"/>
      </w:pPr>
      <w:rPr>
        <w:rFonts w:hint="default"/>
        <w:b w:val="0"/>
        <w:u w:val="none"/>
      </w:rPr>
    </w:lvl>
    <w:lvl w:ilvl="1" w:tplc="30090019" w:tentative="1">
      <w:start w:val="1"/>
      <w:numFmt w:val="lowerLetter"/>
      <w:lvlText w:val="%2."/>
      <w:lvlJc w:val="left"/>
      <w:pPr>
        <w:ind w:left="2214" w:hanging="360"/>
      </w:pPr>
    </w:lvl>
    <w:lvl w:ilvl="2" w:tplc="3009001B" w:tentative="1">
      <w:start w:val="1"/>
      <w:numFmt w:val="lowerRoman"/>
      <w:lvlText w:val="%3."/>
      <w:lvlJc w:val="right"/>
      <w:pPr>
        <w:ind w:left="2934" w:hanging="180"/>
      </w:pPr>
    </w:lvl>
    <w:lvl w:ilvl="3" w:tplc="3009000F" w:tentative="1">
      <w:start w:val="1"/>
      <w:numFmt w:val="decimal"/>
      <w:lvlText w:val="%4."/>
      <w:lvlJc w:val="left"/>
      <w:pPr>
        <w:ind w:left="3654" w:hanging="360"/>
      </w:pPr>
    </w:lvl>
    <w:lvl w:ilvl="4" w:tplc="30090019" w:tentative="1">
      <w:start w:val="1"/>
      <w:numFmt w:val="lowerLetter"/>
      <w:lvlText w:val="%5."/>
      <w:lvlJc w:val="left"/>
      <w:pPr>
        <w:ind w:left="4374" w:hanging="360"/>
      </w:pPr>
    </w:lvl>
    <w:lvl w:ilvl="5" w:tplc="3009001B" w:tentative="1">
      <w:start w:val="1"/>
      <w:numFmt w:val="lowerRoman"/>
      <w:lvlText w:val="%6."/>
      <w:lvlJc w:val="right"/>
      <w:pPr>
        <w:ind w:left="5094" w:hanging="180"/>
      </w:pPr>
    </w:lvl>
    <w:lvl w:ilvl="6" w:tplc="3009000F" w:tentative="1">
      <w:start w:val="1"/>
      <w:numFmt w:val="decimal"/>
      <w:lvlText w:val="%7."/>
      <w:lvlJc w:val="left"/>
      <w:pPr>
        <w:ind w:left="5814" w:hanging="360"/>
      </w:pPr>
    </w:lvl>
    <w:lvl w:ilvl="7" w:tplc="30090019" w:tentative="1">
      <w:start w:val="1"/>
      <w:numFmt w:val="lowerLetter"/>
      <w:lvlText w:val="%8."/>
      <w:lvlJc w:val="left"/>
      <w:pPr>
        <w:ind w:left="6534" w:hanging="360"/>
      </w:pPr>
    </w:lvl>
    <w:lvl w:ilvl="8" w:tplc="3009001B" w:tentative="1">
      <w:start w:val="1"/>
      <w:numFmt w:val="lowerRoman"/>
      <w:lvlText w:val="%9."/>
      <w:lvlJc w:val="right"/>
      <w:pPr>
        <w:ind w:left="7254" w:hanging="180"/>
      </w:pPr>
    </w:lvl>
  </w:abstractNum>
  <w:abstractNum w:abstractNumId="13" w15:restartNumberingAfterBreak="0">
    <w:nsid w:val="5EB57D99"/>
    <w:multiLevelType w:val="hybridMultilevel"/>
    <w:tmpl w:val="0B284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0A0ECA"/>
    <w:multiLevelType w:val="hybridMultilevel"/>
    <w:tmpl w:val="7E809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69363F"/>
    <w:multiLevelType w:val="hybridMultilevel"/>
    <w:tmpl w:val="71729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15"/>
  </w:num>
  <w:num w:numId="4">
    <w:abstractNumId w:val="13"/>
  </w:num>
  <w:num w:numId="5">
    <w:abstractNumId w:val="1"/>
  </w:num>
  <w:num w:numId="6">
    <w:abstractNumId w:val="0"/>
  </w:num>
  <w:num w:numId="7">
    <w:abstractNumId w:val="14"/>
  </w:num>
  <w:num w:numId="8">
    <w:abstractNumId w:val="2"/>
  </w:num>
  <w:num w:numId="9">
    <w:abstractNumId w:val="9"/>
  </w:num>
  <w:num w:numId="10">
    <w:abstractNumId w:val="6"/>
  </w:num>
  <w:num w:numId="11">
    <w:abstractNumId w:val="7"/>
  </w:num>
  <w:num w:numId="12">
    <w:abstractNumId w:val="3"/>
  </w:num>
  <w:num w:numId="13">
    <w:abstractNumId w:val="11"/>
  </w:num>
  <w:num w:numId="14">
    <w:abstractNumId w:val="12"/>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trackedChanges" w:enforcement="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C89"/>
    <w:rsid w:val="000006FE"/>
    <w:rsid w:val="00020189"/>
    <w:rsid w:val="00032DEC"/>
    <w:rsid w:val="00035E49"/>
    <w:rsid w:val="0003766D"/>
    <w:rsid w:val="00056A66"/>
    <w:rsid w:val="0007289B"/>
    <w:rsid w:val="000A27E2"/>
    <w:rsid w:val="000A6B1D"/>
    <w:rsid w:val="000A73C6"/>
    <w:rsid w:val="000B4135"/>
    <w:rsid w:val="000B4490"/>
    <w:rsid w:val="000B59E7"/>
    <w:rsid w:val="000B7F75"/>
    <w:rsid w:val="000D0622"/>
    <w:rsid w:val="000D5100"/>
    <w:rsid w:val="000F2996"/>
    <w:rsid w:val="000F2C40"/>
    <w:rsid w:val="000F5D6D"/>
    <w:rsid w:val="000F7977"/>
    <w:rsid w:val="00104D43"/>
    <w:rsid w:val="0011198F"/>
    <w:rsid w:val="00113F41"/>
    <w:rsid w:val="00125054"/>
    <w:rsid w:val="00125BF6"/>
    <w:rsid w:val="00131FA2"/>
    <w:rsid w:val="0013762B"/>
    <w:rsid w:val="00141068"/>
    <w:rsid w:val="00152A34"/>
    <w:rsid w:val="001536C1"/>
    <w:rsid w:val="00153C63"/>
    <w:rsid w:val="001544A4"/>
    <w:rsid w:val="00162B71"/>
    <w:rsid w:val="00162EF5"/>
    <w:rsid w:val="0016736C"/>
    <w:rsid w:val="00180BAA"/>
    <w:rsid w:val="0018267D"/>
    <w:rsid w:val="001A5148"/>
    <w:rsid w:val="001A7354"/>
    <w:rsid w:val="001B47E9"/>
    <w:rsid w:val="001B58CB"/>
    <w:rsid w:val="001B60C6"/>
    <w:rsid w:val="001C46AD"/>
    <w:rsid w:val="001C7B4A"/>
    <w:rsid w:val="001D2E50"/>
    <w:rsid w:val="001D41AD"/>
    <w:rsid w:val="001E58F0"/>
    <w:rsid w:val="001E754A"/>
    <w:rsid w:val="00220043"/>
    <w:rsid w:val="00230DB9"/>
    <w:rsid w:val="002417C4"/>
    <w:rsid w:val="002464F4"/>
    <w:rsid w:val="00255497"/>
    <w:rsid w:val="00264B91"/>
    <w:rsid w:val="00272863"/>
    <w:rsid w:val="002777A9"/>
    <w:rsid w:val="00293E18"/>
    <w:rsid w:val="002954EF"/>
    <w:rsid w:val="002B03BE"/>
    <w:rsid w:val="002B372D"/>
    <w:rsid w:val="002D341E"/>
    <w:rsid w:val="002D3CA2"/>
    <w:rsid w:val="002E0CC7"/>
    <w:rsid w:val="002E4E29"/>
    <w:rsid w:val="00302BEC"/>
    <w:rsid w:val="003064CF"/>
    <w:rsid w:val="003101D2"/>
    <w:rsid w:val="003215A3"/>
    <w:rsid w:val="00332F14"/>
    <w:rsid w:val="00335A1A"/>
    <w:rsid w:val="00346D1C"/>
    <w:rsid w:val="003642A8"/>
    <w:rsid w:val="0037556A"/>
    <w:rsid w:val="003872B0"/>
    <w:rsid w:val="00391C11"/>
    <w:rsid w:val="00392480"/>
    <w:rsid w:val="003A0993"/>
    <w:rsid w:val="003A2390"/>
    <w:rsid w:val="003A622A"/>
    <w:rsid w:val="003B1736"/>
    <w:rsid w:val="003D107D"/>
    <w:rsid w:val="003D2B0C"/>
    <w:rsid w:val="003D2CA6"/>
    <w:rsid w:val="003D69B7"/>
    <w:rsid w:val="003E6773"/>
    <w:rsid w:val="004066F8"/>
    <w:rsid w:val="00411B92"/>
    <w:rsid w:val="00415B53"/>
    <w:rsid w:val="00420708"/>
    <w:rsid w:val="004257CB"/>
    <w:rsid w:val="004279D3"/>
    <w:rsid w:val="004323A1"/>
    <w:rsid w:val="00441B59"/>
    <w:rsid w:val="00441E86"/>
    <w:rsid w:val="0044244E"/>
    <w:rsid w:val="004451FD"/>
    <w:rsid w:val="00482500"/>
    <w:rsid w:val="004863FD"/>
    <w:rsid w:val="0049406E"/>
    <w:rsid w:val="004A6BD2"/>
    <w:rsid w:val="004B017B"/>
    <w:rsid w:val="004C1DD4"/>
    <w:rsid w:val="004C23F2"/>
    <w:rsid w:val="004C6485"/>
    <w:rsid w:val="004C675F"/>
    <w:rsid w:val="004C75F2"/>
    <w:rsid w:val="004D2F8B"/>
    <w:rsid w:val="004E0343"/>
    <w:rsid w:val="004E45A8"/>
    <w:rsid w:val="004E672C"/>
    <w:rsid w:val="004F0141"/>
    <w:rsid w:val="004F3721"/>
    <w:rsid w:val="004F6055"/>
    <w:rsid w:val="00500164"/>
    <w:rsid w:val="0051142F"/>
    <w:rsid w:val="005156A3"/>
    <w:rsid w:val="00527F59"/>
    <w:rsid w:val="0053713B"/>
    <w:rsid w:val="0056270A"/>
    <w:rsid w:val="005656CD"/>
    <w:rsid w:val="0056672B"/>
    <w:rsid w:val="00572848"/>
    <w:rsid w:val="00580865"/>
    <w:rsid w:val="005848E6"/>
    <w:rsid w:val="005849FB"/>
    <w:rsid w:val="00595C66"/>
    <w:rsid w:val="00597912"/>
    <w:rsid w:val="005C3687"/>
    <w:rsid w:val="005D393F"/>
    <w:rsid w:val="005D4071"/>
    <w:rsid w:val="006333C9"/>
    <w:rsid w:val="00640C61"/>
    <w:rsid w:val="00644F15"/>
    <w:rsid w:val="00650386"/>
    <w:rsid w:val="006512D2"/>
    <w:rsid w:val="006577A1"/>
    <w:rsid w:val="00660C2F"/>
    <w:rsid w:val="0066538E"/>
    <w:rsid w:val="00667DF4"/>
    <w:rsid w:val="006876D3"/>
    <w:rsid w:val="006A5092"/>
    <w:rsid w:val="006A7D3A"/>
    <w:rsid w:val="006B22F3"/>
    <w:rsid w:val="006B2ACB"/>
    <w:rsid w:val="006B568C"/>
    <w:rsid w:val="006C0D09"/>
    <w:rsid w:val="006C3950"/>
    <w:rsid w:val="006C4013"/>
    <w:rsid w:val="006C42BE"/>
    <w:rsid w:val="006D3F0B"/>
    <w:rsid w:val="006E3911"/>
    <w:rsid w:val="006E57E8"/>
    <w:rsid w:val="0070093E"/>
    <w:rsid w:val="0071201C"/>
    <w:rsid w:val="00713A76"/>
    <w:rsid w:val="00715FC1"/>
    <w:rsid w:val="00721373"/>
    <w:rsid w:val="007272F5"/>
    <w:rsid w:val="00727C24"/>
    <w:rsid w:val="007360A0"/>
    <w:rsid w:val="00740D52"/>
    <w:rsid w:val="00751DCB"/>
    <w:rsid w:val="007577AB"/>
    <w:rsid w:val="00760DBB"/>
    <w:rsid w:val="00766F47"/>
    <w:rsid w:val="00774539"/>
    <w:rsid w:val="007935A5"/>
    <w:rsid w:val="007A36EA"/>
    <w:rsid w:val="007D7AA3"/>
    <w:rsid w:val="007E52B2"/>
    <w:rsid w:val="007F2F1A"/>
    <w:rsid w:val="007F651E"/>
    <w:rsid w:val="007F670A"/>
    <w:rsid w:val="00802CBE"/>
    <w:rsid w:val="0080630B"/>
    <w:rsid w:val="00810BA3"/>
    <w:rsid w:val="00816C89"/>
    <w:rsid w:val="0082070B"/>
    <w:rsid w:val="00826382"/>
    <w:rsid w:val="008433C6"/>
    <w:rsid w:val="008437F3"/>
    <w:rsid w:val="00852D8C"/>
    <w:rsid w:val="00854A9B"/>
    <w:rsid w:val="00860BCD"/>
    <w:rsid w:val="0086294A"/>
    <w:rsid w:val="00862BFC"/>
    <w:rsid w:val="00862FE6"/>
    <w:rsid w:val="00870C1B"/>
    <w:rsid w:val="00870FDF"/>
    <w:rsid w:val="0087260C"/>
    <w:rsid w:val="00876B9B"/>
    <w:rsid w:val="00881370"/>
    <w:rsid w:val="00893801"/>
    <w:rsid w:val="008940CA"/>
    <w:rsid w:val="008A077D"/>
    <w:rsid w:val="008A6AC7"/>
    <w:rsid w:val="008B1ECA"/>
    <w:rsid w:val="008B704D"/>
    <w:rsid w:val="008C5759"/>
    <w:rsid w:val="008D77A3"/>
    <w:rsid w:val="008E3A03"/>
    <w:rsid w:val="008F2CBB"/>
    <w:rsid w:val="00915DC2"/>
    <w:rsid w:val="009169AC"/>
    <w:rsid w:val="00916B7E"/>
    <w:rsid w:val="00923317"/>
    <w:rsid w:val="00923F75"/>
    <w:rsid w:val="00937815"/>
    <w:rsid w:val="0094025D"/>
    <w:rsid w:val="009519A2"/>
    <w:rsid w:val="009629BD"/>
    <w:rsid w:val="00964025"/>
    <w:rsid w:val="00970102"/>
    <w:rsid w:val="00973E1B"/>
    <w:rsid w:val="00975705"/>
    <w:rsid w:val="00980840"/>
    <w:rsid w:val="009A0F1C"/>
    <w:rsid w:val="009B3A09"/>
    <w:rsid w:val="009B6110"/>
    <w:rsid w:val="009C1000"/>
    <w:rsid w:val="009E12C4"/>
    <w:rsid w:val="009E3758"/>
    <w:rsid w:val="009E6E30"/>
    <w:rsid w:val="009F0456"/>
    <w:rsid w:val="009F57A3"/>
    <w:rsid w:val="00A01C75"/>
    <w:rsid w:val="00A0224E"/>
    <w:rsid w:val="00A10886"/>
    <w:rsid w:val="00A14EA7"/>
    <w:rsid w:val="00A1652C"/>
    <w:rsid w:val="00A40350"/>
    <w:rsid w:val="00A40C03"/>
    <w:rsid w:val="00A47E87"/>
    <w:rsid w:val="00A50078"/>
    <w:rsid w:val="00A52C33"/>
    <w:rsid w:val="00A57261"/>
    <w:rsid w:val="00A57547"/>
    <w:rsid w:val="00A70B96"/>
    <w:rsid w:val="00A71736"/>
    <w:rsid w:val="00AA1518"/>
    <w:rsid w:val="00AA29ED"/>
    <w:rsid w:val="00AA6CC2"/>
    <w:rsid w:val="00AB62DB"/>
    <w:rsid w:val="00AC23DB"/>
    <w:rsid w:val="00AC7F98"/>
    <w:rsid w:val="00AD6ED2"/>
    <w:rsid w:val="00AD7BE5"/>
    <w:rsid w:val="00AE0E82"/>
    <w:rsid w:val="00AE3997"/>
    <w:rsid w:val="00AE6FF2"/>
    <w:rsid w:val="00B121C0"/>
    <w:rsid w:val="00B25940"/>
    <w:rsid w:val="00B311A6"/>
    <w:rsid w:val="00B321DC"/>
    <w:rsid w:val="00B36707"/>
    <w:rsid w:val="00B4100C"/>
    <w:rsid w:val="00B4417A"/>
    <w:rsid w:val="00B70C1A"/>
    <w:rsid w:val="00BA5B64"/>
    <w:rsid w:val="00BB0B4C"/>
    <w:rsid w:val="00BB683D"/>
    <w:rsid w:val="00BC097E"/>
    <w:rsid w:val="00BC13FD"/>
    <w:rsid w:val="00BC619A"/>
    <w:rsid w:val="00BC7DBB"/>
    <w:rsid w:val="00BD0601"/>
    <w:rsid w:val="00BD22C9"/>
    <w:rsid w:val="00BD4604"/>
    <w:rsid w:val="00BF19F4"/>
    <w:rsid w:val="00C05AFE"/>
    <w:rsid w:val="00C06D42"/>
    <w:rsid w:val="00C22A81"/>
    <w:rsid w:val="00C31B3F"/>
    <w:rsid w:val="00C32943"/>
    <w:rsid w:val="00C3634F"/>
    <w:rsid w:val="00C4576C"/>
    <w:rsid w:val="00C50819"/>
    <w:rsid w:val="00C53F2A"/>
    <w:rsid w:val="00C5535B"/>
    <w:rsid w:val="00C560C8"/>
    <w:rsid w:val="00C57FD4"/>
    <w:rsid w:val="00C61031"/>
    <w:rsid w:val="00C7651C"/>
    <w:rsid w:val="00C76EBC"/>
    <w:rsid w:val="00C9185B"/>
    <w:rsid w:val="00C94F0E"/>
    <w:rsid w:val="00C95613"/>
    <w:rsid w:val="00C9755F"/>
    <w:rsid w:val="00CA50C5"/>
    <w:rsid w:val="00CB1870"/>
    <w:rsid w:val="00CB1C26"/>
    <w:rsid w:val="00CD0408"/>
    <w:rsid w:val="00CD4297"/>
    <w:rsid w:val="00CD5793"/>
    <w:rsid w:val="00CE13D4"/>
    <w:rsid w:val="00CF247E"/>
    <w:rsid w:val="00CF7E19"/>
    <w:rsid w:val="00D02126"/>
    <w:rsid w:val="00D337BE"/>
    <w:rsid w:val="00D413EF"/>
    <w:rsid w:val="00D43FF7"/>
    <w:rsid w:val="00D552C8"/>
    <w:rsid w:val="00D64C7D"/>
    <w:rsid w:val="00D806D6"/>
    <w:rsid w:val="00D80993"/>
    <w:rsid w:val="00D83B5C"/>
    <w:rsid w:val="00DA284C"/>
    <w:rsid w:val="00DA41DF"/>
    <w:rsid w:val="00DA6292"/>
    <w:rsid w:val="00DB3953"/>
    <w:rsid w:val="00DB63A5"/>
    <w:rsid w:val="00DB6B8B"/>
    <w:rsid w:val="00DC50C6"/>
    <w:rsid w:val="00DD21FA"/>
    <w:rsid w:val="00DD5FF7"/>
    <w:rsid w:val="00DD7381"/>
    <w:rsid w:val="00DE3552"/>
    <w:rsid w:val="00DF6B5D"/>
    <w:rsid w:val="00DF78F1"/>
    <w:rsid w:val="00E025FA"/>
    <w:rsid w:val="00E03AB5"/>
    <w:rsid w:val="00E0442F"/>
    <w:rsid w:val="00E049A3"/>
    <w:rsid w:val="00E10AF7"/>
    <w:rsid w:val="00E13149"/>
    <w:rsid w:val="00E34C73"/>
    <w:rsid w:val="00E40E33"/>
    <w:rsid w:val="00E41E70"/>
    <w:rsid w:val="00E42091"/>
    <w:rsid w:val="00E50140"/>
    <w:rsid w:val="00E50781"/>
    <w:rsid w:val="00E905E2"/>
    <w:rsid w:val="00E93E5D"/>
    <w:rsid w:val="00E9646D"/>
    <w:rsid w:val="00E96750"/>
    <w:rsid w:val="00EA4B86"/>
    <w:rsid w:val="00EC6B68"/>
    <w:rsid w:val="00ED7010"/>
    <w:rsid w:val="00ED73A7"/>
    <w:rsid w:val="00EF3831"/>
    <w:rsid w:val="00F0543A"/>
    <w:rsid w:val="00F07347"/>
    <w:rsid w:val="00F128CC"/>
    <w:rsid w:val="00F13D0A"/>
    <w:rsid w:val="00F2122C"/>
    <w:rsid w:val="00F23A7B"/>
    <w:rsid w:val="00F27AD4"/>
    <w:rsid w:val="00F33BB0"/>
    <w:rsid w:val="00F35BA9"/>
    <w:rsid w:val="00F360CB"/>
    <w:rsid w:val="00F47377"/>
    <w:rsid w:val="00F60A9F"/>
    <w:rsid w:val="00F72EA2"/>
    <w:rsid w:val="00F73E0E"/>
    <w:rsid w:val="00F77247"/>
    <w:rsid w:val="00F81748"/>
    <w:rsid w:val="00F9106C"/>
    <w:rsid w:val="00F96535"/>
    <w:rsid w:val="00FA46DE"/>
    <w:rsid w:val="00FA4B67"/>
    <w:rsid w:val="00FC1C1A"/>
    <w:rsid w:val="00FD632C"/>
    <w:rsid w:val="00FE0EA5"/>
    <w:rsid w:val="00FE293D"/>
    <w:rsid w:val="00FE6A95"/>
    <w:rsid w:val="00FF7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9F90A0A"/>
  <w15:chartTrackingRefBased/>
  <w15:docId w15:val="{5BEBDD8F-546A-4B1C-B9C6-2BD48859A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6C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25B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5BF6"/>
    <w:rPr>
      <w:sz w:val="20"/>
      <w:szCs w:val="20"/>
    </w:rPr>
  </w:style>
  <w:style w:type="character" w:styleId="FootnoteReference">
    <w:name w:val="footnote reference"/>
    <w:uiPriority w:val="99"/>
    <w:semiHidden/>
    <w:unhideWhenUsed/>
    <w:rsid w:val="00125BF6"/>
    <w:rPr>
      <w:vertAlign w:val="superscript"/>
    </w:rPr>
  </w:style>
  <w:style w:type="paragraph" w:styleId="ListParagraph">
    <w:name w:val="List Paragraph"/>
    <w:basedOn w:val="Normal"/>
    <w:uiPriority w:val="34"/>
    <w:qFormat/>
    <w:rsid w:val="00AE6FF2"/>
    <w:pPr>
      <w:ind w:left="720"/>
      <w:contextualSpacing/>
    </w:pPr>
  </w:style>
  <w:style w:type="paragraph" w:styleId="Header">
    <w:name w:val="header"/>
    <w:basedOn w:val="Normal"/>
    <w:link w:val="HeaderChar"/>
    <w:uiPriority w:val="99"/>
    <w:unhideWhenUsed/>
    <w:rsid w:val="001826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67D"/>
  </w:style>
  <w:style w:type="paragraph" w:styleId="Footer">
    <w:name w:val="footer"/>
    <w:basedOn w:val="Normal"/>
    <w:link w:val="FooterChar"/>
    <w:uiPriority w:val="99"/>
    <w:unhideWhenUsed/>
    <w:rsid w:val="001826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67D"/>
  </w:style>
  <w:style w:type="paragraph" w:styleId="BalloonText">
    <w:name w:val="Balloon Text"/>
    <w:basedOn w:val="Normal"/>
    <w:link w:val="BalloonTextChar"/>
    <w:uiPriority w:val="99"/>
    <w:semiHidden/>
    <w:unhideWhenUsed/>
    <w:rsid w:val="00DB6B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6B8B"/>
    <w:rPr>
      <w:rFonts w:ascii="Segoe UI" w:hAnsi="Segoe UI" w:cs="Segoe UI"/>
      <w:sz w:val="18"/>
      <w:szCs w:val="18"/>
    </w:rPr>
  </w:style>
  <w:style w:type="paragraph" w:styleId="Revision">
    <w:name w:val="Revision"/>
    <w:hidden/>
    <w:uiPriority w:val="99"/>
    <w:semiHidden/>
    <w:rsid w:val="008813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435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8FBD7-7A3B-4B4F-9F4E-D3F0F7196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4871</Words>
  <Characters>27766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USR</cp:lastModifiedBy>
  <cp:revision>2</cp:revision>
  <cp:lastPrinted>2023-05-23T13:43:00Z</cp:lastPrinted>
  <dcterms:created xsi:type="dcterms:W3CDTF">2024-09-20T12:38:00Z</dcterms:created>
  <dcterms:modified xsi:type="dcterms:W3CDTF">2024-09-20T12:38:00Z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853b45e4e50e567d67e70a6cfe5f41de27dcb53cc8ae84966ae3e5da4d54d47e</vt:lpwstr>
  </property>
</Properties>
</file>