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E9FC2" w14:textId="58E6D061" w:rsidR="0058211E" w:rsidRPr="00331B17" w:rsidRDefault="00331B17" w:rsidP="00331B17">
      <w:pPr>
        <w:spacing w:after="0" w:line="360" w:lineRule="auto"/>
        <w:rPr>
          <w:rFonts w:ascii="Times New Roman" w:hAnsi="Times New Roman" w:cs="Times New Roman"/>
          <w:b/>
          <w:sz w:val="24"/>
          <w:szCs w:val="24"/>
          <w:u w:val="single"/>
        </w:rPr>
      </w:pPr>
      <w:r w:rsidRPr="00331B17">
        <w:rPr>
          <w:rFonts w:ascii="Times New Roman" w:hAnsi="Times New Roman" w:cs="Times New Roman"/>
          <w:b/>
          <w:sz w:val="24"/>
          <w:szCs w:val="24"/>
          <w:u w:val="single"/>
        </w:rPr>
        <w:t>NOT REPORTABLE/DISTRIBUTABLE</w:t>
      </w:r>
      <w:bookmarkStart w:id="0" w:name="_GoBack"/>
      <w:bookmarkEnd w:id="0"/>
    </w:p>
    <w:p w14:paraId="79875C24" w14:textId="77777777" w:rsidR="00331B17" w:rsidRDefault="00331B17" w:rsidP="00FB0558">
      <w:pPr>
        <w:spacing w:after="0" w:line="360" w:lineRule="auto"/>
        <w:ind w:left="2160" w:firstLine="720"/>
        <w:jc w:val="center"/>
        <w:rPr>
          <w:rFonts w:ascii="Times New Roman" w:hAnsi="Times New Roman" w:cs="Times New Roman"/>
          <w:b/>
          <w:sz w:val="24"/>
          <w:szCs w:val="24"/>
        </w:rPr>
      </w:pPr>
    </w:p>
    <w:p w14:paraId="0944A097" w14:textId="3EA1778B" w:rsidR="007E6616" w:rsidRDefault="007E6616" w:rsidP="00FB055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NEW </w:t>
      </w:r>
      <w:r w:rsidR="00FB0558">
        <w:rPr>
          <w:rFonts w:ascii="Times New Roman" w:hAnsi="Times New Roman" w:cs="Times New Roman"/>
          <w:b/>
          <w:sz w:val="24"/>
          <w:szCs w:val="24"/>
        </w:rPr>
        <w:t xml:space="preserve">     </w:t>
      </w:r>
      <w:r>
        <w:rPr>
          <w:rFonts w:ascii="Times New Roman" w:hAnsi="Times New Roman" w:cs="Times New Roman"/>
          <w:b/>
          <w:sz w:val="24"/>
          <w:szCs w:val="24"/>
        </w:rPr>
        <w:t xml:space="preserve">LIFE </w:t>
      </w:r>
      <w:r w:rsidR="00FB0558">
        <w:rPr>
          <w:rFonts w:ascii="Times New Roman" w:hAnsi="Times New Roman" w:cs="Times New Roman"/>
          <w:b/>
          <w:sz w:val="24"/>
          <w:szCs w:val="24"/>
        </w:rPr>
        <w:t xml:space="preserve">     </w:t>
      </w:r>
      <w:r>
        <w:rPr>
          <w:rFonts w:ascii="Times New Roman" w:hAnsi="Times New Roman" w:cs="Times New Roman"/>
          <w:b/>
          <w:sz w:val="24"/>
          <w:szCs w:val="24"/>
        </w:rPr>
        <w:t>COVENANT</w:t>
      </w:r>
      <w:r w:rsidR="00FB0558">
        <w:rPr>
          <w:rFonts w:ascii="Times New Roman" w:hAnsi="Times New Roman" w:cs="Times New Roman"/>
          <w:b/>
          <w:sz w:val="24"/>
          <w:szCs w:val="24"/>
        </w:rPr>
        <w:t xml:space="preserve">     </w:t>
      </w:r>
      <w:r>
        <w:rPr>
          <w:rFonts w:ascii="Times New Roman" w:hAnsi="Times New Roman" w:cs="Times New Roman"/>
          <w:b/>
          <w:sz w:val="24"/>
          <w:szCs w:val="24"/>
        </w:rPr>
        <w:t xml:space="preserve"> CHURCH</w:t>
      </w:r>
    </w:p>
    <w:p w14:paraId="28D170D0" w14:textId="22832621" w:rsidR="00FF7A37" w:rsidRDefault="00FB0558" w:rsidP="00FB055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w:t>
      </w:r>
    </w:p>
    <w:p w14:paraId="05E198A2" w14:textId="4AE459F1" w:rsidR="00FF7A37" w:rsidRDefault="00FF7A37" w:rsidP="00FB055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 </w:t>
      </w:r>
      <w:r w:rsidR="00FB0558">
        <w:rPr>
          <w:rFonts w:ascii="Times New Roman" w:hAnsi="Times New Roman" w:cs="Times New Roman"/>
          <w:b/>
          <w:sz w:val="24"/>
          <w:szCs w:val="24"/>
        </w:rPr>
        <w:t xml:space="preserve">     </w:t>
      </w:r>
      <w:r>
        <w:rPr>
          <w:rFonts w:ascii="Times New Roman" w:hAnsi="Times New Roman" w:cs="Times New Roman"/>
          <w:b/>
          <w:sz w:val="24"/>
          <w:szCs w:val="24"/>
        </w:rPr>
        <w:t xml:space="preserve">TRUSTEES </w:t>
      </w:r>
      <w:r w:rsidR="00FB0558">
        <w:rPr>
          <w:rFonts w:ascii="Times New Roman" w:hAnsi="Times New Roman" w:cs="Times New Roman"/>
          <w:b/>
          <w:sz w:val="24"/>
          <w:szCs w:val="24"/>
        </w:rPr>
        <w:t xml:space="preserve">     </w:t>
      </w:r>
      <w:r>
        <w:rPr>
          <w:rFonts w:ascii="Times New Roman" w:hAnsi="Times New Roman" w:cs="Times New Roman"/>
          <w:b/>
          <w:sz w:val="24"/>
          <w:szCs w:val="24"/>
        </w:rPr>
        <w:t>OF</w:t>
      </w:r>
      <w:r w:rsidR="00FB0558">
        <w:rPr>
          <w:rFonts w:ascii="Times New Roman" w:hAnsi="Times New Roman" w:cs="Times New Roman"/>
          <w:b/>
          <w:sz w:val="24"/>
          <w:szCs w:val="24"/>
        </w:rPr>
        <w:t xml:space="preserve">     </w:t>
      </w:r>
      <w:r>
        <w:rPr>
          <w:rFonts w:ascii="Times New Roman" w:hAnsi="Times New Roman" w:cs="Times New Roman"/>
          <w:b/>
          <w:sz w:val="24"/>
          <w:szCs w:val="24"/>
        </w:rPr>
        <w:t xml:space="preserve"> THE</w:t>
      </w:r>
      <w:r w:rsidR="00FB0558">
        <w:rPr>
          <w:rFonts w:ascii="Times New Roman" w:hAnsi="Times New Roman" w:cs="Times New Roman"/>
          <w:b/>
          <w:sz w:val="24"/>
          <w:szCs w:val="24"/>
        </w:rPr>
        <w:t xml:space="preserve">     </w:t>
      </w:r>
      <w:r>
        <w:rPr>
          <w:rFonts w:ascii="Times New Roman" w:hAnsi="Times New Roman" w:cs="Times New Roman"/>
          <w:b/>
          <w:sz w:val="24"/>
          <w:szCs w:val="24"/>
        </w:rPr>
        <w:t xml:space="preserve"> HARARE </w:t>
      </w:r>
      <w:r w:rsidR="00FB0558">
        <w:rPr>
          <w:rFonts w:ascii="Times New Roman" w:hAnsi="Times New Roman" w:cs="Times New Roman"/>
          <w:b/>
          <w:sz w:val="24"/>
          <w:szCs w:val="24"/>
        </w:rPr>
        <w:t xml:space="preserve">    </w:t>
      </w:r>
      <w:r>
        <w:rPr>
          <w:rFonts w:ascii="Times New Roman" w:hAnsi="Times New Roman" w:cs="Times New Roman"/>
          <w:b/>
          <w:sz w:val="24"/>
          <w:szCs w:val="24"/>
        </w:rPr>
        <w:t>WETLANDS</w:t>
      </w:r>
      <w:r w:rsidR="00FB0558">
        <w:rPr>
          <w:rFonts w:ascii="Times New Roman" w:hAnsi="Times New Roman" w:cs="Times New Roman"/>
          <w:b/>
          <w:sz w:val="24"/>
          <w:szCs w:val="24"/>
        </w:rPr>
        <w:t xml:space="preserve">     </w:t>
      </w:r>
      <w:r>
        <w:rPr>
          <w:rFonts w:ascii="Times New Roman" w:hAnsi="Times New Roman" w:cs="Times New Roman"/>
          <w:b/>
          <w:sz w:val="24"/>
          <w:szCs w:val="24"/>
        </w:rPr>
        <w:t xml:space="preserve"> TRUST</w:t>
      </w:r>
      <w:r w:rsidR="00FB0558">
        <w:rPr>
          <w:rFonts w:ascii="Times New Roman" w:hAnsi="Times New Roman" w:cs="Times New Roman"/>
          <w:b/>
          <w:sz w:val="24"/>
          <w:szCs w:val="24"/>
        </w:rPr>
        <w:t xml:space="preserve">   </w:t>
      </w:r>
      <w:proofErr w:type="gramStart"/>
      <w:r w:rsidR="00FB0558">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2) DIRECTOR </w:t>
      </w:r>
      <w:r w:rsidR="00FB0558">
        <w:rPr>
          <w:rFonts w:ascii="Times New Roman" w:hAnsi="Times New Roman" w:cs="Times New Roman"/>
          <w:b/>
          <w:sz w:val="24"/>
          <w:szCs w:val="24"/>
        </w:rPr>
        <w:t xml:space="preserve">     </w:t>
      </w:r>
      <w:r>
        <w:rPr>
          <w:rFonts w:ascii="Times New Roman" w:hAnsi="Times New Roman" w:cs="Times New Roman"/>
          <w:b/>
          <w:sz w:val="24"/>
          <w:szCs w:val="24"/>
        </w:rPr>
        <w:t xml:space="preserve">OF </w:t>
      </w:r>
      <w:r w:rsidR="00FB0558">
        <w:rPr>
          <w:rFonts w:ascii="Times New Roman" w:hAnsi="Times New Roman" w:cs="Times New Roman"/>
          <w:b/>
          <w:sz w:val="24"/>
          <w:szCs w:val="24"/>
        </w:rPr>
        <w:t xml:space="preserve">     </w:t>
      </w:r>
      <w:r>
        <w:rPr>
          <w:rFonts w:ascii="Times New Roman" w:hAnsi="Times New Roman" w:cs="Times New Roman"/>
          <w:b/>
          <w:sz w:val="24"/>
          <w:szCs w:val="24"/>
        </w:rPr>
        <w:t>WORKS</w:t>
      </w:r>
      <w:r w:rsidR="00FB0558">
        <w:rPr>
          <w:rFonts w:ascii="Times New Roman" w:hAnsi="Times New Roman" w:cs="Times New Roman"/>
          <w:b/>
          <w:sz w:val="24"/>
          <w:szCs w:val="24"/>
        </w:rPr>
        <w:t xml:space="preserve">     </w:t>
      </w:r>
      <w:r>
        <w:rPr>
          <w:rFonts w:ascii="Times New Roman" w:hAnsi="Times New Roman" w:cs="Times New Roman"/>
          <w:b/>
          <w:sz w:val="24"/>
          <w:szCs w:val="24"/>
        </w:rPr>
        <w:t xml:space="preserve"> CITY</w:t>
      </w:r>
      <w:r w:rsidR="00FB0558">
        <w:rPr>
          <w:rFonts w:ascii="Times New Roman" w:hAnsi="Times New Roman" w:cs="Times New Roman"/>
          <w:b/>
          <w:sz w:val="24"/>
          <w:szCs w:val="24"/>
        </w:rPr>
        <w:t xml:space="preserve">     </w:t>
      </w:r>
      <w:r>
        <w:rPr>
          <w:rFonts w:ascii="Times New Roman" w:hAnsi="Times New Roman" w:cs="Times New Roman"/>
          <w:b/>
          <w:sz w:val="24"/>
          <w:szCs w:val="24"/>
        </w:rPr>
        <w:t xml:space="preserve"> OF</w:t>
      </w:r>
      <w:r w:rsidR="00FB0558">
        <w:rPr>
          <w:rFonts w:ascii="Times New Roman" w:hAnsi="Times New Roman" w:cs="Times New Roman"/>
          <w:b/>
          <w:sz w:val="24"/>
          <w:szCs w:val="24"/>
        </w:rPr>
        <w:t xml:space="preserve">     </w:t>
      </w:r>
      <w:r>
        <w:rPr>
          <w:rFonts w:ascii="Times New Roman" w:hAnsi="Times New Roman" w:cs="Times New Roman"/>
          <w:b/>
          <w:sz w:val="24"/>
          <w:szCs w:val="24"/>
        </w:rPr>
        <w:t xml:space="preserve">HARARE </w:t>
      </w:r>
      <w:r w:rsidR="00FB0558">
        <w:rPr>
          <w:rFonts w:ascii="Times New Roman" w:hAnsi="Times New Roman" w:cs="Times New Roman"/>
          <w:b/>
          <w:sz w:val="24"/>
          <w:szCs w:val="24"/>
        </w:rPr>
        <w:t xml:space="preserve">     </w:t>
      </w:r>
      <w:r>
        <w:rPr>
          <w:rFonts w:ascii="Times New Roman" w:hAnsi="Times New Roman" w:cs="Times New Roman"/>
          <w:b/>
          <w:sz w:val="24"/>
          <w:szCs w:val="24"/>
        </w:rPr>
        <w:t xml:space="preserve">(3) </w:t>
      </w:r>
      <w:r w:rsidR="00FB0558">
        <w:rPr>
          <w:rFonts w:ascii="Times New Roman" w:hAnsi="Times New Roman" w:cs="Times New Roman"/>
          <w:b/>
          <w:sz w:val="24"/>
          <w:szCs w:val="24"/>
        </w:rPr>
        <w:t xml:space="preserve">    </w:t>
      </w:r>
      <w:r>
        <w:rPr>
          <w:rFonts w:ascii="Times New Roman" w:hAnsi="Times New Roman" w:cs="Times New Roman"/>
          <w:b/>
          <w:sz w:val="24"/>
          <w:szCs w:val="24"/>
        </w:rPr>
        <w:t xml:space="preserve">CITY </w:t>
      </w:r>
      <w:r w:rsidR="00FB0558">
        <w:rPr>
          <w:rFonts w:ascii="Times New Roman" w:hAnsi="Times New Roman" w:cs="Times New Roman"/>
          <w:b/>
          <w:sz w:val="24"/>
          <w:szCs w:val="24"/>
        </w:rPr>
        <w:t xml:space="preserve">     </w:t>
      </w:r>
      <w:r>
        <w:rPr>
          <w:rFonts w:ascii="Times New Roman" w:hAnsi="Times New Roman" w:cs="Times New Roman"/>
          <w:b/>
          <w:sz w:val="24"/>
          <w:szCs w:val="24"/>
        </w:rPr>
        <w:t>OF HARARE</w:t>
      </w:r>
    </w:p>
    <w:p w14:paraId="1C5A88AC" w14:textId="77777777" w:rsidR="00FB0558" w:rsidRDefault="00FB0558" w:rsidP="00FB0558">
      <w:pPr>
        <w:spacing w:after="0" w:line="360" w:lineRule="auto"/>
        <w:jc w:val="center"/>
        <w:rPr>
          <w:rFonts w:ascii="Times New Roman" w:hAnsi="Times New Roman" w:cs="Times New Roman"/>
          <w:b/>
          <w:sz w:val="24"/>
          <w:szCs w:val="24"/>
        </w:rPr>
      </w:pPr>
    </w:p>
    <w:p w14:paraId="3AA933C0" w14:textId="77777777" w:rsidR="00FF7A37" w:rsidRDefault="00FF7A37" w:rsidP="00FB0558">
      <w:pPr>
        <w:spacing w:after="0" w:line="240" w:lineRule="auto"/>
        <w:jc w:val="center"/>
        <w:rPr>
          <w:rFonts w:ascii="Times New Roman" w:hAnsi="Times New Roman" w:cs="Times New Roman"/>
          <w:b/>
          <w:sz w:val="24"/>
          <w:szCs w:val="24"/>
        </w:rPr>
      </w:pPr>
    </w:p>
    <w:p w14:paraId="08332FBC" w14:textId="77777777" w:rsidR="00FF7A37" w:rsidRDefault="00FF7A37" w:rsidP="002076EF">
      <w:pPr>
        <w:spacing w:line="240" w:lineRule="auto"/>
        <w:jc w:val="both"/>
        <w:rPr>
          <w:rFonts w:ascii="Times New Roman" w:hAnsi="Times New Roman" w:cs="Times New Roman"/>
          <w:b/>
          <w:sz w:val="24"/>
          <w:szCs w:val="24"/>
        </w:rPr>
      </w:pPr>
      <w:r>
        <w:rPr>
          <w:rFonts w:ascii="Times New Roman" w:hAnsi="Times New Roman" w:cs="Times New Roman"/>
          <w:b/>
          <w:sz w:val="24"/>
          <w:szCs w:val="24"/>
        </w:rPr>
        <w:t>SUPREME COURT OF ZIMBABWE</w:t>
      </w:r>
    </w:p>
    <w:p w14:paraId="2EBAF0C0" w14:textId="77777777" w:rsidR="00FF7A37" w:rsidRDefault="00FF7A37" w:rsidP="002076EF">
      <w:pPr>
        <w:spacing w:line="240" w:lineRule="auto"/>
        <w:jc w:val="both"/>
        <w:rPr>
          <w:rFonts w:ascii="Times New Roman" w:hAnsi="Times New Roman" w:cs="Times New Roman"/>
          <w:b/>
          <w:sz w:val="24"/>
          <w:szCs w:val="24"/>
        </w:rPr>
      </w:pPr>
      <w:r>
        <w:rPr>
          <w:rFonts w:ascii="Times New Roman" w:hAnsi="Times New Roman" w:cs="Times New Roman"/>
          <w:b/>
          <w:sz w:val="24"/>
          <w:szCs w:val="24"/>
        </w:rPr>
        <w:t>MAVANGIRA JA, CHATUKUTA JA &amp; MWAYERA JA</w:t>
      </w:r>
    </w:p>
    <w:p w14:paraId="54B2CB18" w14:textId="77777777" w:rsidR="00FF7A37" w:rsidRDefault="00FF7A37" w:rsidP="002076EF">
      <w:pPr>
        <w:spacing w:line="240" w:lineRule="auto"/>
        <w:jc w:val="both"/>
        <w:rPr>
          <w:rFonts w:ascii="Times New Roman" w:hAnsi="Times New Roman" w:cs="Times New Roman"/>
          <w:b/>
          <w:sz w:val="24"/>
          <w:szCs w:val="24"/>
        </w:rPr>
      </w:pPr>
      <w:r>
        <w:rPr>
          <w:rFonts w:ascii="Times New Roman" w:hAnsi="Times New Roman" w:cs="Times New Roman"/>
          <w:b/>
          <w:sz w:val="24"/>
          <w:szCs w:val="24"/>
        </w:rPr>
        <w:t>HARARE, 7 &amp; 20 OCTOBER 2021</w:t>
      </w:r>
    </w:p>
    <w:p w14:paraId="5839E94D" w14:textId="77777777" w:rsidR="00FB0558" w:rsidRDefault="00FB0558" w:rsidP="002076EF">
      <w:pPr>
        <w:spacing w:line="240" w:lineRule="auto"/>
        <w:jc w:val="both"/>
        <w:rPr>
          <w:rFonts w:ascii="Times New Roman" w:hAnsi="Times New Roman" w:cs="Times New Roman"/>
          <w:b/>
          <w:sz w:val="24"/>
          <w:szCs w:val="24"/>
        </w:rPr>
      </w:pPr>
    </w:p>
    <w:p w14:paraId="6A262D49" w14:textId="77777777" w:rsidR="00FF7A37" w:rsidRDefault="00FF7A37" w:rsidP="002076EF">
      <w:pPr>
        <w:spacing w:line="240" w:lineRule="auto"/>
        <w:jc w:val="both"/>
        <w:rPr>
          <w:rFonts w:ascii="Times New Roman" w:hAnsi="Times New Roman" w:cs="Times New Roman"/>
          <w:b/>
          <w:sz w:val="24"/>
          <w:szCs w:val="24"/>
        </w:rPr>
      </w:pPr>
    </w:p>
    <w:p w14:paraId="55A433FE" w14:textId="1909334F" w:rsidR="00704B4F" w:rsidRDefault="00704B4F" w:rsidP="00FB0558">
      <w:pPr>
        <w:spacing w:line="480" w:lineRule="auto"/>
        <w:ind w:firstLine="1134"/>
        <w:jc w:val="both"/>
        <w:rPr>
          <w:rFonts w:ascii="Times New Roman" w:eastAsia="Calibri" w:hAnsi="Times New Roman" w:cs="Times New Roman"/>
          <w:sz w:val="24"/>
          <w:szCs w:val="24"/>
          <w:lang w:val="en-ZW"/>
        </w:rPr>
      </w:pPr>
      <w:r w:rsidRPr="007E6616">
        <w:rPr>
          <w:rFonts w:ascii="Times New Roman" w:hAnsi="Times New Roman" w:cs="Times New Roman"/>
          <w:b/>
          <w:sz w:val="24"/>
          <w:szCs w:val="24"/>
        </w:rPr>
        <w:t>CHATUKUTA JA:</w:t>
      </w:r>
      <w:r w:rsidR="00FB0558">
        <w:rPr>
          <w:rFonts w:ascii="Times New Roman" w:hAnsi="Times New Roman" w:cs="Times New Roman"/>
          <w:b/>
          <w:sz w:val="24"/>
          <w:szCs w:val="24"/>
        </w:rPr>
        <w:tab/>
      </w:r>
      <w:r w:rsidRPr="00704B4F">
        <w:rPr>
          <w:rFonts w:ascii="Times New Roman" w:eastAsia="Calibri" w:hAnsi="Times New Roman" w:cs="Times New Roman"/>
          <w:sz w:val="24"/>
          <w:szCs w:val="24"/>
          <w:lang w:val="en-ZW"/>
        </w:rPr>
        <w:t xml:space="preserve"> </w:t>
      </w:r>
      <w:r>
        <w:rPr>
          <w:rFonts w:ascii="Times New Roman" w:eastAsia="Calibri" w:hAnsi="Times New Roman" w:cs="Times New Roman"/>
          <w:sz w:val="24"/>
          <w:szCs w:val="24"/>
          <w:lang w:val="en-ZW"/>
        </w:rPr>
        <w:t>This was</w:t>
      </w:r>
      <w:r w:rsidRPr="00704B4F">
        <w:rPr>
          <w:rFonts w:ascii="Times New Roman" w:eastAsia="Calibri" w:hAnsi="Times New Roman" w:cs="Times New Roman"/>
          <w:sz w:val="24"/>
          <w:szCs w:val="24"/>
          <w:lang w:val="en-ZW"/>
        </w:rPr>
        <w:t xml:space="preserve"> an appeal against the whole of the judgment of the Administrative Court of Zimbabwe handed down on 7 September 2020 as case number ACC87/19, judgment number AC 9/20. </w:t>
      </w:r>
      <w:r>
        <w:rPr>
          <w:rFonts w:ascii="Times New Roman" w:eastAsia="Calibri" w:hAnsi="Times New Roman" w:cs="Times New Roman"/>
          <w:sz w:val="24"/>
          <w:szCs w:val="24"/>
          <w:lang w:val="en-ZW"/>
        </w:rPr>
        <w:t xml:space="preserve">The appeal was heard on </w:t>
      </w:r>
      <w:r w:rsidRPr="009E4ADC">
        <w:rPr>
          <w:rFonts w:ascii="Times New Roman" w:eastAsia="Calibri" w:hAnsi="Times New Roman" w:cs="Times New Roman"/>
          <w:sz w:val="24"/>
          <w:szCs w:val="24"/>
          <w:lang w:val="en-ZW"/>
        </w:rPr>
        <w:t>20 October 2021</w:t>
      </w:r>
      <w:r>
        <w:rPr>
          <w:rFonts w:ascii="Times New Roman" w:eastAsia="Calibri" w:hAnsi="Times New Roman" w:cs="Times New Roman"/>
          <w:sz w:val="24"/>
          <w:szCs w:val="24"/>
          <w:lang w:val="en-ZW"/>
        </w:rPr>
        <w:t>. The court proceeded to give an ex</w:t>
      </w:r>
      <w:r w:rsidR="00510106">
        <w:rPr>
          <w:rFonts w:ascii="Times New Roman" w:eastAsia="Calibri" w:hAnsi="Times New Roman" w:cs="Times New Roman"/>
          <w:sz w:val="24"/>
          <w:szCs w:val="24"/>
          <w:lang w:val="en-ZW"/>
        </w:rPr>
        <w:t xml:space="preserve"> </w:t>
      </w:r>
      <w:r>
        <w:rPr>
          <w:rFonts w:ascii="Times New Roman" w:eastAsia="Calibri" w:hAnsi="Times New Roman" w:cs="Times New Roman"/>
          <w:sz w:val="24"/>
          <w:szCs w:val="24"/>
          <w:lang w:val="en-ZW"/>
        </w:rPr>
        <w:t xml:space="preserve">tempore judgment. </w:t>
      </w:r>
      <w:r w:rsidR="00AD0051">
        <w:rPr>
          <w:rFonts w:ascii="Times New Roman" w:eastAsia="Calibri" w:hAnsi="Times New Roman" w:cs="Times New Roman"/>
          <w:sz w:val="24"/>
          <w:szCs w:val="24"/>
          <w:lang w:val="en-ZW"/>
        </w:rPr>
        <w:t xml:space="preserve"> </w:t>
      </w:r>
      <w:r w:rsidR="00760BF3">
        <w:rPr>
          <w:rFonts w:ascii="Times New Roman" w:eastAsia="Calibri" w:hAnsi="Times New Roman" w:cs="Times New Roman"/>
          <w:sz w:val="24"/>
          <w:szCs w:val="24"/>
          <w:lang w:val="en-ZW"/>
        </w:rPr>
        <w:t xml:space="preserve">It dismissed the appeal with costs on a legal practitioner and client scale. </w:t>
      </w:r>
      <w:r w:rsidR="00AD0051">
        <w:rPr>
          <w:rFonts w:ascii="Times New Roman" w:eastAsia="Calibri" w:hAnsi="Times New Roman" w:cs="Times New Roman"/>
          <w:sz w:val="24"/>
          <w:szCs w:val="24"/>
          <w:lang w:val="en-ZW"/>
        </w:rPr>
        <w:t>Written reasons have</w:t>
      </w:r>
      <w:r>
        <w:rPr>
          <w:rFonts w:ascii="Times New Roman" w:eastAsia="Calibri" w:hAnsi="Times New Roman" w:cs="Times New Roman"/>
          <w:sz w:val="24"/>
          <w:szCs w:val="24"/>
          <w:lang w:val="en-ZW"/>
        </w:rPr>
        <w:t xml:space="preserve"> been </w:t>
      </w:r>
      <w:r w:rsidR="002F7B8D">
        <w:rPr>
          <w:rFonts w:ascii="Times New Roman" w:eastAsia="Calibri" w:hAnsi="Times New Roman" w:cs="Times New Roman"/>
          <w:sz w:val="24"/>
          <w:szCs w:val="24"/>
          <w:lang w:val="en-ZW"/>
        </w:rPr>
        <w:t>requested</w:t>
      </w:r>
      <w:r w:rsidR="00AD0051">
        <w:rPr>
          <w:rFonts w:ascii="Times New Roman" w:eastAsia="Calibri" w:hAnsi="Times New Roman" w:cs="Times New Roman"/>
          <w:sz w:val="24"/>
          <w:szCs w:val="24"/>
          <w:lang w:val="en-ZW"/>
        </w:rPr>
        <w:t xml:space="preserve"> by the appellant</w:t>
      </w:r>
      <w:r>
        <w:rPr>
          <w:rFonts w:ascii="Times New Roman" w:eastAsia="Calibri" w:hAnsi="Times New Roman" w:cs="Times New Roman"/>
          <w:sz w:val="24"/>
          <w:szCs w:val="24"/>
          <w:lang w:val="en-ZW"/>
        </w:rPr>
        <w:t>. Th</w:t>
      </w:r>
      <w:r w:rsidR="00AD0051">
        <w:rPr>
          <w:rFonts w:ascii="Times New Roman" w:eastAsia="Calibri" w:hAnsi="Times New Roman" w:cs="Times New Roman"/>
          <w:sz w:val="24"/>
          <w:szCs w:val="24"/>
          <w:lang w:val="en-ZW"/>
        </w:rPr>
        <w:t>ese are they</w:t>
      </w:r>
      <w:r>
        <w:rPr>
          <w:rFonts w:ascii="Times New Roman" w:eastAsia="Calibri" w:hAnsi="Times New Roman" w:cs="Times New Roman"/>
          <w:sz w:val="24"/>
          <w:szCs w:val="24"/>
          <w:lang w:val="en-ZW"/>
        </w:rPr>
        <w:t>.</w:t>
      </w:r>
    </w:p>
    <w:p w14:paraId="72981E4E" w14:textId="77777777" w:rsidR="00FB0558" w:rsidRDefault="00FB0558" w:rsidP="00460EBD">
      <w:pPr>
        <w:spacing w:line="276" w:lineRule="auto"/>
        <w:ind w:firstLine="1134"/>
        <w:jc w:val="both"/>
        <w:rPr>
          <w:rFonts w:ascii="Times New Roman" w:eastAsia="Calibri" w:hAnsi="Times New Roman" w:cs="Times New Roman"/>
          <w:sz w:val="24"/>
          <w:szCs w:val="24"/>
          <w:lang w:val="en-ZW"/>
        </w:rPr>
      </w:pPr>
    </w:p>
    <w:p w14:paraId="176B7563" w14:textId="77777777" w:rsidR="00704B4F" w:rsidRPr="00704B4F" w:rsidRDefault="00704B4F" w:rsidP="002076EF">
      <w:pPr>
        <w:spacing w:line="480" w:lineRule="auto"/>
        <w:jc w:val="both"/>
        <w:rPr>
          <w:rFonts w:ascii="Times New Roman" w:eastAsia="Calibri" w:hAnsi="Times New Roman" w:cs="Times New Roman"/>
          <w:b/>
          <w:sz w:val="24"/>
          <w:szCs w:val="24"/>
          <w:u w:val="single"/>
          <w:lang w:val="en-ZW"/>
        </w:rPr>
      </w:pPr>
      <w:r w:rsidRPr="00704B4F">
        <w:rPr>
          <w:rFonts w:ascii="Times New Roman" w:eastAsia="Calibri" w:hAnsi="Times New Roman" w:cs="Times New Roman"/>
          <w:b/>
          <w:sz w:val="24"/>
          <w:szCs w:val="24"/>
          <w:u w:val="single"/>
          <w:lang w:val="en-ZW"/>
        </w:rPr>
        <w:t>BACKGROUND FACTS</w:t>
      </w:r>
    </w:p>
    <w:p w14:paraId="10830FD7" w14:textId="0EF4766D" w:rsidR="00704B4F" w:rsidRDefault="00704B4F" w:rsidP="00FB0558">
      <w:pPr>
        <w:spacing w:line="480" w:lineRule="auto"/>
        <w:ind w:firstLine="1134"/>
        <w:jc w:val="both"/>
        <w:rPr>
          <w:rFonts w:ascii="Times New Roman" w:eastAsia="Calibri" w:hAnsi="Times New Roman" w:cs="Times New Roman"/>
          <w:sz w:val="24"/>
          <w:szCs w:val="24"/>
          <w:lang w:val="en-ZW"/>
        </w:rPr>
      </w:pPr>
      <w:r w:rsidRPr="00704B4F">
        <w:rPr>
          <w:rFonts w:ascii="Times New Roman" w:eastAsia="Calibri" w:hAnsi="Times New Roman" w:cs="Times New Roman"/>
          <w:sz w:val="24"/>
          <w:szCs w:val="24"/>
          <w:lang w:val="en-ZW"/>
        </w:rPr>
        <w:t>The facts of the matter are common cause. The appellant owns a piece of land known as stand number 18692 Boundary Road</w:t>
      </w:r>
      <w:r w:rsidR="008D0B0B">
        <w:rPr>
          <w:rFonts w:ascii="Times New Roman" w:eastAsia="Calibri" w:hAnsi="Times New Roman" w:cs="Times New Roman"/>
          <w:sz w:val="24"/>
          <w:szCs w:val="24"/>
          <w:lang w:val="en-ZW"/>
        </w:rPr>
        <w:t xml:space="preserve">, </w:t>
      </w:r>
      <w:r w:rsidR="00C94CDC" w:rsidRPr="00C66676">
        <w:rPr>
          <w:rFonts w:ascii="Times New Roman" w:hAnsi="Times New Roman" w:cs="Times New Roman"/>
          <w:sz w:val="24"/>
          <w:szCs w:val="24"/>
        </w:rPr>
        <w:t>Harare Township in the District of Harare</w:t>
      </w:r>
      <w:r w:rsidR="00C94CDC">
        <w:rPr>
          <w:rFonts w:ascii="Times New Roman" w:hAnsi="Times New Roman" w:cs="Times New Roman"/>
          <w:sz w:val="24"/>
          <w:szCs w:val="24"/>
        </w:rPr>
        <w:t>,</w:t>
      </w:r>
      <w:r w:rsidR="008D0B0B">
        <w:rPr>
          <w:rFonts w:ascii="Times New Roman" w:eastAsia="Calibri" w:hAnsi="Times New Roman" w:cs="Times New Roman"/>
          <w:sz w:val="24"/>
          <w:szCs w:val="24"/>
          <w:lang w:val="en-ZW"/>
        </w:rPr>
        <w:t xml:space="preserve"> </w:t>
      </w:r>
      <w:r w:rsidRPr="00704B4F">
        <w:rPr>
          <w:rFonts w:ascii="Times New Roman" w:eastAsia="Calibri" w:hAnsi="Times New Roman" w:cs="Times New Roman"/>
          <w:sz w:val="24"/>
          <w:szCs w:val="24"/>
          <w:lang w:val="en-ZW"/>
        </w:rPr>
        <w:t xml:space="preserve">which lies within the </w:t>
      </w:r>
      <w:r w:rsidR="009E4ADC">
        <w:rPr>
          <w:rFonts w:ascii="Times New Roman" w:eastAsia="Calibri" w:hAnsi="Times New Roman" w:cs="Times New Roman"/>
          <w:sz w:val="24"/>
          <w:szCs w:val="24"/>
          <w:lang w:val="en-ZW"/>
        </w:rPr>
        <w:t>second</w:t>
      </w:r>
      <w:r w:rsidRPr="00704B4F">
        <w:rPr>
          <w:rFonts w:ascii="Times New Roman" w:eastAsia="Calibri" w:hAnsi="Times New Roman" w:cs="Times New Roman"/>
          <w:sz w:val="24"/>
          <w:szCs w:val="24"/>
          <w:lang w:val="en-ZW"/>
        </w:rPr>
        <w:t xml:space="preserve"> respondent`s area of jurisdiction.</w:t>
      </w:r>
      <w:r w:rsidR="007E6616" w:rsidRPr="00704B4F">
        <w:rPr>
          <w:rFonts w:ascii="Times New Roman" w:eastAsia="Calibri" w:hAnsi="Times New Roman" w:cs="Times New Roman"/>
          <w:sz w:val="24"/>
          <w:szCs w:val="24"/>
          <w:lang w:val="en-ZW"/>
        </w:rPr>
        <w:t xml:space="preserve"> </w:t>
      </w:r>
      <w:r w:rsidRPr="00704B4F">
        <w:rPr>
          <w:rFonts w:ascii="Times New Roman" w:eastAsia="Calibri" w:hAnsi="Times New Roman" w:cs="Times New Roman"/>
          <w:sz w:val="24"/>
          <w:szCs w:val="24"/>
          <w:lang w:val="en-ZW"/>
        </w:rPr>
        <w:t xml:space="preserve">The </w:t>
      </w:r>
      <w:r w:rsidR="009E4ADC">
        <w:rPr>
          <w:rFonts w:ascii="Times New Roman" w:eastAsia="Calibri" w:hAnsi="Times New Roman" w:cs="Times New Roman"/>
          <w:sz w:val="24"/>
          <w:szCs w:val="24"/>
          <w:lang w:val="en-ZW"/>
        </w:rPr>
        <w:t>first</w:t>
      </w:r>
      <w:r w:rsidRPr="00704B4F">
        <w:rPr>
          <w:rFonts w:ascii="Times New Roman" w:eastAsia="Calibri" w:hAnsi="Times New Roman" w:cs="Times New Roman"/>
          <w:sz w:val="24"/>
          <w:szCs w:val="24"/>
          <w:lang w:val="en-ZW"/>
        </w:rPr>
        <w:t xml:space="preserve"> respondent is a trust that advocates for the protection and preservation of wetlands for sustainable water provisioning within Harare.</w:t>
      </w:r>
      <w:r w:rsidR="007E6616" w:rsidRPr="00704B4F">
        <w:rPr>
          <w:rFonts w:ascii="Times New Roman" w:eastAsia="Calibri" w:hAnsi="Times New Roman" w:cs="Times New Roman"/>
          <w:sz w:val="24"/>
          <w:szCs w:val="24"/>
          <w:lang w:val="en-ZW"/>
        </w:rPr>
        <w:t xml:space="preserve"> </w:t>
      </w:r>
      <w:r w:rsidRPr="00704B4F">
        <w:rPr>
          <w:rFonts w:ascii="Times New Roman" w:eastAsia="Calibri" w:hAnsi="Times New Roman" w:cs="Times New Roman"/>
          <w:sz w:val="24"/>
          <w:szCs w:val="24"/>
          <w:lang w:val="en-ZW"/>
        </w:rPr>
        <w:lastRenderedPageBreak/>
        <w:t xml:space="preserve">The </w:t>
      </w:r>
      <w:r w:rsidR="009E4ADC">
        <w:rPr>
          <w:rFonts w:ascii="Times New Roman" w:eastAsia="Calibri" w:hAnsi="Times New Roman" w:cs="Times New Roman"/>
          <w:sz w:val="24"/>
          <w:szCs w:val="24"/>
          <w:lang w:val="en-ZW"/>
        </w:rPr>
        <w:t xml:space="preserve">second </w:t>
      </w:r>
      <w:r w:rsidRPr="00704B4F">
        <w:rPr>
          <w:rFonts w:ascii="Times New Roman" w:eastAsia="Calibri" w:hAnsi="Times New Roman" w:cs="Times New Roman"/>
          <w:sz w:val="24"/>
          <w:szCs w:val="24"/>
          <w:lang w:val="en-ZW"/>
        </w:rPr>
        <w:t xml:space="preserve">respondent is the official of the </w:t>
      </w:r>
      <w:r w:rsidR="009E4ADC">
        <w:rPr>
          <w:rFonts w:ascii="Times New Roman" w:eastAsia="Calibri" w:hAnsi="Times New Roman" w:cs="Times New Roman"/>
          <w:sz w:val="24"/>
          <w:szCs w:val="24"/>
          <w:lang w:val="en-ZW"/>
        </w:rPr>
        <w:t xml:space="preserve">third </w:t>
      </w:r>
      <w:r w:rsidRPr="00704B4F">
        <w:rPr>
          <w:rFonts w:ascii="Times New Roman" w:eastAsia="Calibri" w:hAnsi="Times New Roman" w:cs="Times New Roman"/>
          <w:sz w:val="24"/>
          <w:szCs w:val="24"/>
          <w:lang w:val="en-ZW"/>
        </w:rPr>
        <w:t xml:space="preserve">respondent which is </w:t>
      </w:r>
      <w:r w:rsidR="00510106">
        <w:rPr>
          <w:rFonts w:ascii="Times New Roman" w:eastAsia="Calibri" w:hAnsi="Times New Roman" w:cs="Times New Roman"/>
          <w:sz w:val="24"/>
          <w:szCs w:val="24"/>
          <w:lang w:val="en-ZW"/>
        </w:rPr>
        <w:t>the</w:t>
      </w:r>
      <w:r w:rsidRPr="00704B4F">
        <w:rPr>
          <w:rFonts w:ascii="Times New Roman" w:eastAsia="Calibri" w:hAnsi="Times New Roman" w:cs="Times New Roman"/>
          <w:sz w:val="24"/>
          <w:szCs w:val="24"/>
          <w:lang w:val="en-ZW"/>
        </w:rPr>
        <w:t xml:space="preserve"> local planning authority for Harare. </w:t>
      </w:r>
    </w:p>
    <w:p w14:paraId="50CF8946" w14:textId="77777777" w:rsidR="00FB0558" w:rsidRPr="00704B4F" w:rsidRDefault="00FB0558" w:rsidP="00FB0558">
      <w:pPr>
        <w:spacing w:line="240" w:lineRule="auto"/>
        <w:ind w:firstLine="1134"/>
        <w:jc w:val="both"/>
        <w:rPr>
          <w:rFonts w:ascii="Times New Roman" w:eastAsia="Calibri" w:hAnsi="Times New Roman" w:cs="Times New Roman"/>
          <w:sz w:val="24"/>
          <w:szCs w:val="24"/>
          <w:lang w:val="en-ZW"/>
        </w:rPr>
      </w:pPr>
    </w:p>
    <w:p w14:paraId="0F03596A" w14:textId="73048569" w:rsidR="0060202F" w:rsidRDefault="00704B4F" w:rsidP="00FB0558">
      <w:pPr>
        <w:spacing w:line="480" w:lineRule="auto"/>
        <w:ind w:firstLine="1134"/>
        <w:jc w:val="both"/>
        <w:rPr>
          <w:rFonts w:ascii="Times New Roman" w:eastAsia="Calibri" w:hAnsi="Times New Roman" w:cs="Times New Roman"/>
          <w:sz w:val="24"/>
          <w:szCs w:val="24"/>
          <w:lang w:val="en-ZW"/>
        </w:rPr>
      </w:pPr>
      <w:r w:rsidRPr="00704B4F">
        <w:rPr>
          <w:rFonts w:ascii="Times New Roman" w:eastAsia="Calibri" w:hAnsi="Times New Roman" w:cs="Times New Roman"/>
          <w:sz w:val="24"/>
          <w:szCs w:val="24"/>
          <w:lang w:val="en-ZW"/>
        </w:rPr>
        <w:t>The appellant intended to develop the site to build a church, a school and a conference centre.</w:t>
      </w:r>
      <w:r w:rsidR="007E6616" w:rsidRPr="00704B4F">
        <w:rPr>
          <w:rFonts w:ascii="Times New Roman" w:eastAsia="Calibri" w:hAnsi="Times New Roman" w:cs="Times New Roman"/>
          <w:sz w:val="24"/>
          <w:szCs w:val="24"/>
          <w:lang w:val="en-ZW"/>
        </w:rPr>
        <w:t xml:space="preserve"> </w:t>
      </w:r>
      <w:r w:rsidR="00F121CA">
        <w:rPr>
          <w:rFonts w:ascii="Times New Roman" w:eastAsia="Calibri" w:hAnsi="Times New Roman" w:cs="Times New Roman"/>
          <w:sz w:val="24"/>
          <w:szCs w:val="24"/>
          <w:lang w:val="en-ZW"/>
        </w:rPr>
        <w:t xml:space="preserve">It relied on a development permit issued by </w:t>
      </w:r>
      <w:r w:rsidR="009E4ADC">
        <w:rPr>
          <w:rFonts w:ascii="Times New Roman" w:eastAsia="Calibri" w:hAnsi="Times New Roman" w:cs="Times New Roman"/>
          <w:sz w:val="24"/>
          <w:szCs w:val="24"/>
          <w:lang w:val="en-ZW"/>
        </w:rPr>
        <w:t>the third</w:t>
      </w:r>
      <w:r w:rsidR="00F121CA">
        <w:rPr>
          <w:rFonts w:ascii="Times New Roman" w:eastAsia="Calibri" w:hAnsi="Times New Roman" w:cs="Times New Roman"/>
          <w:sz w:val="24"/>
          <w:szCs w:val="24"/>
          <w:lang w:val="en-ZW"/>
        </w:rPr>
        <w:t xml:space="preserve"> respondents. </w:t>
      </w:r>
      <w:r w:rsidRPr="00704B4F">
        <w:rPr>
          <w:rFonts w:ascii="Times New Roman" w:eastAsia="Calibri" w:hAnsi="Times New Roman" w:cs="Times New Roman"/>
          <w:sz w:val="24"/>
          <w:szCs w:val="24"/>
          <w:lang w:val="en-ZW"/>
        </w:rPr>
        <w:t xml:space="preserve">The </w:t>
      </w:r>
      <w:r w:rsidR="009E4ADC">
        <w:rPr>
          <w:rFonts w:ascii="Times New Roman" w:eastAsia="Calibri" w:hAnsi="Times New Roman" w:cs="Times New Roman"/>
          <w:sz w:val="24"/>
          <w:szCs w:val="24"/>
          <w:lang w:val="en-ZW"/>
        </w:rPr>
        <w:t>first</w:t>
      </w:r>
      <w:r w:rsidRPr="00704B4F">
        <w:rPr>
          <w:rFonts w:ascii="Times New Roman" w:eastAsia="Calibri" w:hAnsi="Times New Roman" w:cs="Times New Roman"/>
          <w:sz w:val="24"/>
          <w:szCs w:val="24"/>
          <w:lang w:val="en-ZW"/>
        </w:rPr>
        <w:t xml:space="preserve"> respondent was opposed to the </w:t>
      </w:r>
      <w:proofErr w:type="gramStart"/>
      <w:r w:rsidR="00510106">
        <w:rPr>
          <w:rFonts w:ascii="Times New Roman" w:eastAsia="Calibri" w:hAnsi="Times New Roman" w:cs="Times New Roman"/>
          <w:sz w:val="24"/>
          <w:szCs w:val="24"/>
          <w:lang w:val="en-ZW"/>
        </w:rPr>
        <w:t>developments</w:t>
      </w:r>
      <w:r w:rsidRPr="00704B4F">
        <w:rPr>
          <w:rFonts w:ascii="Times New Roman" w:eastAsia="Calibri" w:hAnsi="Times New Roman" w:cs="Times New Roman"/>
          <w:sz w:val="24"/>
          <w:szCs w:val="24"/>
          <w:lang w:val="en-ZW"/>
        </w:rPr>
        <w:t>,</w:t>
      </w:r>
      <w:proofErr w:type="gramEnd"/>
      <w:r w:rsidRPr="00704B4F">
        <w:rPr>
          <w:rFonts w:ascii="Times New Roman" w:eastAsia="Calibri" w:hAnsi="Times New Roman" w:cs="Times New Roman"/>
          <w:sz w:val="24"/>
          <w:szCs w:val="24"/>
          <w:lang w:val="en-ZW"/>
        </w:rPr>
        <w:t xml:space="preserve"> hence it noted an appeal in the court </w:t>
      </w:r>
      <w:r w:rsidR="0060202F" w:rsidRPr="0060202F">
        <w:rPr>
          <w:rFonts w:ascii="Times New Roman" w:eastAsia="Calibri" w:hAnsi="Times New Roman" w:cs="Times New Roman"/>
          <w:i/>
          <w:sz w:val="24"/>
          <w:szCs w:val="24"/>
          <w:lang w:val="en-ZW"/>
        </w:rPr>
        <w:t>a quo</w:t>
      </w:r>
      <w:r w:rsidRPr="00704B4F">
        <w:rPr>
          <w:rFonts w:ascii="Times New Roman" w:eastAsia="Calibri" w:hAnsi="Times New Roman" w:cs="Times New Roman"/>
          <w:i/>
          <w:sz w:val="24"/>
          <w:szCs w:val="24"/>
          <w:lang w:val="en-ZW"/>
        </w:rPr>
        <w:t>.</w:t>
      </w:r>
      <w:r w:rsidRPr="00704B4F">
        <w:rPr>
          <w:rFonts w:ascii="Times New Roman" w:eastAsia="Calibri" w:hAnsi="Times New Roman" w:cs="Times New Roman"/>
          <w:sz w:val="24"/>
          <w:szCs w:val="24"/>
          <w:lang w:val="en-ZW"/>
        </w:rPr>
        <w:t xml:space="preserve"> </w:t>
      </w:r>
    </w:p>
    <w:p w14:paraId="385E5C30" w14:textId="77777777" w:rsidR="00FB0558" w:rsidRDefault="00FB0558" w:rsidP="00460EBD">
      <w:pPr>
        <w:spacing w:line="240" w:lineRule="auto"/>
        <w:ind w:firstLine="1134"/>
        <w:jc w:val="both"/>
        <w:rPr>
          <w:rFonts w:ascii="Times New Roman" w:eastAsia="Calibri" w:hAnsi="Times New Roman" w:cs="Times New Roman"/>
          <w:sz w:val="24"/>
          <w:szCs w:val="24"/>
          <w:lang w:val="en-ZW"/>
        </w:rPr>
      </w:pPr>
    </w:p>
    <w:p w14:paraId="0E89F4BA" w14:textId="77777777" w:rsidR="0060202F" w:rsidRPr="0060202F" w:rsidRDefault="0060202F" w:rsidP="00FB0558">
      <w:pPr>
        <w:spacing w:line="480" w:lineRule="auto"/>
        <w:jc w:val="both"/>
        <w:rPr>
          <w:rFonts w:ascii="Times New Roman" w:eastAsia="Calibri" w:hAnsi="Times New Roman" w:cs="Times New Roman"/>
          <w:b/>
          <w:sz w:val="24"/>
          <w:szCs w:val="24"/>
          <w:lang w:val="en-ZW"/>
        </w:rPr>
      </w:pPr>
      <w:r w:rsidRPr="0060202F">
        <w:rPr>
          <w:rFonts w:ascii="Times New Roman" w:eastAsia="Calibri" w:hAnsi="Times New Roman" w:cs="Times New Roman"/>
          <w:b/>
          <w:sz w:val="24"/>
          <w:szCs w:val="24"/>
          <w:lang w:val="en-ZW"/>
        </w:rPr>
        <w:t xml:space="preserve">SUBMISSIONS MADE IN THE COURT </w:t>
      </w:r>
      <w:r w:rsidRPr="0060202F">
        <w:rPr>
          <w:rFonts w:ascii="Times New Roman" w:eastAsia="Calibri" w:hAnsi="Times New Roman" w:cs="Times New Roman"/>
          <w:b/>
          <w:i/>
          <w:sz w:val="24"/>
          <w:szCs w:val="24"/>
          <w:lang w:val="en-ZW"/>
        </w:rPr>
        <w:t>A QUO</w:t>
      </w:r>
    </w:p>
    <w:p w14:paraId="5D7E4668" w14:textId="6E789BB3" w:rsidR="00704B4F" w:rsidRPr="00704B4F" w:rsidRDefault="00760BF3" w:rsidP="00FB0558">
      <w:pPr>
        <w:spacing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T</w:t>
      </w:r>
      <w:r w:rsidR="00704B4F" w:rsidRPr="00704B4F">
        <w:rPr>
          <w:rFonts w:ascii="Times New Roman" w:eastAsia="Calibri" w:hAnsi="Times New Roman" w:cs="Times New Roman"/>
          <w:sz w:val="24"/>
          <w:szCs w:val="24"/>
          <w:lang w:val="en-ZW"/>
        </w:rPr>
        <w:t xml:space="preserve">he </w:t>
      </w:r>
      <w:r>
        <w:rPr>
          <w:rFonts w:ascii="Times New Roman" w:eastAsia="Calibri" w:hAnsi="Times New Roman" w:cs="Times New Roman"/>
          <w:sz w:val="24"/>
          <w:szCs w:val="24"/>
          <w:lang w:val="en-ZW"/>
        </w:rPr>
        <w:t xml:space="preserve">first </w:t>
      </w:r>
      <w:r w:rsidR="00704B4F" w:rsidRPr="00704B4F">
        <w:rPr>
          <w:rFonts w:ascii="Times New Roman" w:eastAsia="Calibri" w:hAnsi="Times New Roman" w:cs="Times New Roman"/>
          <w:sz w:val="24"/>
          <w:szCs w:val="24"/>
          <w:lang w:val="en-ZW"/>
        </w:rPr>
        <w:t xml:space="preserve">respondent </w:t>
      </w:r>
      <w:r>
        <w:rPr>
          <w:rFonts w:ascii="Times New Roman" w:eastAsia="Calibri" w:hAnsi="Times New Roman" w:cs="Times New Roman"/>
          <w:sz w:val="24"/>
          <w:szCs w:val="24"/>
          <w:lang w:val="en-ZW"/>
        </w:rPr>
        <w:t xml:space="preserve">submitted in the court a quo </w:t>
      </w:r>
      <w:r w:rsidR="00704B4F" w:rsidRPr="00704B4F">
        <w:rPr>
          <w:rFonts w:ascii="Times New Roman" w:eastAsia="Calibri" w:hAnsi="Times New Roman" w:cs="Times New Roman"/>
          <w:sz w:val="24"/>
          <w:szCs w:val="24"/>
          <w:lang w:val="en-ZW"/>
        </w:rPr>
        <w:t xml:space="preserve">that the development permit was </w:t>
      </w:r>
      <w:proofErr w:type="spellStart"/>
      <w:r w:rsidR="007E6616">
        <w:rPr>
          <w:rFonts w:ascii="Times New Roman" w:eastAsia="Calibri" w:hAnsi="Times New Roman" w:cs="Times New Roman"/>
          <w:sz w:val="24"/>
          <w:szCs w:val="24"/>
          <w:lang w:val="en-ZW"/>
        </w:rPr>
        <w:t>unprocedura</w:t>
      </w:r>
      <w:r>
        <w:rPr>
          <w:rFonts w:ascii="Times New Roman" w:eastAsia="Calibri" w:hAnsi="Times New Roman" w:cs="Times New Roman"/>
          <w:sz w:val="24"/>
          <w:szCs w:val="24"/>
          <w:lang w:val="en-ZW"/>
        </w:rPr>
        <w:t>l</w:t>
      </w:r>
      <w:r w:rsidR="007E6616">
        <w:rPr>
          <w:rFonts w:ascii="Times New Roman" w:eastAsia="Calibri" w:hAnsi="Times New Roman" w:cs="Times New Roman"/>
          <w:sz w:val="24"/>
          <w:szCs w:val="24"/>
          <w:lang w:val="en-ZW"/>
        </w:rPr>
        <w:t>ly</w:t>
      </w:r>
      <w:proofErr w:type="spellEnd"/>
      <w:r w:rsidR="007E6616">
        <w:rPr>
          <w:rFonts w:ascii="Times New Roman" w:eastAsia="Calibri" w:hAnsi="Times New Roman" w:cs="Times New Roman"/>
          <w:sz w:val="24"/>
          <w:szCs w:val="24"/>
          <w:lang w:val="en-ZW"/>
        </w:rPr>
        <w:t xml:space="preserve"> </w:t>
      </w:r>
      <w:r w:rsidR="00704B4F" w:rsidRPr="00704B4F">
        <w:rPr>
          <w:rFonts w:ascii="Times New Roman" w:eastAsia="Calibri" w:hAnsi="Times New Roman" w:cs="Times New Roman"/>
          <w:sz w:val="24"/>
          <w:szCs w:val="24"/>
          <w:lang w:val="en-ZW"/>
        </w:rPr>
        <w:t xml:space="preserve">issued in violation of its justice rights. </w:t>
      </w:r>
      <w:r>
        <w:rPr>
          <w:rFonts w:ascii="Times New Roman" w:eastAsia="Calibri" w:hAnsi="Times New Roman" w:cs="Times New Roman"/>
          <w:sz w:val="24"/>
          <w:szCs w:val="24"/>
          <w:lang w:val="en-ZW"/>
        </w:rPr>
        <w:t>It</w:t>
      </w:r>
      <w:r w:rsidR="00704B4F" w:rsidRPr="00704B4F">
        <w:rPr>
          <w:rFonts w:ascii="Times New Roman" w:eastAsia="Calibri" w:hAnsi="Times New Roman" w:cs="Times New Roman"/>
          <w:sz w:val="24"/>
          <w:szCs w:val="24"/>
          <w:lang w:val="en-ZW"/>
        </w:rPr>
        <w:t xml:space="preserve"> </w:t>
      </w:r>
      <w:r w:rsidR="007E6616">
        <w:rPr>
          <w:rFonts w:ascii="Times New Roman" w:eastAsia="Calibri" w:hAnsi="Times New Roman" w:cs="Times New Roman"/>
          <w:sz w:val="24"/>
          <w:szCs w:val="24"/>
          <w:lang w:val="en-ZW"/>
        </w:rPr>
        <w:t xml:space="preserve">argued </w:t>
      </w:r>
      <w:r w:rsidR="00704B4F" w:rsidRPr="00704B4F">
        <w:rPr>
          <w:rFonts w:ascii="Times New Roman" w:eastAsia="Calibri" w:hAnsi="Times New Roman" w:cs="Times New Roman"/>
          <w:sz w:val="24"/>
          <w:szCs w:val="24"/>
          <w:lang w:val="en-ZW"/>
        </w:rPr>
        <w:t>that the development permit was unlawful for the following reasons:</w:t>
      </w:r>
    </w:p>
    <w:p w14:paraId="505FDE85" w14:textId="7CDC0872" w:rsidR="00704B4F" w:rsidRPr="00704B4F" w:rsidRDefault="00FB0558" w:rsidP="00FB0558">
      <w:pPr>
        <w:numPr>
          <w:ilvl w:val="0"/>
          <w:numId w:val="2"/>
        </w:numPr>
        <w:spacing w:line="480" w:lineRule="auto"/>
        <w:ind w:hanging="153"/>
        <w:contextualSpacing/>
        <w:jc w:val="both"/>
        <w:rPr>
          <w:rFonts w:ascii="Times New Roman" w:eastAsia="Calibri" w:hAnsi="Times New Roman" w:cs="Times New Roman"/>
          <w:b/>
          <w:sz w:val="24"/>
          <w:szCs w:val="24"/>
          <w:lang w:val="en-ZW"/>
        </w:rPr>
      </w:pPr>
      <w:r>
        <w:rPr>
          <w:rFonts w:ascii="Times New Roman" w:eastAsia="Calibri" w:hAnsi="Times New Roman" w:cs="Times New Roman"/>
          <w:sz w:val="24"/>
          <w:szCs w:val="24"/>
          <w:lang w:val="en-ZW"/>
        </w:rPr>
        <w:t>T</w:t>
      </w:r>
      <w:r w:rsidR="00510106">
        <w:rPr>
          <w:rFonts w:ascii="Times New Roman" w:eastAsia="Calibri" w:hAnsi="Times New Roman" w:cs="Times New Roman"/>
          <w:sz w:val="24"/>
          <w:szCs w:val="24"/>
          <w:lang w:val="en-ZW"/>
        </w:rPr>
        <w:t>hat t</w:t>
      </w:r>
      <w:r>
        <w:rPr>
          <w:rFonts w:ascii="Times New Roman" w:eastAsia="Calibri" w:hAnsi="Times New Roman" w:cs="Times New Roman"/>
          <w:sz w:val="24"/>
          <w:szCs w:val="24"/>
          <w:lang w:val="en-ZW"/>
        </w:rPr>
        <w:t>he second</w:t>
      </w:r>
      <w:r w:rsidR="00704B4F" w:rsidRPr="00704B4F">
        <w:rPr>
          <w:rFonts w:ascii="Times New Roman" w:eastAsia="Calibri" w:hAnsi="Times New Roman" w:cs="Times New Roman"/>
          <w:sz w:val="24"/>
          <w:szCs w:val="24"/>
          <w:lang w:val="en-ZW"/>
        </w:rPr>
        <w:t xml:space="preserve"> respondent was a local authority and had no power to issue the permit in terms of the tenets of the Regional</w:t>
      </w:r>
      <w:r w:rsidR="00403EC3">
        <w:rPr>
          <w:rFonts w:ascii="Times New Roman" w:eastAsia="Calibri" w:hAnsi="Times New Roman" w:cs="Times New Roman"/>
          <w:sz w:val="24"/>
          <w:szCs w:val="24"/>
          <w:lang w:val="en-ZW"/>
        </w:rPr>
        <w:t>,</w:t>
      </w:r>
      <w:r w:rsidR="00704B4F" w:rsidRPr="00704B4F">
        <w:rPr>
          <w:rFonts w:ascii="Times New Roman" w:eastAsia="Calibri" w:hAnsi="Times New Roman" w:cs="Times New Roman"/>
          <w:sz w:val="24"/>
          <w:szCs w:val="24"/>
          <w:lang w:val="en-ZW"/>
        </w:rPr>
        <w:t xml:space="preserve"> Town and Country Planning Act [</w:t>
      </w:r>
      <w:r w:rsidR="00704B4F" w:rsidRPr="00704B4F">
        <w:rPr>
          <w:rFonts w:ascii="Times New Roman" w:eastAsia="Calibri" w:hAnsi="Times New Roman" w:cs="Times New Roman"/>
          <w:i/>
          <w:sz w:val="24"/>
          <w:szCs w:val="24"/>
          <w:lang w:val="en-ZW"/>
        </w:rPr>
        <w:t>Chapter 29:12</w:t>
      </w:r>
      <w:r w:rsidR="00704B4F" w:rsidRPr="00704B4F">
        <w:rPr>
          <w:rFonts w:ascii="Times New Roman" w:eastAsia="Calibri" w:hAnsi="Times New Roman" w:cs="Times New Roman"/>
          <w:sz w:val="24"/>
          <w:szCs w:val="24"/>
          <w:lang w:val="en-ZW"/>
        </w:rPr>
        <w:t>].</w:t>
      </w:r>
    </w:p>
    <w:p w14:paraId="08E86CE3" w14:textId="77777777" w:rsidR="00704B4F" w:rsidRPr="00704B4F" w:rsidRDefault="00704B4F" w:rsidP="00FB0558">
      <w:pPr>
        <w:numPr>
          <w:ilvl w:val="0"/>
          <w:numId w:val="2"/>
        </w:numPr>
        <w:spacing w:line="480" w:lineRule="auto"/>
        <w:ind w:hanging="153"/>
        <w:contextualSpacing/>
        <w:jc w:val="both"/>
        <w:rPr>
          <w:rFonts w:ascii="Times New Roman" w:eastAsia="Calibri" w:hAnsi="Times New Roman" w:cs="Times New Roman"/>
          <w:b/>
          <w:sz w:val="24"/>
          <w:szCs w:val="24"/>
          <w:lang w:val="en-ZW"/>
        </w:rPr>
      </w:pPr>
      <w:r w:rsidRPr="00704B4F">
        <w:rPr>
          <w:rFonts w:ascii="Times New Roman" w:eastAsia="Calibri" w:hAnsi="Times New Roman" w:cs="Times New Roman"/>
          <w:sz w:val="24"/>
          <w:szCs w:val="24"/>
          <w:lang w:val="en-ZW"/>
        </w:rPr>
        <w:t>That the request for the permit was not made in accordance with the application procedure prescribed by the same Act.</w:t>
      </w:r>
    </w:p>
    <w:p w14:paraId="57A5E867" w14:textId="77777777" w:rsidR="00704B4F" w:rsidRPr="00704B4F" w:rsidRDefault="00704B4F" w:rsidP="00FB0558">
      <w:pPr>
        <w:numPr>
          <w:ilvl w:val="0"/>
          <w:numId w:val="2"/>
        </w:numPr>
        <w:spacing w:line="480" w:lineRule="auto"/>
        <w:ind w:hanging="153"/>
        <w:contextualSpacing/>
        <w:jc w:val="both"/>
        <w:rPr>
          <w:rFonts w:ascii="Times New Roman" w:eastAsia="Calibri" w:hAnsi="Times New Roman" w:cs="Times New Roman"/>
          <w:b/>
          <w:sz w:val="24"/>
          <w:szCs w:val="24"/>
          <w:lang w:val="en-ZW"/>
        </w:rPr>
      </w:pPr>
      <w:r w:rsidRPr="00704B4F">
        <w:rPr>
          <w:rFonts w:ascii="Times New Roman" w:eastAsia="Calibri" w:hAnsi="Times New Roman" w:cs="Times New Roman"/>
          <w:sz w:val="24"/>
          <w:szCs w:val="24"/>
          <w:lang w:val="en-ZW"/>
        </w:rPr>
        <w:t>That the application for the same had expired after three months and could not be relied upon for the current permit.</w:t>
      </w:r>
    </w:p>
    <w:p w14:paraId="12D18A24" w14:textId="77777777" w:rsidR="00704B4F" w:rsidRPr="00704B4F" w:rsidRDefault="00704B4F" w:rsidP="00FB0558">
      <w:pPr>
        <w:numPr>
          <w:ilvl w:val="0"/>
          <w:numId w:val="2"/>
        </w:numPr>
        <w:spacing w:line="480" w:lineRule="auto"/>
        <w:ind w:hanging="153"/>
        <w:contextualSpacing/>
        <w:jc w:val="both"/>
        <w:rPr>
          <w:rFonts w:ascii="Times New Roman" w:eastAsia="Calibri" w:hAnsi="Times New Roman" w:cs="Times New Roman"/>
          <w:b/>
          <w:sz w:val="24"/>
          <w:szCs w:val="24"/>
          <w:lang w:val="en-ZW"/>
        </w:rPr>
      </w:pPr>
      <w:r w:rsidRPr="00704B4F">
        <w:rPr>
          <w:rFonts w:ascii="Times New Roman" w:eastAsia="Calibri" w:hAnsi="Times New Roman" w:cs="Times New Roman"/>
          <w:sz w:val="24"/>
          <w:szCs w:val="24"/>
          <w:lang w:val="en-ZW"/>
        </w:rPr>
        <w:t xml:space="preserve">That there was no public notice of the development permit application and consultation of the relevant stakeholders. </w:t>
      </w:r>
    </w:p>
    <w:p w14:paraId="0BAD4EF0" w14:textId="77777777" w:rsidR="00704B4F" w:rsidRPr="00704B4F" w:rsidRDefault="00704B4F" w:rsidP="00FB0558">
      <w:pPr>
        <w:numPr>
          <w:ilvl w:val="0"/>
          <w:numId w:val="2"/>
        </w:numPr>
        <w:spacing w:line="480" w:lineRule="auto"/>
        <w:ind w:hanging="153"/>
        <w:contextualSpacing/>
        <w:jc w:val="both"/>
        <w:rPr>
          <w:rFonts w:ascii="Times New Roman" w:eastAsia="Calibri" w:hAnsi="Times New Roman" w:cs="Times New Roman"/>
          <w:b/>
          <w:sz w:val="24"/>
          <w:szCs w:val="24"/>
          <w:lang w:val="en-ZW"/>
        </w:rPr>
      </w:pPr>
      <w:r w:rsidRPr="00704B4F">
        <w:rPr>
          <w:rFonts w:ascii="Times New Roman" w:eastAsia="Calibri" w:hAnsi="Times New Roman" w:cs="Times New Roman"/>
          <w:sz w:val="24"/>
          <w:szCs w:val="24"/>
          <w:lang w:val="en-ZW"/>
        </w:rPr>
        <w:t>That the permit was vague because it did not clarify the description of the development making it impossible to ascertain the nature of the development proposed.</w:t>
      </w:r>
    </w:p>
    <w:p w14:paraId="12BA0816" w14:textId="77777777" w:rsidR="00704B4F" w:rsidRPr="00704B4F" w:rsidRDefault="00704B4F" w:rsidP="002076EF">
      <w:pPr>
        <w:numPr>
          <w:ilvl w:val="0"/>
          <w:numId w:val="2"/>
        </w:numPr>
        <w:spacing w:line="480" w:lineRule="auto"/>
        <w:contextualSpacing/>
        <w:jc w:val="both"/>
        <w:rPr>
          <w:rFonts w:ascii="Times New Roman" w:eastAsia="Calibri" w:hAnsi="Times New Roman" w:cs="Times New Roman"/>
          <w:b/>
          <w:sz w:val="24"/>
          <w:szCs w:val="24"/>
          <w:lang w:val="en-ZW"/>
        </w:rPr>
      </w:pPr>
      <w:r w:rsidRPr="00704B4F">
        <w:rPr>
          <w:rFonts w:ascii="Times New Roman" w:eastAsia="Calibri" w:hAnsi="Times New Roman" w:cs="Times New Roman"/>
          <w:sz w:val="24"/>
          <w:szCs w:val="24"/>
          <w:lang w:val="en-ZW"/>
        </w:rPr>
        <w:lastRenderedPageBreak/>
        <w:t>That the development violated the beneficiaries` Constitutionally protected environmental rights and:</w:t>
      </w:r>
    </w:p>
    <w:p w14:paraId="05D4DEA1" w14:textId="0465DC88" w:rsidR="00704B4F" w:rsidRPr="00760BF3" w:rsidRDefault="00704B4F" w:rsidP="002076EF">
      <w:pPr>
        <w:numPr>
          <w:ilvl w:val="0"/>
          <w:numId w:val="2"/>
        </w:numPr>
        <w:spacing w:line="480" w:lineRule="auto"/>
        <w:contextualSpacing/>
        <w:jc w:val="both"/>
        <w:rPr>
          <w:rFonts w:ascii="Times New Roman" w:eastAsia="Calibri" w:hAnsi="Times New Roman" w:cs="Times New Roman"/>
          <w:b/>
          <w:sz w:val="24"/>
          <w:szCs w:val="24"/>
          <w:lang w:val="en-ZW"/>
        </w:rPr>
      </w:pPr>
      <w:r w:rsidRPr="00704B4F">
        <w:rPr>
          <w:rFonts w:ascii="Times New Roman" w:eastAsia="Calibri" w:hAnsi="Times New Roman" w:cs="Times New Roman"/>
          <w:sz w:val="24"/>
          <w:szCs w:val="24"/>
          <w:lang w:val="en-ZW"/>
        </w:rPr>
        <w:t>That it violated the Environmental Impact Assessment Certificate issued by the Environmental Management Agency which restricted the development to 0.8169 hectares of the wetland area.</w:t>
      </w:r>
    </w:p>
    <w:p w14:paraId="52C9F112" w14:textId="77777777" w:rsidR="00760BF3" w:rsidRPr="003D0296" w:rsidRDefault="00760BF3" w:rsidP="00760BF3">
      <w:pPr>
        <w:spacing w:line="480" w:lineRule="auto"/>
        <w:ind w:left="720"/>
        <w:contextualSpacing/>
        <w:jc w:val="both"/>
        <w:rPr>
          <w:rFonts w:ascii="Times New Roman" w:eastAsia="Calibri" w:hAnsi="Times New Roman" w:cs="Times New Roman"/>
          <w:b/>
          <w:sz w:val="24"/>
          <w:szCs w:val="24"/>
          <w:lang w:val="en-ZW"/>
        </w:rPr>
      </w:pPr>
    </w:p>
    <w:p w14:paraId="4EF512FE" w14:textId="770D23E8" w:rsidR="003D0296" w:rsidRPr="0060202F" w:rsidRDefault="003D0296" w:rsidP="00460EBD">
      <w:pPr>
        <w:spacing w:line="480" w:lineRule="auto"/>
        <w:ind w:firstLine="1276"/>
        <w:contextualSpacing/>
        <w:jc w:val="both"/>
        <w:rPr>
          <w:rFonts w:ascii="Times New Roman" w:eastAsia="Calibri" w:hAnsi="Times New Roman" w:cs="Times New Roman"/>
          <w:sz w:val="24"/>
          <w:szCs w:val="24"/>
          <w:vertAlign w:val="superscript"/>
          <w:lang w:val="en-ZW"/>
        </w:rPr>
      </w:pPr>
      <w:r>
        <w:rPr>
          <w:rFonts w:ascii="Times New Roman" w:eastAsia="Calibri" w:hAnsi="Times New Roman" w:cs="Times New Roman"/>
          <w:sz w:val="24"/>
          <w:szCs w:val="24"/>
          <w:lang w:val="en-ZW"/>
        </w:rPr>
        <w:t xml:space="preserve">In opposition of the appeal, the </w:t>
      </w:r>
      <w:r w:rsidR="0060202F">
        <w:rPr>
          <w:rFonts w:ascii="Times New Roman" w:eastAsia="Calibri" w:hAnsi="Times New Roman" w:cs="Times New Roman"/>
          <w:sz w:val="24"/>
          <w:szCs w:val="24"/>
          <w:lang w:val="en-ZW"/>
        </w:rPr>
        <w:t>appellant</w:t>
      </w:r>
      <w:r>
        <w:rPr>
          <w:rFonts w:ascii="Times New Roman" w:eastAsia="Calibri" w:hAnsi="Times New Roman" w:cs="Times New Roman"/>
          <w:sz w:val="24"/>
          <w:szCs w:val="24"/>
          <w:lang w:val="en-ZW"/>
        </w:rPr>
        <w:t xml:space="preserve"> </w:t>
      </w:r>
      <w:r w:rsidR="001F612D">
        <w:rPr>
          <w:rFonts w:ascii="Times New Roman" w:eastAsia="Calibri" w:hAnsi="Times New Roman" w:cs="Times New Roman"/>
          <w:sz w:val="24"/>
          <w:szCs w:val="24"/>
          <w:lang w:val="en-ZW"/>
        </w:rPr>
        <w:t xml:space="preserve">argued that all the requisite </w:t>
      </w:r>
      <w:r w:rsidR="0063464F">
        <w:rPr>
          <w:rFonts w:ascii="Times New Roman" w:eastAsia="Calibri" w:hAnsi="Times New Roman" w:cs="Times New Roman"/>
          <w:sz w:val="24"/>
          <w:szCs w:val="24"/>
          <w:lang w:val="en-ZW"/>
        </w:rPr>
        <w:t xml:space="preserve">consultations and processes </w:t>
      </w:r>
      <w:r w:rsidR="001F612D">
        <w:rPr>
          <w:rFonts w:ascii="Times New Roman" w:eastAsia="Calibri" w:hAnsi="Times New Roman" w:cs="Times New Roman"/>
          <w:sz w:val="24"/>
          <w:szCs w:val="24"/>
          <w:lang w:val="en-ZW"/>
        </w:rPr>
        <w:t xml:space="preserve">for obtaining </w:t>
      </w:r>
      <w:r w:rsidR="0063464F">
        <w:rPr>
          <w:rFonts w:ascii="Times New Roman" w:eastAsia="Calibri" w:hAnsi="Times New Roman" w:cs="Times New Roman"/>
          <w:sz w:val="24"/>
          <w:szCs w:val="24"/>
          <w:lang w:val="en-ZW"/>
        </w:rPr>
        <w:t>the</w:t>
      </w:r>
      <w:r w:rsidR="001F612D">
        <w:rPr>
          <w:rFonts w:ascii="Times New Roman" w:eastAsia="Calibri" w:hAnsi="Times New Roman" w:cs="Times New Roman"/>
          <w:sz w:val="24"/>
          <w:szCs w:val="24"/>
          <w:lang w:val="en-ZW"/>
        </w:rPr>
        <w:t xml:space="preserve"> development permit were complied with. It contended that the development permit was therefore procured in terms of the law. </w:t>
      </w:r>
      <w:r w:rsidR="0063464F">
        <w:rPr>
          <w:rFonts w:ascii="Times New Roman" w:eastAsia="Calibri" w:hAnsi="Times New Roman" w:cs="Times New Roman"/>
          <w:sz w:val="24"/>
          <w:szCs w:val="24"/>
          <w:lang w:val="en-ZW"/>
        </w:rPr>
        <w:t xml:space="preserve">It further argued that </w:t>
      </w:r>
      <w:r w:rsidR="0060202F">
        <w:rPr>
          <w:rFonts w:ascii="Times New Roman" w:eastAsia="Calibri" w:hAnsi="Times New Roman" w:cs="Times New Roman"/>
          <w:sz w:val="24"/>
          <w:szCs w:val="24"/>
          <w:lang w:val="en-ZW"/>
        </w:rPr>
        <w:t xml:space="preserve">the site </w:t>
      </w:r>
      <w:r w:rsidR="001F612D">
        <w:rPr>
          <w:rFonts w:ascii="Times New Roman" w:eastAsia="Calibri" w:hAnsi="Times New Roman" w:cs="Times New Roman"/>
          <w:sz w:val="24"/>
          <w:szCs w:val="24"/>
          <w:lang w:val="en-ZW"/>
        </w:rPr>
        <w:t xml:space="preserve">for the intended construction </w:t>
      </w:r>
      <w:r w:rsidR="0060202F">
        <w:rPr>
          <w:rFonts w:ascii="Times New Roman" w:eastAsia="Calibri" w:hAnsi="Times New Roman" w:cs="Times New Roman"/>
          <w:sz w:val="24"/>
          <w:szCs w:val="24"/>
          <w:lang w:val="en-ZW"/>
        </w:rPr>
        <w:t xml:space="preserve">is </w:t>
      </w:r>
      <w:r w:rsidR="001F612D">
        <w:rPr>
          <w:rFonts w:ascii="Times New Roman" w:eastAsia="Calibri" w:hAnsi="Times New Roman" w:cs="Times New Roman"/>
          <w:sz w:val="24"/>
          <w:szCs w:val="24"/>
          <w:lang w:val="en-ZW"/>
        </w:rPr>
        <w:t xml:space="preserve">not ecologically sensitive and is therefore </w:t>
      </w:r>
      <w:r w:rsidR="0060202F">
        <w:rPr>
          <w:rFonts w:ascii="Times New Roman" w:eastAsia="Calibri" w:hAnsi="Times New Roman" w:cs="Times New Roman"/>
          <w:sz w:val="24"/>
          <w:szCs w:val="24"/>
          <w:lang w:val="en-ZW"/>
        </w:rPr>
        <w:t xml:space="preserve">suitable </w:t>
      </w:r>
      <w:r w:rsidR="001F612D">
        <w:rPr>
          <w:rFonts w:ascii="Times New Roman" w:eastAsia="Calibri" w:hAnsi="Times New Roman" w:cs="Times New Roman"/>
          <w:sz w:val="24"/>
          <w:szCs w:val="24"/>
          <w:lang w:val="en-ZW"/>
        </w:rPr>
        <w:t>for construction</w:t>
      </w:r>
      <w:r w:rsidR="0060202F">
        <w:rPr>
          <w:rFonts w:ascii="Times New Roman" w:eastAsia="Calibri" w:hAnsi="Times New Roman" w:cs="Times New Roman"/>
          <w:sz w:val="24"/>
          <w:szCs w:val="24"/>
          <w:lang w:val="en-ZW"/>
        </w:rPr>
        <w:t>.</w:t>
      </w:r>
    </w:p>
    <w:p w14:paraId="5B7CB895" w14:textId="77777777" w:rsidR="00005274" w:rsidRDefault="00005274" w:rsidP="002076EF">
      <w:pPr>
        <w:spacing w:line="480" w:lineRule="auto"/>
        <w:contextualSpacing/>
        <w:jc w:val="both"/>
        <w:rPr>
          <w:rFonts w:ascii="Times New Roman" w:eastAsia="Calibri" w:hAnsi="Times New Roman" w:cs="Times New Roman"/>
          <w:b/>
          <w:sz w:val="24"/>
          <w:szCs w:val="24"/>
          <w:lang w:val="en-ZW"/>
        </w:rPr>
      </w:pPr>
    </w:p>
    <w:p w14:paraId="2AE68905" w14:textId="4E2779E9" w:rsidR="002F7B8D" w:rsidRPr="002F7B8D" w:rsidRDefault="002F7B8D" w:rsidP="002076EF">
      <w:pPr>
        <w:spacing w:line="480" w:lineRule="auto"/>
        <w:contextualSpacing/>
        <w:jc w:val="both"/>
        <w:rPr>
          <w:rFonts w:ascii="Times New Roman" w:eastAsia="Calibri" w:hAnsi="Times New Roman" w:cs="Times New Roman"/>
          <w:b/>
          <w:sz w:val="24"/>
          <w:szCs w:val="24"/>
          <w:lang w:val="en-ZW"/>
        </w:rPr>
      </w:pPr>
      <w:r w:rsidRPr="002F7B8D">
        <w:rPr>
          <w:rFonts w:ascii="Times New Roman" w:eastAsia="Calibri" w:hAnsi="Times New Roman" w:cs="Times New Roman"/>
          <w:b/>
          <w:sz w:val="24"/>
          <w:szCs w:val="24"/>
          <w:lang w:val="en-ZW"/>
        </w:rPr>
        <w:t xml:space="preserve">DETERMINATION BY THE COURT </w:t>
      </w:r>
      <w:r w:rsidR="0060202F" w:rsidRPr="0060202F">
        <w:rPr>
          <w:rFonts w:ascii="Times New Roman" w:eastAsia="Calibri" w:hAnsi="Times New Roman" w:cs="Times New Roman"/>
          <w:b/>
          <w:i/>
          <w:sz w:val="24"/>
          <w:szCs w:val="24"/>
          <w:lang w:val="en-ZW"/>
        </w:rPr>
        <w:t>A QUO</w:t>
      </w:r>
    </w:p>
    <w:p w14:paraId="7B3E033E" w14:textId="77777777" w:rsidR="00005274" w:rsidRDefault="00704B4F" w:rsidP="00FB0558">
      <w:pPr>
        <w:spacing w:line="480" w:lineRule="auto"/>
        <w:ind w:firstLine="1134"/>
        <w:jc w:val="both"/>
        <w:rPr>
          <w:rFonts w:ascii="Times New Roman" w:eastAsia="Calibri" w:hAnsi="Times New Roman" w:cs="Times New Roman"/>
          <w:sz w:val="24"/>
          <w:szCs w:val="24"/>
          <w:lang w:val="en-ZW"/>
        </w:rPr>
      </w:pPr>
      <w:r w:rsidRPr="00704B4F">
        <w:rPr>
          <w:rFonts w:ascii="Times New Roman" w:eastAsia="Calibri" w:hAnsi="Times New Roman" w:cs="Times New Roman"/>
          <w:sz w:val="24"/>
          <w:szCs w:val="24"/>
          <w:lang w:val="en-ZW"/>
        </w:rPr>
        <w:t xml:space="preserve">The court </w:t>
      </w:r>
      <w:r w:rsidR="0060202F" w:rsidRPr="0060202F">
        <w:rPr>
          <w:rFonts w:ascii="Times New Roman" w:eastAsia="Calibri" w:hAnsi="Times New Roman" w:cs="Times New Roman"/>
          <w:i/>
          <w:sz w:val="24"/>
          <w:szCs w:val="24"/>
          <w:lang w:val="en-ZW"/>
        </w:rPr>
        <w:t>a quo</w:t>
      </w:r>
      <w:r w:rsidRPr="00704B4F">
        <w:rPr>
          <w:rFonts w:ascii="Times New Roman" w:eastAsia="Calibri" w:hAnsi="Times New Roman" w:cs="Times New Roman"/>
          <w:i/>
          <w:sz w:val="24"/>
          <w:szCs w:val="24"/>
          <w:lang w:val="en-ZW"/>
        </w:rPr>
        <w:t xml:space="preserve"> </w:t>
      </w:r>
      <w:r w:rsidR="00005274">
        <w:rPr>
          <w:rFonts w:ascii="Times New Roman" w:eastAsia="Calibri" w:hAnsi="Times New Roman" w:cs="Times New Roman"/>
          <w:sz w:val="24"/>
          <w:szCs w:val="24"/>
          <w:lang w:val="en-ZW"/>
        </w:rPr>
        <w:t>made the following findings:</w:t>
      </w:r>
    </w:p>
    <w:p w14:paraId="69234A1F" w14:textId="203D04D9" w:rsidR="00704B4F" w:rsidRDefault="00005274" w:rsidP="002A7D3C">
      <w:pPr>
        <w:spacing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T</w:t>
      </w:r>
      <w:r w:rsidR="00704B4F" w:rsidRPr="00704B4F">
        <w:rPr>
          <w:rFonts w:ascii="Times New Roman" w:eastAsia="Calibri" w:hAnsi="Times New Roman" w:cs="Times New Roman"/>
          <w:sz w:val="24"/>
          <w:szCs w:val="24"/>
          <w:lang w:val="en-ZW"/>
        </w:rPr>
        <w:t xml:space="preserve">he conditions spelt out in the </w:t>
      </w:r>
      <w:r>
        <w:rPr>
          <w:rFonts w:ascii="Times New Roman" w:eastAsia="Calibri" w:hAnsi="Times New Roman" w:cs="Times New Roman"/>
          <w:sz w:val="24"/>
          <w:szCs w:val="24"/>
          <w:lang w:val="en-ZW"/>
        </w:rPr>
        <w:t>development</w:t>
      </w:r>
      <w:r w:rsidR="00704B4F" w:rsidRPr="00704B4F">
        <w:rPr>
          <w:rFonts w:ascii="Times New Roman" w:eastAsia="Calibri" w:hAnsi="Times New Roman" w:cs="Times New Roman"/>
          <w:sz w:val="24"/>
          <w:szCs w:val="24"/>
          <w:lang w:val="en-ZW"/>
        </w:rPr>
        <w:t xml:space="preserve"> permit had nothing to do with the location of the proposed conference centre and they lacked specificity and precision. </w:t>
      </w:r>
      <w:r>
        <w:rPr>
          <w:rFonts w:ascii="Times New Roman" w:eastAsia="Calibri" w:hAnsi="Times New Roman" w:cs="Times New Roman"/>
          <w:sz w:val="24"/>
          <w:szCs w:val="24"/>
          <w:lang w:val="en-ZW"/>
        </w:rPr>
        <w:t xml:space="preserve">The appellant did not </w:t>
      </w:r>
      <w:proofErr w:type="gramStart"/>
      <w:r>
        <w:rPr>
          <w:rFonts w:ascii="Times New Roman" w:eastAsia="Calibri" w:hAnsi="Times New Roman" w:cs="Times New Roman"/>
          <w:sz w:val="24"/>
          <w:szCs w:val="24"/>
          <w:lang w:val="en-ZW"/>
        </w:rPr>
        <w:t>submit an</w:t>
      </w:r>
      <w:r w:rsidR="00704B4F" w:rsidRPr="00704B4F">
        <w:rPr>
          <w:rFonts w:ascii="Times New Roman" w:eastAsia="Calibri" w:hAnsi="Times New Roman" w:cs="Times New Roman"/>
          <w:sz w:val="24"/>
          <w:szCs w:val="24"/>
          <w:lang w:val="en-ZW"/>
        </w:rPr>
        <w:t xml:space="preserve"> application</w:t>
      </w:r>
      <w:proofErr w:type="gramEnd"/>
      <w:r w:rsidR="007E6616">
        <w:rPr>
          <w:rFonts w:ascii="Times New Roman" w:eastAsia="Calibri" w:hAnsi="Times New Roman" w:cs="Times New Roman"/>
          <w:sz w:val="24"/>
          <w:szCs w:val="24"/>
          <w:lang w:val="en-ZW"/>
        </w:rPr>
        <w:t xml:space="preserve"> for a development permit as pre</w:t>
      </w:r>
      <w:r w:rsidR="00704B4F" w:rsidRPr="00704B4F">
        <w:rPr>
          <w:rFonts w:ascii="Times New Roman" w:eastAsia="Calibri" w:hAnsi="Times New Roman" w:cs="Times New Roman"/>
          <w:sz w:val="24"/>
          <w:szCs w:val="24"/>
          <w:lang w:val="en-ZW"/>
        </w:rPr>
        <w:t>scribed by the Regional</w:t>
      </w:r>
      <w:r w:rsidR="00403EC3">
        <w:rPr>
          <w:rFonts w:ascii="Times New Roman" w:eastAsia="Calibri" w:hAnsi="Times New Roman" w:cs="Times New Roman"/>
          <w:sz w:val="24"/>
          <w:szCs w:val="24"/>
          <w:lang w:val="en-ZW"/>
        </w:rPr>
        <w:t>,</w:t>
      </w:r>
      <w:r w:rsidR="00704B4F" w:rsidRPr="00704B4F">
        <w:rPr>
          <w:rFonts w:ascii="Times New Roman" w:eastAsia="Calibri" w:hAnsi="Times New Roman" w:cs="Times New Roman"/>
          <w:sz w:val="24"/>
          <w:szCs w:val="24"/>
          <w:lang w:val="en-ZW"/>
        </w:rPr>
        <w:t xml:space="preserve"> Town </w:t>
      </w:r>
      <w:r w:rsidR="00510106">
        <w:rPr>
          <w:rFonts w:ascii="Times New Roman" w:eastAsia="Calibri" w:hAnsi="Times New Roman" w:cs="Times New Roman"/>
          <w:sz w:val="24"/>
          <w:szCs w:val="24"/>
          <w:lang w:val="en-ZW"/>
        </w:rPr>
        <w:t xml:space="preserve">and </w:t>
      </w:r>
      <w:r w:rsidR="00704B4F" w:rsidRPr="00704B4F">
        <w:rPr>
          <w:rFonts w:ascii="Times New Roman" w:eastAsia="Calibri" w:hAnsi="Times New Roman" w:cs="Times New Roman"/>
          <w:sz w:val="24"/>
          <w:szCs w:val="24"/>
          <w:lang w:val="en-ZW"/>
        </w:rPr>
        <w:t>Country Planning Act</w:t>
      </w:r>
      <w:r>
        <w:rPr>
          <w:rFonts w:ascii="Times New Roman" w:eastAsia="Calibri" w:hAnsi="Times New Roman" w:cs="Times New Roman"/>
          <w:sz w:val="24"/>
          <w:szCs w:val="24"/>
          <w:lang w:val="en-ZW"/>
        </w:rPr>
        <w:t xml:space="preserve">. The appellant instead applied </w:t>
      </w:r>
      <w:r w:rsidR="00704B4F" w:rsidRPr="00704B4F">
        <w:rPr>
          <w:rFonts w:ascii="Times New Roman" w:eastAsia="Calibri" w:hAnsi="Times New Roman" w:cs="Times New Roman"/>
          <w:sz w:val="24"/>
          <w:szCs w:val="24"/>
          <w:lang w:val="en-ZW"/>
        </w:rPr>
        <w:t>for permission to change the use of stand 18692.</w:t>
      </w:r>
    </w:p>
    <w:p w14:paraId="0270A9AA" w14:textId="77777777" w:rsidR="00460EBD" w:rsidRPr="00704B4F" w:rsidRDefault="00460EBD" w:rsidP="00460EBD">
      <w:pPr>
        <w:spacing w:line="240" w:lineRule="auto"/>
        <w:ind w:firstLine="360"/>
        <w:jc w:val="both"/>
        <w:rPr>
          <w:rFonts w:ascii="Times New Roman" w:eastAsia="Calibri" w:hAnsi="Times New Roman" w:cs="Times New Roman"/>
          <w:sz w:val="24"/>
          <w:szCs w:val="24"/>
          <w:lang w:val="en-ZW"/>
        </w:rPr>
      </w:pPr>
    </w:p>
    <w:p w14:paraId="1D07DD3A" w14:textId="4673CC92" w:rsidR="00005274" w:rsidRDefault="00704B4F" w:rsidP="00460EBD">
      <w:pPr>
        <w:spacing w:line="480" w:lineRule="auto"/>
        <w:ind w:firstLine="1134"/>
        <w:jc w:val="both"/>
        <w:rPr>
          <w:rFonts w:ascii="Times New Roman" w:eastAsia="Calibri" w:hAnsi="Times New Roman" w:cs="Times New Roman"/>
          <w:sz w:val="24"/>
          <w:szCs w:val="24"/>
          <w:lang w:val="en-ZW"/>
        </w:rPr>
      </w:pPr>
      <w:r w:rsidRPr="00704B4F">
        <w:rPr>
          <w:rFonts w:ascii="Times New Roman" w:eastAsia="Calibri" w:hAnsi="Times New Roman" w:cs="Times New Roman"/>
          <w:sz w:val="24"/>
          <w:szCs w:val="24"/>
          <w:lang w:val="en-ZW"/>
        </w:rPr>
        <w:t xml:space="preserve">The appellant did not give public notice of the application for a development permit or serve </w:t>
      </w:r>
      <w:r w:rsidR="00005274">
        <w:rPr>
          <w:rFonts w:ascii="Times New Roman" w:eastAsia="Calibri" w:hAnsi="Times New Roman" w:cs="Times New Roman"/>
          <w:sz w:val="24"/>
          <w:szCs w:val="24"/>
          <w:lang w:val="en-ZW"/>
        </w:rPr>
        <w:t>any</w:t>
      </w:r>
      <w:r w:rsidRPr="00704B4F">
        <w:rPr>
          <w:rFonts w:ascii="Times New Roman" w:eastAsia="Calibri" w:hAnsi="Times New Roman" w:cs="Times New Roman"/>
          <w:sz w:val="24"/>
          <w:szCs w:val="24"/>
          <w:lang w:val="en-ZW"/>
        </w:rPr>
        <w:t xml:space="preserve"> </w:t>
      </w:r>
      <w:r w:rsidR="00005274">
        <w:rPr>
          <w:rFonts w:ascii="Times New Roman" w:eastAsia="Calibri" w:hAnsi="Times New Roman" w:cs="Times New Roman"/>
          <w:sz w:val="24"/>
          <w:szCs w:val="24"/>
          <w:lang w:val="en-ZW"/>
        </w:rPr>
        <w:t>such notice on</w:t>
      </w:r>
      <w:r w:rsidRPr="00704B4F">
        <w:rPr>
          <w:rFonts w:ascii="Times New Roman" w:eastAsia="Calibri" w:hAnsi="Times New Roman" w:cs="Times New Roman"/>
          <w:sz w:val="24"/>
          <w:szCs w:val="24"/>
          <w:lang w:val="en-ZW"/>
        </w:rPr>
        <w:t xml:space="preserve"> every owner of the property adjacent to stand 18692</w:t>
      </w:r>
      <w:r w:rsidR="00005274">
        <w:rPr>
          <w:rFonts w:ascii="Times New Roman" w:eastAsia="Calibri" w:hAnsi="Times New Roman" w:cs="Times New Roman"/>
          <w:sz w:val="24"/>
          <w:szCs w:val="24"/>
          <w:lang w:val="en-ZW"/>
        </w:rPr>
        <w:t xml:space="preserve"> as is required in the Regional</w:t>
      </w:r>
      <w:r w:rsidR="00403EC3">
        <w:rPr>
          <w:rFonts w:ascii="Times New Roman" w:eastAsia="Calibri" w:hAnsi="Times New Roman" w:cs="Times New Roman"/>
          <w:sz w:val="24"/>
          <w:szCs w:val="24"/>
          <w:lang w:val="en-ZW"/>
        </w:rPr>
        <w:t>,</w:t>
      </w:r>
      <w:r w:rsidR="00005274">
        <w:rPr>
          <w:rFonts w:ascii="Times New Roman" w:eastAsia="Calibri" w:hAnsi="Times New Roman" w:cs="Times New Roman"/>
          <w:sz w:val="24"/>
          <w:szCs w:val="24"/>
          <w:lang w:val="en-ZW"/>
        </w:rPr>
        <w:t xml:space="preserve"> Town and Country Planning Act. </w:t>
      </w:r>
      <w:r w:rsidRPr="00704B4F">
        <w:rPr>
          <w:rFonts w:ascii="Times New Roman" w:eastAsia="Calibri" w:hAnsi="Times New Roman" w:cs="Times New Roman"/>
          <w:sz w:val="24"/>
          <w:szCs w:val="24"/>
          <w:lang w:val="en-ZW"/>
        </w:rPr>
        <w:t xml:space="preserve"> </w:t>
      </w:r>
      <w:r w:rsidR="00005274">
        <w:rPr>
          <w:rFonts w:ascii="Times New Roman" w:eastAsia="Calibri" w:hAnsi="Times New Roman" w:cs="Times New Roman"/>
          <w:sz w:val="24"/>
          <w:szCs w:val="24"/>
          <w:lang w:val="en-ZW"/>
        </w:rPr>
        <w:t>T</w:t>
      </w:r>
      <w:r w:rsidRPr="00704B4F">
        <w:rPr>
          <w:rFonts w:ascii="Times New Roman" w:eastAsia="Calibri" w:hAnsi="Times New Roman" w:cs="Times New Roman"/>
          <w:sz w:val="24"/>
          <w:szCs w:val="24"/>
          <w:lang w:val="en-ZW"/>
        </w:rPr>
        <w:t xml:space="preserve">he development permit issued to the appellant contradicted the environmental impact assessment certificate which preceded and authorised the issuance of the purported development permit. </w:t>
      </w:r>
      <w:r w:rsidR="00005274">
        <w:rPr>
          <w:rFonts w:ascii="Times New Roman" w:eastAsia="Calibri" w:hAnsi="Times New Roman" w:cs="Times New Roman"/>
          <w:sz w:val="24"/>
          <w:szCs w:val="24"/>
          <w:lang w:val="en-ZW"/>
        </w:rPr>
        <w:t>T</w:t>
      </w:r>
      <w:r w:rsidRPr="00704B4F">
        <w:rPr>
          <w:rFonts w:ascii="Times New Roman" w:eastAsia="Calibri" w:hAnsi="Times New Roman" w:cs="Times New Roman"/>
          <w:sz w:val="24"/>
          <w:szCs w:val="24"/>
          <w:lang w:val="en-ZW"/>
        </w:rPr>
        <w:t xml:space="preserve">he </w:t>
      </w:r>
      <w:r w:rsidR="00132DDC">
        <w:rPr>
          <w:rFonts w:ascii="Times New Roman" w:eastAsia="Calibri" w:hAnsi="Times New Roman" w:cs="Times New Roman"/>
          <w:sz w:val="24"/>
          <w:szCs w:val="24"/>
          <w:lang w:val="en-ZW"/>
        </w:rPr>
        <w:t xml:space="preserve">development </w:t>
      </w:r>
      <w:proofErr w:type="gramStart"/>
      <w:r w:rsidRPr="00704B4F">
        <w:rPr>
          <w:rFonts w:ascii="Times New Roman" w:eastAsia="Calibri" w:hAnsi="Times New Roman" w:cs="Times New Roman"/>
          <w:sz w:val="24"/>
          <w:szCs w:val="24"/>
          <w:lang w:val="en-ZW"/>
        </w:rPr>
        <w:t>permit</w:t>
      </w:r>
      <w:proofErr w:type="gramEnd"/>
      <w:r w:rsidRPr="00704B4F">
        <w:rPr>
          <w:rFonts w:ascii="Times New Roman" w:eastAsia="Calibri" w:hAnsi="Times New Roman" w:cs="Times New Roman"/>
          <w:sz w:val="24"/>
          <w:szCs w:val="24"/>
          <w:lang w:val="en-ZW"/>
        </w:rPr>
        <w:t xml:space="preserve"> authorised erection of the </w:t>
      </w:r>
      <w:r w:rsidRPr="00704B4F">
        <w:rPr>
          <w:rFonts w:ascii="Times New Roman" w:eastAsia="Calibri" w:hAnsi="Times New Roman" w:cs="Times New Roman"/>
          <w:sz w:val="24"/>
          <w:szCs w:val="24"/>
          <w:lang w:val="en-ZW"/>
        </w:rPr>
        <w:lastRenderedPageBreak/>
        <w:t>buildings on 4.633-hectare</w:t>
      </w:r>
      <w:r w:rsidR="004E1AFD">
        <w:rPr>
          <w:rFonts w:ascii="Times New Roman" w:eastAsia="Calibri" w:hAnsi="Times New Roman" w:cs="Times New Roman"/>
          <w:sz w:val="24"/>
          <w:szCs w:val="24"/>
          <w:lang w:val="en-ZW"/>
        </w:rPr>
        <w:t>s</w:t>
      </w:r>
      <w:r w:rsidRPr="00704B4F">
        <w:rPr>
          <w:rFonts w:ascii="Times New Roman" w:eastAsia="Calibri" w:hAnsi="Times New Roman" w:cs="Times New Roman"/>
          <w:sz w:val="24"/>
          <w:szCs w:val="24"/>
          <w:lang w:val="en-ZW"/>
        </w:rPr>
        <w:t xml:space="preserve"> whereas the environmental impact assessment certificate permitted development on only 0.8169 hectares of the property.</w:t>
      </w:r>
      <w:r w:rsidR="007E6616" w:rsidRPr="00704B4F">
        <w:rPr>
          <w:rFonts w:ascii="Times New Roman" w:eastAsia="Calibri" w:hAnsi="Times New Roman" w:cs="Times New Roman"/>
          <w:sz w:val="24"/>
          <w:szCs w:val="24"/>
          <w:lang w:val="en-ZW"/>
        </w:rPr>
        <w:t xml:space="preserve"> </w:t>
      </w:r>
    </w:p>
    <w:p w14:paraId="3BB71D7B" w14:textId="77777777" w:rsidR="00E93711" w:rsidRDefault="00E93711" w:rsidP="002B678B">
      <w:pPr>
        <w:spacing w:line="276" w:lineRule="auto"/>
        <w:ind w:firstLine="1134"/>
        <w:jc w:val="both"/>
        <w:rPr>
          <w:rFonts w:ascii="Times New Roman" w:eastAsia="Calibri" w:hAnsi="Times New Roman" w:cs="Times New Roman"/>
          <w:sz w:val="24"/>
          <w:szCs w:val="24"/>
          <w:lang w:val="en-ZW"/>
        </w:rPr>
      </w:pPr>
    </w:p>
    <w:p w14:paraId="09DF8824" w14:textId="5B822B8C" w:rsidR="00704B4F" w:rsidRDefault="00132DDC" w:rsidP="00E93711">
      <w:pPr>
        <w:spacing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The </w:t>
      </w:r>
      <w:r w:rsidR="00704B4F" w:rsidRPr="00704B4F">
        <w:rPr>
          <w:rFonts w:ascii="Times New Roman" w:eastAsia="Calibri" w:hAnsi="Times New Roman" w:cs="Times New Roman"/>
          <w:sz w:val="24"/>
          <w:szCs w:val="24"/>
          <w:lang w:val="en-ZW"/>
        </w:rPr>
        <w:t xml:space="preserve">court </w:t>
      </w:r>
      <w:r w:rsidR="0060202F" w:rsidRPr="0060202F">
        <w:rPr>
          <w:rFonts w:ascii="Times New Roman" w:eastAsia="Calibri" w:hAnsi="Times New Roman" w:cs="Times New Roman"/>
          <w:i/>
          <w:sz w:val="24"/>
          <w:szCs w:val="24"/>
          <w:lang w:val="en-ZW"/>
        </w:rPr>
        <w:t>a quo</w:t>
      </w:r>
      <w:r w:rsidR="00704B4F" w:rsidRPr="00704B4F">
        <w:rPr>
          <w:rFonts w:ascii="Times New Roman" w:eastAsia="Calibri" w:hAnsi="Times New Roman" w:cs="Times New Roman"/>
          <w:i/>
          <w:sz w:val="24"/>
          <w:szCs w:val="24"/>
          <w:lang w:val="en-ZW"/>
        </w:rPr>
        <w:t xml:space="preserve"> </w:t>
      </w:r>
      <w:r>
        <w:rPr>
          <w:rFonts w:ascii="Times New Roman" w:eastAsia="Calibri" w:hAnsi="Times New Roman" w:cs="Times New Roman"/>
          <w:sz w:val="24"/>
          <w:szCs w:val="24"/>
          <w:lang w:val="en-ZW"/>
        </w:rPr>
        <w:t>consequently u</w:t>
      </w:r>
      <w:r w:rsidR="00704B4F" w:rsidRPr="00704B4F">
        <w:rPr>
          <w:rFonts w:ascii="Times New Roman" w:eastAsia="Calibri" w:hAnsi="Times New Roman" w:cs="Times New Roman"/>
          <w:sz w:val="24"/>
          <w:szCs w:val="24"/>
          <w:lang w:val="en-ZW"/>
        </w:rPr>
        <w:t xml:space="preserve">pheld the </w:t>
      </w:r>
      <w:r>
        <w:rPr>
          <w:rFonts w:ascii="Times New Roman" w:eastAsia="Calibri" w:hAnsi="Times New Roman" w:cs="Times New Roman"/>
          <w:sz w:val="24"/>
          <w:szCs w:val="24"/>
          <w:lang w:val="en-ZW"/>
        </w:rPr>
        <w:t>first</w:t>
      </w:r>
      <w:r w:rsidR="00704B4F" w:rsidRPr="00704B4F">
        <w:rPr>
          <w:rFonts w:ascii="Times New Roman" w:eastAsia="Calibri" w:hAnsi="Times New Roman" w:cs="Times New Roman"/>
          <w:sz w:val="24"/>
          <w:szCs w:val="24"/>
          <w:lang w:val="en-ZW"/>
        </w:rPr>
        <w:t xml:space="preserve"> respondent`s appeal.</w:t>
      </w:r>
    </w:p>
    <w:p w14:paraId="085461ED" w14:textId="77777777" w:rsidR="002B678B" w:rsidRPr="00704B4F" w:rsidRDefault="002B678B" w:rsidP="002B678B">
      <w:pPr>
        <w:spacing w:line="360" w:lineRule="auto"/>
        <w:ind w:firstLine="1134"/>
        <w:jc w:val="both"/>
        <w:rPr>
          <w:rFonts w:ascii="Times New Roman" w:eastAsia="Calibri" w:hAnsi="Times New Roman" w:cs="Times New Roman"/>
          <w:sz w:val="24"/>
          <w:szCs w:val="24"/>
          <w:lang w:val="en-ZW"/>
        </w:rPr>
      </w:pPr>
    </w:p>
    <w:p w14:paraId="5F7690BD" w14:textId="77777777" w:rsidR="00637586" w:rsidRPr="00637586" w:rsidRDefault="00704B4F" w:rsidP="00E93711">
      <w:pPr>
        <w:spacing w:line="480" w:lineRule="auto"/>
        <w:ind w:firstLine="1134"/>
        <w:jc w:val="both"/>
        <w:rPr>
          <w:rFonts w:ascii="Times New Roman" w:eastAsia="Calibri" w:hAnsi="Times New Roman" w:cs="Times New Roman"/>
          <w:sz w:val="24"/>
          <w:szCs w:val="24"/>
          <w:lang w:val="en-ZW"/>
        </w:rPr>
      </w:pPr>
      <w:r w:rsidRPr="00704B4F">
        <w:rPr>
          <w:rFonts w:ascii="Times New Roman" w:eastAsia="Calibri" w:hAnsi="Times New Roman" w:cs="Times New Roman"/>
          <w:sz w:val="24"/>
          <w:szCs w:val="24"/>
          <w:lang w:val="en-ZW"/>
        </w:rPr>
        <w:t>Aggrieved by that decision</w:t>
      </w:r>
      <w:r w:rsidRPr="00704B4F">
        <w:rPr>
          <w:rFonts w:ascii="Times New Roman" w:eastAsia="Calibri" w:hAnsi="Times New Roman" w:cs="Times New Roman"/>
          <w:i/>
          <w:sz w:val="24"/>
          <w:szCs w:val="24"/>
          <w:lang w:val="en-ZW"/>
        </w:rPr>
        <w:t xml:space="preserve">, </w:t>
      </w:r>
      <w:r w:rsidRPr="00704B4F">
        <w:rPr>
          <w:rFonts w:ascii="Times New Roman" w:eastAsia="Calibri" w:hAnsi="Times New Roman" w:cs="Times New Roman"/>
          <w:sz w:val="24"/>
          <w:szCs w:val="24"/>
          <w:lang w:val="en-ZW"/>
        </w:rPr>
        <w:t>the appellant noted the present appeal on the following grounds:</w:t>
      </w:r>
    </w:p>
    <w:p w14:paraId="629B7D52" w14:textId="77777777" w:rsidR="00704B4F" w:rsidRPr="00704B4F" w:rsidRDefault="00704B4F" w:rsidP="002076EF">
      <w:pPr>
        <w:spacing w:line="480" w:lineRule="auto"/>
        <w:jc w:val="both"/>
        <w:rPr>
          <w:rFonts w:ascii="Times New Roman" w:eastAsia="Calibri" w:hAnsi="Times New Roman" w:cs="Times New Roman"/>
          <w:b/>
          <w:sz w:val="24"/>
          <w:szCs w:val="24"/>
          <w:lang w:val="en-ZW"/>
        </w:rPr>
      </w:pPr>
      <w:r w:rsidRPr="00704B4F">
        <w:rPr>
          <w:rFonts w:ascii="Times New Roman" w:eastAsia="Calibri" w:hAnsi="Times New Roman" w:cs="Times New Roman"/>
          <w:b/>
          <w:sz w:val="24"/>
          <w:szCs w:val="24"/>
          <w:lang w:val="en-ZW"/>
        </w:rPr>
        <w:t>GROUNDS OF APPEAL</w:t>
      </w:r>
    </w:p>
    <w:p w14:paraId="0223AAC1" w14:textId="77777777" w:rsidR="00704B4F" w:rsidRPr="00704B4F" w:rsidRDefault="00704B4F" w:rsidP="002076EF">
      <w:pPr>
        <w:numPr>
          <w:ilvl w:val="0"/>
          <w:numId w:val="1"/>
        </w:numPr>
        <w:spacing w:line="480" w:lineRule="auto"/>
        <w:contextualSpacing/>
        <w:jc w:val="both"/>
        <w:rPr>
          <w:rFonts w:ascii="Times New Roman" w:eastAsia="Calibri" w:hAnsi="Times New Roman" w:cs="Times New Roman"/>
          <w:b/>
          <w:sz w:val="24"/>
          <w:szCs w:val="24"/>
          <w:lang w:val="en-ZW"/>
        </w:rPr>
      </w:pPr>
      <w:r w:rsidRPr="00704B4F">
        <w:rPr>
          <w:rFonts w:ascii="Times New Roman" w:eastAsia="Calibri" w:hAnsi="Times New Roman" w:cs="Times New Roman"/>
          <w:sz w:val="24"/>
          <w:szCs w:val="24"/>
          <w:lang w:val="en-ZW"/>
        </w:rPr>
        <w:t xml:space="preserve">The learned judge in the court </w:t>
      </w:r>
      <w:r w:rsidR="0060202F" w:rsidRPr="0060202F">
        <w:rPr>
          <w:rFonts w:ascii="Times New Roman" w:eastAsia="Calibri" w:hAnsi="Times New Roman" w:cs="Times New Roman"/>
          <w:i/>
          <w:sz w:val="24"/>
          <w:szCs w:val="24"/>
          <w:lang w:val="en-ZW"/>
        </w:rPr>
        <w:t>a quo</w:t>
      </w:r>
      <w:r w:rsidRPr="00704B4F">
        <w:rPr>
          <w:rFonts w:ascii="Times New Roman" w:eastAsia="Calibri" w:hAnsi="Times New Roman" w:cs="Times New Roman"/>
          <w:i/>
          <w:sz w:val="24"/>
          <w:szCs w:val="24"/>
          <w:lang w:val="en-ZW"/>
        </w:rPr>
        <w:t xml:space="preserve"> </w:t>
      </w:r>
      <w:r w:rsidRPr="00704B4F">
        <w:rPr>
          <w:rFonts w:ascii="Times New Roman" w:eastAsia="Calibri" w:hAnsi="Times New Roman" w:cs="Times New Roman"/>
          <w:sz w:val="24"/>
          <w:szCs w:val="24"/>
          <w:lang w:val="en-ZW"/>
        </w:rPr>
        <w:t>erred in finding that there was no application for a development permit.</w:t>
      </w:r>
    </w:p>
    <w:p w14:paraId="2D5A5A2C" w14:textId="54D08410" w:rsidR="00704B4F" w:rsidRPr="00704B4F" w:rsidRDefault="00704B4F" w:rsidP="002076EF">
      <w:pPr>
        <w:numPr>
          <w:ilvl w:val="0"/>
          <w:numId w:val="1"/>
        </w:numPr>
        <w:spacing w:line="480" w:lineRule="auto"/>
        <w:contextualSpacing/>
        <w:jc w:val="both"/>
        <w:rPr>
          <w:rFonts w:ascii="Times New Roman" w:eastAsia="Calibri" w:hAnsi="Times New Roman" w:cs="Times New Roman"/>
          <w:b/>
          <w:sz w:val="24"/>
          <w:szCs w:val="24"/>
          <w:lang w:val="en-ZW"/>
        </w:rPr>
      </w:pPr>
      <w:r w:rsidRPr="00704B4F">
        <w:rPr>
          <w:rFonts w:ascii="Times New Roman" w:eastAsia="Calibri" w:hAnsi="Times New Roman" w:cs="Times New Roman"/>
          <w:sz w:val="24"/>
          <w:szCs w:val="24"/>
          <w:lang w:val="en-ZW"/>
        </w:rPr>
        <w:t xml:space="preserve">The learned judge in the court </w:t>
      </w:r>
      <w:r w:rsidR="0060202F" w:rsidRPr="0060202F">
        <w:rPr>
          <w:rFonts w:ascii="Times New Roman" w:eastAsia="Calibri" w:hAnsi="Times New Roman" w:cs="Times New Roman"/>
          <w:i/>
          <w:sz w:val="24"/>
          <w:szCs w:val="24"/>
          <w:lang w:val="en-ZW"/>
        </w:rPr>
        <w:t>a quo</w:t>
      </w:r>
      <w:r w:rsidRPr="00704B4F">
        <w:rPr>
          <w:rFonts w:ascii="Times New Roman" w:eastAsia="Calibri" w:hAnsi="Times New Roman" w:cs="Times New Roman"/>
          <w:i/>
          <w:sz w:val="24"/>
          <w:szCs w:val="24"/>
          <w:lang w:val="en-ZW"/>
        </w:rPr>
        <w:t xml:space="preserve"> </w:t>
      </w:r>
      <w:r w:rsidRPr="00704B4F">
        <w:rPr>
          <w:rFonts w:ascii="Times New Roman" w:eastAsia="Calibri" w:hAnsi="Times New Roman" w:cs="Times New Roman"/>
          <w:sz w:val="24"/>
          <w:szCs w:val="24"/>
          <w:lang w:val="en-ZW"/>
        </w:rPr>
        <w:t xml:space="preserve">erred in not </w:t>
      </w:r>
      <w:proofErr w:type="gramStart"/>
      <w:r w:rsidRPr="00704B4F">
        <w:rPr>
          <w:rFonts w:ascii="Times New Roman" w:eastAsia="Calibri" w:hAnsi="Times New Roman" w:cs="Times New Roman"/>
          <w:sz w:val="24"/>
          <w:szCs w:val="24"/>
          <w:lang w:val="en-ZW"/>
        </w:rPr>
        <w:t>taking into account</w:t>
      </w:r>
      <w:proofErr w:type="gramEnd"/>
      <w:r w:rsidRPr="00704B4F">
        <w:rPr>
          <w:rFonts w:ascii="Times New Roman" w:eastAsia="Calibri" w:hAnsi="Times New Roman" w:cs="Times New Roman"/>
          <w:sz w:val="24"/>
          <w:szCs w:val="24"/>
          <w:lang w:val="en-ZW"/>
        </w:rPr>
        <w:t xml:space="preserve"> that the development permit would necessarily have to be read with the plans and drawings and would be subject to conditions imposed for the purposes of development.</w:t>
      </w:r>
    </w:p>
    <w:p w14:paraId="7E421C54" w14:textId="72D55948" w:rsidR="00704B4F" w:rsidRPr="00704B4F" w:rsidRDefault="00704B4F" w:rsidP="002076EF">
      <w:pPr>
        <w:numPr>
          <w:ilvl w:val="0"/>
          <w:numId w:val="1"/>
        </w:numPr>
        <w:spacing w:line="480" w:lineRule="auto"/>
        <w:contextualSpacing/>
        <w:jc w:val="both"/>
        <w:rPr>
          <w:rFonts w:ascii="Times New Roman" w:eastAsia="Calibri" w:hAnsi="Times New Roman" w:cs="Times New Roman"/>
          <w:b/>
          <w:sz w:val="24"/>
          <w:szCs w:val="24"/>
          <w:lang w:val="en-ZW"/>
        </w:rPr>
      </w:pPr>
      <w:r w:rsidRPr="00704B4F">
        <w:rPr>
          <w:rFonts w:ascii="Times New Roman" w:eastAsia="Calibri" w:hAnsi="Times New Roman" w:cs="Times New Roman"/>
          <w:sz w:val="24"/>
          <w:szCs w:val="24"/>
          <w:lang w:val="en-ZW"/>
        </w:rPr>
        <w:t xml:space="preserve">The learned judge in the court </w:t>
      </w:r>
      <w:r w:rsidR="0060202F" w:rsidRPr="0060202F">
        <w:rPr>
          <w:rFonts w:ascii="Times New Roman" w:eastAsia="Calibri" w:hAnsi="Times New Roman" w:cs="Times New Roman"/>
          <w:i/>
          <w:sz w:val="24"/>
          <w:szCs w:val="24"/>
          <w:lang w:val="en-ZW"/>
        </w:rPr>
        <w:t>a quo</w:t>
      </w:r>
      <w:r w:rsidRPr="00704B4F">
        <w:rPr>
          <w:rFonts w:ascii="Times New Roman" w:eastAsia="Calibri" w:hAnsi="Times New Roman" w:cs="Times New Roman"/>
          <w:i/>
          <w:sz w:val="24"/>
          <w:szCs w:val="24"/>
          <w:lang w:val="en-ZW"/>
        </w:rPr>
        <w:t xml:space="preserve"> </w:t>
      </w:r>
      <w:r w:rsidRPr="00704B4F">
        <w:rPr>
          <w:rFonts w:ascii="Times New Roman" w:eastAsia="Calibri" w:hAnsi="Times New Roman" w:cs="Times New Roman"/>
          <w:sz w:val="24"/>
          <w:szCs w:val="24"/>
          <w:lang w:val="en-ZW"/>
        </w:rPr>
        <w:t>erred in law in finding that section 26 (3) of the Regional, Town and Country Planning Act [</w:t>
      </w:r>
      <w:r w:rsidRPr="00704B4F">
        <w:rPr>
          <w:rFonts w:ascii="Times New Roman" w:eastAsia="Calibri" w:hAnsi="Times New Roman" w:cs="Times New Roman"/>
          <w:i/>
          <w:sz w:val="24"/>
          <w:szCs w:val="24"/>
          <w:lang w:val="en-ZW"/>
        </w:rPr>
        <w:t>Chapter 29:12</w:t>
      </w:r>
      <w:r w:rsidRPr="00704B4F">
        <w:rPr>
          <w:rFonts w:ascii="Times New Roman" w:eastAsia="Calibri" w:hAnsi="Times New Roman" w:cs="Times New Roman"/>
          <w:sz w:val="24"/>
          <w:szCs w:val="24"/>
          <w:lang w:val="en-ZW"/>
        </w:rPr>
        <w:t xml:space="preserve">] was applicable and erred in finding that it was a requirement to give public notice </w:t>
      </w:r>
      <w:r w:rsidR="004E1AFD">
        <w:rPr>
          <w:rFonts w:ascii="Times New Roman" w:eastAsia="Calibri" w:hAnsi="Times New Roman" w:cs="Times New Roman"/>
          <w:sz w:val="24"/>
          <w:szCs w:val="24"/>
          <w:lang w:val="en-ZW"/>
        </w:rPr>
        <w:t>of</w:t>
      </w:r>
      <w:r w:rsidRPr="00704B4F">
        <w:rPr>
          <w:rFonts w:ascii="Times New Roman" w:eastAsia="Calibri" w:hAnsi="Times New Roman" w:cs="Times New Roman"/>
          <w:sz w:val="24"/>
          <w:szCs w:val="24"/>
          <w:lang w:val="en-ZW"/>
        </w:rPr>
        <w:t xml:space="preserve"> an application for a development permit.</w:t>
      </w:r>
    </w:p>
    <w:p w14:paraId="4945CB42" w14:textId="1E268D2D" w:rsidR="00704B4F" w:rsidRPr="00704B4F" w:rsidRDefault="00704B4F" w:rsidP="002076EF">
      <w:pPr>
        <w:numPr>
          <w:ilvl w:val="0"/>
          <w:numId w:val="1"/>
        </w:numPr>
        <w:spacing w:line="480" w:lineRule="auto"/>
        <w:contextualSpacing/>
        <w:jc w:val="both"/>
        <w:rPr>
          <w:rFonts w:ascii="Times New Roman" w:eastAsia="Calibri" w:hAnsi="Times New Roman" w:cs="Times New Roman"/>
          <w:b/>
          <w:sz w:val="24"/>
          <w:szCs w:val="24"/>
          <w:lang w:val="en-ZW"/>
        </w:rPr>
      </w:pPr>
      <w:r w:rsidRPr="00704B4F">
        <w:rPr>
          <w:rFonts w:ascii="Times New Roman" w:eastAsia="Calibri" w:hAnsi="Times New Roman" w:cs="Times New Roman"/>
          <w:sz w:val="24"/>
          <w:szCs w:val="24"/>
          <w:lang w:val="en-ZW"/>
        </w:rPr>
        <w:t xml:space="preserve">The learned judge in the court </w:t>
      </w:r>
      <w:r w:rsidR="0060202F" w:rsidRPr="0060202F">
        <w:rPr>
          <w:rFonts w:ascii="Times New Roman" w:eastAsia="Calibri" w:hAnsi="Times New Roman" w:cs="Times New Roman"/>
          <w:i/>
          <w:sz w:val="24"/>
          <w:szCs w:val="24"/>
          <w:lang w:val="en-ZW"/>
        </w:rPr>
        <w:t>a quo</w:t>
      </w:r>
      <w:r w:rsidRPr="00704B4F">
        <w:rPr>
          <w:rFonts w:ascii="Times New Roman" w:eastAsia="Calibri" w:hAnsi="Times New Roman" w:cs="Times New Roman"/>
          <w:i/>
          <w:sz w:val="24"/>
          <w:szCs w:val="24"/>
          <w:lang w:val="en-ZW"/>
        </w:rPr>
        <w:t xml:space="preserve"> </w:t>
      </w:r>
      <w:r w:rsidRPr="00704B4F">
        <w:rPr>
          <w:rFonts w:ascii="Times New Roman" w:eastAsia="Calibri" w:hAnsi="Times New Roman" w:cs="Times New Roman"/>
          <w:sz w:val="24"/>
          <w:szCs w:val="24"/>
          <w:lang w:val="en-ZW"/>
        </w:rPr>
        <w:t>erred in finding that the development permit contradicted the environmental impact assessment certificate and failed to place any emphasis or sufficient emphasis on the fact that the plans and drawings had been submitted.</w:t>
      </w:r>
    </w:p>
    <w:p w14:paraId="15938FDA" w14:textId="77777777" w:rsidR="00704B4F" w:rsidRPr="007E6616" w:rsidRDefault="00704B4F" w:rsidP="002076EF">
      <w:pPr>
        <w:numPr>
          <w:ilvl w:val="0"/>
          <w:numId w:val="1"/>
        </w:numPr>
        <w:spacing w:line="480" w:lineRule="auto"/>
        <w:contextualSpacing/>
        <w:jc w:val="both"/>
        <w:rPr>
          <w:rFonts w:ascii="Times New Roman" w:eastAsia="Calibri" w:hAnsi="Times New Roman" w:cs="Times New Roman"/>
          <w:b/>
          <w:sz w:val="24"/>
          <w:szCs w:val="24"/>
          <w:lang w:val="en-ZW"/>
        </w:rPr>
      </w:pPr>
      <w:r w:rsidRPr="00704B4F">
        <w:rPr>
          <w:rFonts w:ascii="Times New Roman" w:eastAsia="Calibri" w:hAnsi="Times New Roman" w:cs="Times New Roman"/>
          <w:sz w:val="24"/>
          <w:szCs w:val="24"/>
          <w:lang w:val="en-ZW"/>
        </w:rPr>
        <w:t xml:space="preserve">The learned judge in the court </w:t>
      </w:r>
      <w:r w:rsidR="0060202F" w:rsidRPr="0060202F">
        <w:rPr>
          <w:rFonts w:ascii="Times New Roman" w:eastAsia="Calibri" w:hAnsi="Times New Roman" w:cs="Times New Roman"/>
          <w:i/>
          <w:sz w:val="24"/>
          <w:szCs w:val="24"/>
          <w:lang w:val="en-ZW"/>
        </w:rPr>
        <w:t>a quo</w:t>
      </w:r>
      <w:r w:rsidRPr="00704B4F">
        <w:rPr>
          <w:rFonts w:ascii="Times New Roman" w:eastAsia="Calibri" w:hAnsi="Times New Roman" w:cs="Times New Roman"/>
          <w:i/>
          <w:sz w:val="24"/>
          <w:szCs w:val="24"/>
          <w:lang w:val="en-ZW"/>
        </w:rPr>
        <w:t xml:space="preserve"> </w:t>
      </w:r>
      <w:r w:rsidRPr="00704B4F">
        <w:rPr>
          <w:rFonts w:ascii="Times New Roman" w:eastAsia="Calibri" w:hAnsi="Times New Roman" w:cs="Times New Roman"/>
          <w:sz w:val="24"/>
          <w:szCs w:val="24"/>
          <w:lang w:val="en-ZW"/>
        </w:rPr>
        <w:t>erred in finding that the fact that there was no acknowledgement of the application was fatal to the grant of the permit.</w:t>
      </w:r>
    </w:p>
    <w:p w14:paraId="59024EBF" w14:textId="77777777" w:rsidR="007E6616" w:rsidRPr="00704B4F" w:rsidRDefault="007E6616" w:rsidP="00BA3026">
      <w:pPr>
        <w:spacing w:line="480" w:lineRule="auto"/>
        <w:ind w:left="360"/>
        <w:contextualSpacing/>
        <w:jc w:val="both"/>
        <w:rPr>
          <w:rFonts w:ascii="Times New Roman" w:eastAsia="Calibri" w:hAnsi="Times New Roman" w:cs="Times New Roman"/>
          <w:b/>
          <w:sz w:val="24"/>
          <w:szCs w:val="24"/>
          <w:lang w:val="en-ZW"/>
        </w:rPr>
      </w:pPr>
    </w:p>
    <w:p w14:paraId="4893EA33" w14:textId="1187859E" w:rsidR="00704B4F" w:rsidRDefault="007E6616" w:rsidP="002076EF">
      <w:pPr>
        <w:spacing w:line="480" w:lineRule="auto"/>
        <w:jc w:val="both"/>
        <w:rPr>
          <w:rFonts w:ascii="Times New Roman" w:eastAsia="Calibri" w:hAnsi="Times New Roman" w:cs="Times New Roman"/>
          <w:b/>
          <w:sz w:val="24"/>
          <w:szCs w:val="24"/>
          <w:lang w:val="en-ZW"/>
        </w:rPr>
      </w:pPr>
      <w:r w:rsidRPr="00FF7A37">
        <w:rPr>
          <w:rFonts w:ascii="Times New Roman" w:eastAsia="Calibri" w:hAnsi="Times New Roman" w:cs="Times New Roman"/>
          <w:b/>
          <w:sz w:val="24"/>
          <w:szCs w:val="24"/>
          <w:lang w:val="en-ZW"/>
        </w:rPr>
        <w:t>PROCEEDINGS BEFORE THIS COURT</w:t>
      </w:r>
    </w:p>
    <w:p w14:paraId="6935106F" w14:textId="77777777" w:rsidR="00F121CA" w:rsidRDefault="00F121CA" w:rsidP="00F121CA">
      <w:pPr>
        <w:spacing w:line="480" w:lineRule="auto"/>
        <w:ind w:firstLine="1134"/>
        <w:jc w:val="both"/>
        <w:rPr>
          <w:rFonts w:ascii="Times New Roman" w:hAnsi="Times New Roman"/>
          <w:sz w:val="24"/>
          <w:szCs w:val="24"/>
        </w:rPr>
      </w:pPr>
      <w:r w:rsidRPr="00CB3355">
        <w:rPr>
          <w:rFonts w:ascii="Times New Roman" w:hAnsi="Times New Roman"/>
          <w:sz w:val="24"/>
          <w:szCs w:val="24"/>
        </w:rPr>
        <w:t>Ground</w:t>
      </w:r>
      <w:r>
        <w:rPr>
          <w:rFonts w:ascii="Times New Roman" w:hAnsi="Times New Roman"/>
          <w:sz w:val="24"/>
          <w:szCs w:val="24"/>
        </w:rPr>
        <w:t>s</w:t>
      </w:r>
      <w:r w:rsidRPr="00CB3355">
        <w:rPr>
          <w:rFonts w:ascii="Times New Roman" w:hAnsi="Times New Roman"/>
          <w:sz w:val="24"/>
          <w:szCs w:val="24"/>
        </w:rPr>
        <w:t xml:space="preserve"> 1, 2, 3 and 5 </w:t>
      </w:r>
      <w:r>
        <w:rPr>
          <w:rFonts w:ascii="Times New Roman" w:hAnsi="Times New Roman"/>
          <w:sz w:val="24"/>
          <w:szCs w:val="24"/>
        </w:rPr>
        <w:t xml:space="preserve">raised by the appellant </w:t>
      </w:r>
      <w:r w:rsidRPr="00CB3355">
        <w:rPr>
          <w:rFonts w:ascii="Times New Roman" w:hAnsi="Times New Roman"/>
          <w:sz w:val="24"/>
          <w:szCs w:val="24"/>
        </w:rPr>
        <w:t xml:space="preserve">challenge the court </w:t>
      </w:r>
      <w:r w:rsidRPr="00CB3355">
        <w:rPr>
          <w:rFonts w:ascii="Times New Roman" w:hAnsi="Times New Roman"/>
          <w:i/>
          <w:sz w:val="24"/>
          <w:szCs w:val="24"/>
        </w:rPr>
        <w:t>a quo’</w:t>
      </w:r>
      <w:r w:rsidRPr="00CB3355">
        <w:rPr>
          <w:rFonts w:ascii="Times New Roman" w:hAnsi="Times New Roman"/>
          <w:sz w:val="24"/>
          <w:szCs w:val="24"/>
        </w:rPr>
        <w:t>s finding that there was no application for a development permit.</w:t>
      </w:r>
    </w:p>
    <w:p w14:paraId="241308C1" w14:textId="77777777" w:rsidR="005C556E" w:rsidRPr="00CB3355" w:rsidRDefault="005C556E" w:rsidP="005C556E">
      <w:pPr>
        <w:spacing w:line="240" w:lineRule="auto"/>
        <w:ind w:firstLine="1134"/>
        <w:jc w:val="both"/>
        <w:rPr>
          <w:rFonts w:ascii="Times New Roman" w:hAnsi="Times New Roman"/>
          <w:sz w:val="24"/>
          <w:szCs w:val="24"/>
        </w:rPr>
      </w:pPr>
    </w:p>
    <w:p w14:paraId="0E73C45F" w14:textId="77777777" w:rsidR="00F121CA" w:rsidRDefault="00F121CA" w:rsidP="00F121CA">
      <w:pPr>
        <w:spacing w:line="480" w:lineRule="auto"/>
        <w:ind w:firstLine="1134"/>
        <w:jc w:val="both"/>
        <w:rPr>
          <w:rFonts w:ascii="Times New Roman" w:hAnsi="Times New Roman"/>
          <w:sz w:val="24"/>
          <w:szCs w:val="24"/>
        </w:rPr>
      </w:pPr>
      <w:r w:rsidRPr="00CB3355">
        <w:rPr>
          <w:rFonts w:ascii="Times New Roman" w:hAnsi="Times New Roman"/>
          <w:sz w:val="24"/>
          <w:szCs w:val="24"/>
        </w:rPr>
        <w:t xml:space="preserve">Ground 4 challenges the court </w:t>
      </w:r>
      <w:r w:rsidRPr="00CB3355">
        <w:rPr>
          <w:rFonts w:ascii="Times New Roman" w:hAnsi="Times New Roman"/>
          <w:i/>
          <w:sz w:val="24"/>
          <w:szCs w:val="24"/>
        </w:rPr>
        <w:t>a quo</w:t>
      </w:r>
      <w:r w:rsidRPr="00CB3355">
        <w:rPr>
          <w:rFonts w:ascii="Times New Roman" w:hAnsi="Times New Roman"/>
          <w:sz w:val="24"/>
          <w:szCs w:val="24"/>
        </w:rPr>
        <w:t>’s finding that the development permit contradicted the environmental assessment certificate.</w:t>
      </w:r>
    </w:p>
    <w:p w14:paraId="094393A8" w14:textId="77777777" w:rsidR="005C556E" w:rsidRPr="00CB3355" w:rsidRDefault="005C556E" w:rsidP="005C556E">
      <w:pPr>
        <w:spacing w:line="240" w:lineRule="auto"/>
        <w:ind w:firstLine="1134"/>
        <w:jc w:val="both"/>
        <w:rPr>
          <w:rFonts w:ascii="Times New Roman" w:hAnsi="Times New Roman"/>
          <w:sz w:val="24"/>
          <w:szCs w:val="24"/>
        </w:rPr>
      </w:pPr>
    </w:p>
    <w:p w14:paraId="0A412078" w14:textId="77777777" w:rsidR="00F121CA" w:rsidRPr="00CB3355" w:rsidRDefault="00F121CA" w:rsidP="00F121CA">
      <w:pPr>
        <w:spacing w:after="0" w:line="480" w:lineRule="auto"/>
        <w:ind w:firstLine="1134"/>
        <w:jc w:val="both"/>
        <w:rPr>
          <w:rFonts w:ascii="Times New Roman" w:hAnsi="Times New Roman"/>
          <w:sz w:val="24"/>
          <w:szCs w:val="24"/>
        </w:rPr>
      </w:pPr>
      <w:r>
        <w:rPr>
          <w:rFonts w:ascii="Times New Roman" w:hAnsi="Times New Roman"/>
          <w:sz w:val="24"/>
          <w:szCs w:val="24"/>
        </w:rPr>
        <w:t>G</w:t>
      </w:r>
      <w:r w:rsidRPr="00CB3355">
        <w:rPr>
          <w:rFonts w:ascii="Times New Roman" w:hAnsi="Times New Roman"/>
          <w:sz w:val="24"/>
          <w:szCs w:val="24"/>
        </w:rPr>
        <w:t xml:space="preserve">round </w:t>
      </w:r>
      <w:r>
        <w:rPr>
          <w:rFonts w:ascii="Times New Roman" w:hAnsi="Times New Roman"/>
          <w:sz w:val="24"/>
          <w:szCs w:val="24"/>
        </w:rPr>
        <w:t xml:space="preserve">6 </w:t>
      </w:r>
      <w:r w:rsidRPr="00CB3355">
        <w:rPr>
          <w:rFonts w:ascii="Times New Roman" w:hAnsi="Times New Roman"/>
          <w:sz w:val="24"/>
          <w:szCs w:val="24"/>
        </w:rPr>
        <w:t xml:space="preserve">raises the issue of the first respondent’s </w:t>
      </w:r>
      <w:r w:rsidRPr="00CB3355">
        <w:rPr>
          <w:rFonts w:ascii="Times New Roman" w:hAnsi="Times New Roman"/>
          <w:i/>
          <w:sz w:val="24"/>
          <w:szCs w:val="24"/>
        </w:rPr>
        <w:t xml:space="preserve">locus standi </w:t>
      </w:r>
      <w:r w:rsidRPr="00CB3355">
        <w:rPr>
          <w:rFonts w:ascii="Times New Roman" w:hAnsi="Times New Roman"/>
          <w:sz w:val="24"/>
          <w:szCs w:val="24"/>
        </w:rPr>
        <w:t xml:space="preserve">to participate in the matter before the court </w:t>
      </w:r>
      <w:r w:rsidRPr="00CB3355">
        <w:rPr>
          <w:rFonts w:ascii="Times New Roman" w:hAnsi="Times New Roman"/>
          <w:i/>
          <w:sz w:val="24"/>
          <w:szCs w:val="24"/>
        </w:rPr>
        <w:t>a quo</w:t>
      </w:r>
      <w:r w:rsidRPr="00CB3355">
        <w:rPr>
          <w:rFonts w:ascii="Times New Roman" w:hAnsi="Times New Roman"/>
          <w:sz w:val="24"/>
          <w:szCs w:val="24"/>
        </w:rPr>
        <w:t xml:space="preserve"> and by extension, in this appeal.</w:t>
      </w:r>
    </w:p>
    <w:p w14:paraId="171DB1A7" w14:textId="77777777" w:rsidR="00F121CA" w:rsidRDefault="00F121CA" w:rsidP="002076EF">
      <w:pPr>
        <w:spacing w:line="480" w:lineRule="auto"/>
        <w:jc w:val="both"/>
        <w:rPr>
          <w:rFonts w:ascii="Times New Roman" w:eastAsia="Calibri" w:hAnsi="Times New Roman" w:cs="Times New Roman"/>
          <w:b/>
          <w:sz w:val="24"/>
          <w:szCs w:val="24"/>
          <w:lang w:val="en-ZW"/>
        </w:rPr>
      </w:pPr>
    </w:p>
    <w:p w14:paraId="6D8C872F" w14:textId="77777777" w:rsidR="002F7B8D" w:rsidRDefault="002F7B8D" w:rsidP="002076EF">
      <w:pPr>
        <w:spacing w:line="480" w:lineRule="auto"/>
        <w:jc w:val="both"/>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SUBMISSIONS BY COUNSEL FOR THE APPELLANT</w:t>
      </w:r>
    </w:p>
    <w:p w14:paraId="14DF4A92" w14:textId="23FA1EB6" w:rsidR="00F121CA" w:rsidRDefault="00F121CA" w:rsidP="005D38BE">
      <w:pPr>
        <w:spacing w:line="480" w:lineRule="auto"/>
        <w:ind w:firstLine="1134"/>
        <w:jc w:val="both"/>
        <w:rPr>
          <w:rFonts w:ascii="Times New Roman" w:eastAsia="Calibri" w:hAnsi="Times New Roman"/>
          <w:sz w:val="24"/>
          <w:szCs w:val="24"/>
        </w:rPr>
      </w:pPr>
      <w:r>
        <w:rPr>
          <w:rFonts w:ascii="Times New Roman" w:eastAsia="Calibri" w:hAnsi="Times New Roman"/>
          <w:sz w:val="24"/>
          <w:szCs w:val="24"/>
        </w:rPr>
        <w:t>Mr</w:t>
      </w:r>
      <w:r w:rsidR="00132DDC">
        <w:rPr>
          <w:rFonts w:ascii="Times New Roman" w:eastAsia="Calibri" w:hAnsi="Times New Roman"/>
          <w:sz w:val="24"/>
          <w:szCs w:val="24"/>
        </w:rPr>
        <w:t>.</w:t>
      </w:r>
      <w:r>
        <w:rPr>
          <w:rFonts w:ascii="Times New Roman" w:eastAsia="Calibri" w:hAnsi="Times New Roman"/>
          <w:sz w:val="24"/>
          <w:szCs w:val="24"/>
        </w:rPr>
        <w:t xml:space="preserve"> </w:t>
      </w:r>
      <w:proofErr w:type="spellStart"/>
      <w:r w:rsidRPr="002F7B8D">
        <w:rPr>
          <w:rFonts w:ascii="Times New Roman" w:eastAsia="Calibri" w:hAnsi="Times New Roman"/>
          <w:i/>
          <w:sz w:val="24"/>
          <w:szCs w:val="24"/>
        </w:rPr>
        <w:t>Hashiti</w:t>
      </w:r>
      <w:proofErr w:type="spellEnd"/>
      <w:r w:rsidR="004E1AFD">
        <w:rPr>
          <w:rFonts w:ascii="Times New Roman" w:eastAsia="Calibri" w:hAnsi="Times New Roman"/>
          <w:iCs/>
          <w:sz w:val="24"/>
          <w:szCs w:val="24"/>
        </w:rPr>
        <w:t>,</w:t>
      </w:r>
      <w:r>
        <w:rPr>
          <w:rFonts w:ascii="Times New Roman" w:eastAsia="Calibri" w:hAnsi="Times New Roman"/>
          <w:sz w:val="24"/>
          <w:szCs w:val="24"/>
        </w:rPr>
        <w:t xml:space="preserve"> for the appellant</w:t>
      </w:r>
      <w:r w:rsidR="004E1AFD">
        <w:rPr>
          <w:rFonts w:ascii="Times New Roman" w:eastAsia="Calibri" w:hAnsi="Times New Roman"/>
          <w:sz w:val="24"/>
          <w:szCs w:val="24"/>
        </w:rPr>
        <w:t>,</w:t>
      </w:r>
      <w:r>
        <w:rPr>
          <w:rFonts w:ascii="Times New Roman" w:eastAsia="Calibri" w:hAnsi="Times New Roman"/>
          <w:sz w:val="24"/>
          <w:szCs w:val="24"/>
        </w:rPr>
        <w:t xml:space="preserve"> submitted that an application was made to the third respondent in compliance with s 26 of the Regional</w:t>
      </w:r>
      <w:r w:rsidR="00403EC3">
        <w:rPr>
          <w:rFonts w:ascii="Times New Roman" w:eastAsia="Calibri" w:hAnsi="Times New Roman"/>
          <w:sz w:val="24"/>
          <w:szCs w:val="24"/>
        </w:rPr>
        <w:t>,</w:t>
      </w:r>
      <w:r>
        <w:rPr>
          <w:rFonts w:ascii="Times New Roman" w:eastAsia="Calibri" w:hAnsi="Times New Roman"/>
          <w:sz w:val="24"/>
          <w:szCs w:val="24"/>
        </w:rPr>
        <w:t xml:space="preserve"> Town and Country Planning Act. He further submitted that in the event that the court finds that s 26 was not strictly complied </w:t>
      </w:r>
      <w:r w:rsidR="00D23AA4">
        <w:rPr>
          <w:rFonts w:ascii="Times New Roman" w:eastAsia="Calibri" w:hAnsi="Times New Roman"/>
          <w:sz w:val="24"/>
          <w:szCs w:val="24"/>
        </w:rPr>
        <w:t xml:space="preserve">with </w:t>
      </w:r>
      <w:r>
        <w:rPr>
          <w:rFonts w:ascii="Times New Roman" w:eastAsia="Calibri" w:hAnsi="Times New Roman"/>
          <w:sz w:val="24"/>
          <w:szCs w:val="24"/>
        </w:rPr>
        <w:t>there was substantial compliance and s 5 of the Interpretation Act [</w:t>
      </w:r>
      <w:r w:rsidRPr="002F7B8D">
        <w:rPr>
          <w:rFonts w:ascii="Times New Roman" w:eastAsia="Calibri" w:hAnsi="Times New Roman"/>
          <w:i/>
          <w:sz w:val="24"/>
          <w:szCs w:val="24"/>
        </w:rPr>
        <w:t>Chapter 1:01</w:t>
      </w:r>
      <w:r>
        <w:rPr>
          <w:rFonts w:ascii="Times New Roman" w:eastAsia="Calibri" w:hAnsi="Times New Roman"/>
          <w:sz w:val="24"/>
          <w:szCs w:val="24"/>
        </w:rPr>
        <w:t>] would save the application.</w:t>
      </w:r>
    </w:p>
    <w:p w14:paraId="09DD4845" w14:textId="77777777" w:rsidR="005D38BE" w:rsidRDefault="005D38BE" w:rsidP="005D38BE">
      <w:pPr>
        <w:spacing w:line="480" w:lineRule="auto"/>
        <w:ind w:firstLine="1134"/>
        <w:jc w:val="both"/>
        <w:rPr>
          <w:rFonts w:ascii="Times New Roman" w:eastAsia="Calibri" w:hAnsi="Times New Roman"/>
          <w:sz w:val="24"/>
          <w:szCs w:val="24"/>
        </w:rPr>
      </w:pPr>
    </w:p>
    <w:p w14:paraId="553C771D" w14:textId="2ECD50F7" w:rsidR="00F121CA" w:rsidRDefault="00F121CA" w:rsidP="00F121CA">
      <w:pPr>
        <w:spacing w:line="480" w:lineRule="auto"/>
        <w:ind w:firstLine="720"/>
        <w:jc w:val="both"/>
        <w:rPr>
          <w:rFonts w:ascii="Times New Roman" w:eastAsia="Calibri" w:hAnsi="Times New Roman"/>
          <w:sz w:val="24"/>
          <w:szCs w:val="24"/>
        </w:rPr>
      </w:pPr>
      <w:r>
        <w:rPr>
          <w:rFonts w:ascii="Times New Roman" w:eastAsia="Calibri" w:hAnsi="Times New Roman"/>
          <w:sz w:val="24"/>
          <w:szCs w:val="24"/>
        </w:rPr>
        <w:t>Regarding the alleged contradiction between the environmental impact assessment certificate and the development permit, counsel submitted that the conditions specified in the certificate were by implication, incorporated in the development permit.</w:t>
      </w:r>
    </w:p>
    <w:p w14:paraId="092A2F79" w14:textId="77777777" w:rsidR="005D38BE" w:rsidRDefault="005D38BE" w:rsidP="005D38BE">
      <w:pPr>
        <w:spacing w:line="240" w:lineRule="auto"/>
        <w:ind w:firstLine="720"/>
        <w:jc w:val="both"/>
        <w:rPr>
          <w:rFonts w:ascii="Times New Roman" w:eastAsia="Calibri" w:hAnsi="Times New Roman"/>
          <w:sz w:val="24"/>
          <w:szCs w:val="24"/>
        </w:rPr>
      </w:pPr>
    </w:p>
    <w:p w14:paraId="0BB27698" w14:textId="15A7DDC3" w:rsidR="00F121CA" w:rsidRDefault="00F121CA" w:rsidP="00F121CA">
      <w:pPr>
        <w:spacing w:line="480" w:lineRule="auto"/>
        <w:ind w:firstLine="1134"/>
        <w:jc w:val="both"/>
        <w:rPr>
          <w:rFonts w:ascii="Times New Roman" w:hAnsi="Times New Roman"/>
          <w:sz w:val="24"/>
          <w:szCs w:val="24"/>
        </w:rPr>
      </w:pPr>
      <w:r w:rsidRPr="00CB3355">
        <w:rPr>
          <w:rFonts w:ascii="Times New Roman" w:hAnsi="Times New Roman"/>
          <w:sz w:val="24"/>
          <w:szCs w:val="24"/>
        </w:rPr>
        <w:lastRenderedPageBreak/>
        <w:t>The appellant’s submissions on ground number 6 were that the first respondent</w:t>
      </w:r>
      <w:r w:rsidR="00D23AA4">
        <w:rPr>
          <w:rFonts w:ascii="Times New Roman" w:hAnsi="Times New Roman"/>
          <w:sz w:val="24"/>
          <w:szCs w:val="24"/>
        </w:rPr>
        <w:t>,</w:t>
      </w:r>
      <w:r w:rsidRPr="00CB3355">
        <w:rPr>
          <w:rFonts w:ascii="Times New Roman" w:hAnsi="Times New Roman"/>
          <w:sz w:val="24"/>
          <w:szCs w:val="24"/>
        </w:rPr>
        <w:t xml:space="preserve"> not having participated in the antecedent proceedings, had </w:t>
      </w:r>
      <w:r w:rsidRPr="00CB3355">
        <w:rPr>
          <w:rFonts w:ascii="Times New Roman" w:hAnsi="Times New Roman"/>
          <w:i/>
          <w:sz w:val="24"/>
          <w:szCs w:val="24"/>
        </w:rPr>
        <w:t>no locus standi</w:t>
      </w:r>
      <w:r w:rsidRPr="00CB3355">
        <w:rPr>
          <w:rFonts w:ascii="Times New Roman" w:hAnsi="Times New Roman"/>
          <w:sz w:val="24"/>
          <w:szCs w:val="24"/>
        </w:rPr>
        <w:t xml:space="preserve"> to appeal against the grant of the permit. Furthermore, that the first respondent’s Deed of Trust does not empower it to act on behalf of the persons that it sought to represent.</w:t>
      </w:r>
    </w:p>
    <w:p w14:paraId="20D4F801" w14:textId="77777777" w:rsidR="005D38BE" w:rsidRPr="00CB3355" w:rsidRDefault="005D38BE" w:rsidP="005D38BE">
      <w:pPr>
        <w:spacing w:line="240" w:lineRule="auto"/>
        <w:ind w:firstLine="1134"/>
        <w:jc w:val="both"/>
        <w:rPr>
          <w:rFonts w:ascii="Times New Roman" w:hAnsi="Times New Roman"/>
          <w:sz w:val="24"/>
          <w:szCs w:val="24"/>
        </w:rPr>
      </w:pPr>
    </w:p>
    <w:p w14:paraId="1FD28FC3" w14:textId="77777777" w:rsidR="0060202F" w:rsidRPr="0060202F" w:rsidRDefault="0060202F" w:rsidP="002076EF">
      <w:pPr>
        <w:spacing w:line="480" w:lineRule="auto"/>
        <w:jc w:val="both"/>
        <w:rPr>
          <w:rFonts w:ascii="Times New Roman" w:eastAsia="Calibri" w:hAnsi="Times New Roman" w:cs="Times New Roman"/>
          <w:b/>
          <w:sz w:val="24"/>
          <w:szCs w:val="24"/>
          <w:lang w:val="en-ZW"/>
        </w:rPr>
      </w:pPr>
      <w:r w:rsidRPr="0060202F">
        <w:rPr>
          <w:rFonts w:ascii="Times New Roman" w:eastAsia="Calibri" w:hAnsi="Times New Roman" w:cs="Times New Roman"/>
          <w:b/>
          <w:sz w:val="24"/>
          <w:szCs w:val="24"/>
          <w:lang w:val="en-ZW"/>
        </w:rPr>
        <w:t>SUBMISSIONS MADE BY COUNSEL FOR THE FIRST RESPONDENT</w:t>
      </w:r>
    </w:p>
    <w:p w14:paraId="364D10D3" w14:textId="77777777" w:rsidR="00657FFC" w:rsidRPr="00CB3355" w:rsidRDefault="00657FFC" w:rsidP="00657FFC">
      <w:pPr>
        <w:spacing w:line="480" w:lineRule="auto"/>
        <w:ind w:firstLine="1134"/>
        <w:jc w:val="both"/>
        <w:rPr>
          <w:rFonts w:ascii="Times New Roman" w:hAnsi="Times New Roman"/>
          <w:sz w:val="24"/>
          <w:szCs w:val="24"/>
        </w:rPr>
      </w:pPr>
      <w:r>
        <w:rPr>
          <w:rFonts w:ascii="Times New Roman" w:hAnsi="Times New Roman"/>
          <w:i/>
          <w:sz w:val="24"/>
          <w:szCs w:val="24"/>
        </w:rPr>
        <w:t xml:space="preserve">Per </w:t>
      </w:r>
      <w:r w:rsidRPr="001D1C43">
        <w:rPr>
          <w:rFonts w:ascii="Times New Roman" w:hAnsi="Times New Roman"/>
          <w:i/>
          <w:sz w:val="24"/>
          <w:szCs w:val="24"/>
        </w:rPr>
        <w:t>contra</w:t>
      </w:r>
      <w:r>
        <w:rPr>
          <w:rFonts w:ascii="Times New Roman" w:hAnsi="Times New Roman"/>
          <w:sz w:val="24"/>
          <w:szCs w:val="24"/>
        </w:rPr>
        <w:t xml:space="preserve">, </w:t>
      </w:r>
      <w:r w:rsidRPr="001D1C43">
        <w:rPr>
          <w:rFonts w:ascii="Times New Roman" w:hAnsi="Times New Roman"/>
          <w:sz w:val="24"/>
          <w:szCs w:val="24"/>
        </w:rPr>
        <w:t>Miss</w:t>
      </w:r>
      <w:r w:rsidRPr="00CB3355">
        <w:rPr>
          <w:rFonts w:ascii="Times New Roman" w:hAnsi="Times New Roman"/>
          <w:sz w:val="24"/>
          <w:szCs w:val="24"/>
        </w:rPr>
        <w:t xml:space="preserve"> </w:t>
      </w:r>
      <w:proofErr w:type="spellStart"/>
      <w:r w:rsidRPr="00CB3355">
        <w:rPr>
          <w:rFonts w:ascii="Times New Roman" w:hAnsi="Times New Roman"/>
          <w:i/>
          <w:sz w:val="24"/>
          <w:szCs w:val="24"/>
        </w:rPr>
        <w:t>Mahere</w:t>
      </w:r>
      <w:proofErr w:type="spellEnd"/>
      <w:r w:rsidRPr="00CB3355">
        <w:rPr>
          <w:rFonts w:ascii="Times New Roman" w:hAnsi="Times New Roman"/>
          <w:sz w:val="24"/>
          <w:szCs w:val="24"/>
        </w:rPr>
        <w:t>, for the</w:t>
      </w:r>
      <w:r w:rsidRPr="00CB3355">
        <w:rPr>
          <w:rFonts w:ascii="Times New Roman" w:hAnsi="Times New Roman"/>
          <w:sz w:val="24"/>
          <w:szCs w:val="24"/>
          <w:vertAlign w:val="superscript"/>
        </w:rPr>
        <w:t xml:space="preserve"> </w:t>
      </w:r>
      <w:r w:rsidRPr="00CB3355">
        <w:rPr>
          <w:rFonts w:ascii="Times New Roman" w:hAnsi="Times New Roman"/>
          <w:sz w:val="24"/>
          <w:szCs w:val="24"/>
        </w:rPr>
        <w:t>first respondent, submitted as follows:</w:t>
      </w:r>
    </w:p>
    <w:p w14:paraId="458B4438" w14:textId="2276CF0A" w:rsidR="00657FFC" w:rsidRPr="00CB3355" w:rsidRDefault="00657FFC" w:rsidP="00657FFC">
      <w:pPr>
        <w:spacing w:line="480" w:lineRule="auto"/>
        <w:ind w:firstLine="1134"/>
        <w:jc w:val="both"/>
        <w:rPr>
          <w:rFonts w:ascii="Times New Roman" w:hAnsi="Times New Roman"/>
          <w:sz w:val="24"/>
          <w:szCs w:val="24"/>
        </w:rPr>
      </w:pPr>
      <w:r w:rsidRPr="00CB3355">
        <w:rPr>
          <w:rFonts w:ascii="Times New Roman" w:hAnsi="Times New Roman"/>
          <w:sz w:val="24"/>
          <w:szCs w:val="24"/>
        </w:rPr>
        <w:t xml:space="preserve">The issue of the </w:t>
      </w:r>
      <w:r w:rsidRPr="00CB3355">
        <w:rPr>
          <w:rFonts w:ascii="Times New Roman" w:hAnsi="Times New Roman"/>
          <w:i/>
          <w:sz w:val="24"/>
          <w:szCs w:val="24"/>
        </w:rPr>
        <w:t>locus standi</w:t>
      </w:r>
      <w:r w:rsidRPr="00CB3355">
        <w:rPr>
          <w:rFonts w:ascii="Times New Roman" w:hAnsi="Times New Roman"/>
          <w:sz w:val="24"/>
          <w:szCs w:val="24"/>
        </w:rPr>
        <w:t xml:space="preserve"> of the first respondent was not raised in the court </w:t>
      </w:r>
      <w:r>
        <w:rPr>
          <w:rFonts w:ascii="Times New Roman" w:hAnsi="Times New Roman"/>
          <w:i/>
          <w:sz w:val="24"/>
          <w:szCs w:val="24"/>
        </w:rPr>
        <w:t>a </w:t>
      </w:r>
      <w:r w:rsidRPr="00CB3355">
        <w:rPr>
          <w:rFonts w:ascii="Times New Roman" w:hAnsi="Times New Roman"/>
          <w:i/>
          <w:sz w:val="24"/>
          <w:szCs w:val="24"/>
        </w:rPr>
        <w:t>quo</w:t>
      </w:r>
      <w:r w:rsidRPr="00CB3355">
        <w:rPr>
          <w:rFonts w:ascii="Times New Roman" w:hAnsi="Times New Roman"/>
          <w:sz w:val="24"/>
          <w:szCs w:val="24"/>
        </w:rPr>
        <w:t xml:space="preserve"> by the appellant.  The court </w:t>
      </w:r>
      <w:r w:rsidRPr="00CB3355">
        <w:rPr>
          <w:rFonts w:ascii="Times New Roman" w:hAnsi="Times New Roman"/>
          <w:i/>
          <w:sz w:val="24"/>
          <w:szCs w:val="24"/>
        </w:rPr>
        <w:t>a quo</w:t>
      </w:r>
      <w:r w:rsidRPr="00CB3355">
        <w:rPr>
          <w:rFonts w:ascii="Times New Roman" w:hAnsi="Times New Roman"/>
          <w:sz w:val="24"/>
          <w:szCs w:val="24"/>
        </w:rPr>
        <w:t xml:space="preserve"> therefore, cannot be faulted for not determining an issue that was not before it.  Furthermore, the High Court per </w:t>
      </w:r>
      <w:proofErr w:type="spellStart"/>
      <w:r w:rsidRPr="00CB3355">
        <w:rPr>
          <w:rFonts w:ascii="Times New Roman" w:hAnsi="Times New Roman"/>
          <w:sz w:val="24"/>
          <w:szCs w:val="24"/>
        </w:rPr>
        <w:t>C</w:t>
      </w:r>
      <w:r w:rsidR="00132DDC" w:rsidRPr="00132DDC">
        <w:rPr>
          <w:rFonts w:ascii="Times New Roman" w:hAnsi="Times New Roman"/>
          <w:smallCaps/>
          <w:sz w:val="24"/>
          <w:szCs w:val="24"/>
        </w:rPr>
        <w:t>hinamora</w:t>
      </w:r>
      <w:proofErr w:type="spellEnd"/>
      <w:r w:rsidRPr="00CB3355">
        <w:rPr>
          <w:rFonts w:ascii="Times New Roman" w:hAnsi="Times New Roman"/>
          <w:sz w:val="24"/>
          <w:szCs w:val="24"/>
        </w:rPr>
        <w:t xml:space="preserve"> J</w:t>
      </w:r>
      <w:r w:rsidR="00132DDC">
        <w:rPr>
          <w:rFonts w:ascii="Times New Roman" w:hAnsi="Times New Roman"/>
          <w:sz w:val="24"/>
          <w:szCs w:val="24"/>
        </w:rPr>
        <w:t>,</w:t>
      </w:r>
      <w:r w:rsidRPr="00CB3355">
        <w:rPr>
          <w:rFonts w:ascii="Times New Roman" w:hAnsi="Times New Roman"/>
          <w:sz w:val="24"/>
          <w:szCs w:val="24"/>
        </w:rPr>
        <w:t xml:space="preserve"> in </w:t>
      </w:r>
      <w:r w:rsidR="00C94CDC" w:rsidRPr="00637586">
        <w:rPr>
          <w:rFonts w:ascii="Times New Roman" w:eastAsia="Calibri" w:hAnsi="Times New Roman" w:cs="Times New Roman"/>
          <w:i/>
          <w:sz w:val="24"/>
          <w:szCs w:val="24"/>
          <w:lang w:val="en-ZW"/>
        </w:rPr>
        <w:t>Harare Wetland Trust</w:t>
      </w:r>
      <w:r w:rsidR="00C94CDC">
        <w:rPr>
          <w:rFonts w:ascii="Times New Roman" w:eastAsia="Calibri" w:hAnsi="Times New Roman" w:cs="Times New Roman"/>
          <w:i/>
          <w:sz w:val="24"/>
          <w:szCs w:val="24"/>
          <w:lang w:val="en-ZW"/>
        </w:rPr>
        <w:t xml:space="preserve"> &amp; Anor </w:t>
      </w:r>
      <w:r w:rsidR="00C94CDC" w:rsidRPr="00637586">
        <w:rPr>
          <w:rFonts w:ascii="Times New Roman" w:eastAsia="Calibri" w:hAnsi="Times New Roman" w:cs="Times New Roman"/>
          <w:i/>
          <w:sz w:val="24"/>
          <w:szCs w:val="24"/>
          <w:lang w:val="en-ZW"/>
        </w:rPr>
        <w:t xml:space="preserve">v New Life Covenant Church </w:t>
      </w:r>
      <w:r w:rsidR="00C94CDC">
        <w:rPr>
          <w:rFonts w:ascii="Times New Roman" w:eastAsia="Calibri" w:hAnsi="Times New Roman" w:cs="Times New Roman"/>
          <w:i/>
          <w:sz w:val="24"/>
          <w:szCs w:val="24"/>
          <w:lang w:val="en-ZW"/>
        </w:rPr>
        <w:t>&amp; Others</w:t>
      </w:r>
      <w:r w:rsidRPr="00CB3355">
        <w:rPr>
          <w:rFonts w:ascii="Times New Roman" w:hAnsi="Times New Roman"/>
          <w:sz w:val="24"/>
          <w:szCs w:val="24"/>
        </w:rPr>
        <w:t xml:space="preserve"> HH 819/19 determined that the first respondent had </w:t>
      </w:r>
      <w:r w:rsidRPr="00CB3355">
        <w:rPr>
          <w:rFonts w:ascii="Times New Roman" w:hAnsi="Times New Roman"/>
          <w:i/>
          <w:sz w:val="24"/>
          <w:szCs w:val="24"/>
        </w:rPr>
        <w:t>locus standi</w:t>
      </w:r>
      <w:r w:rsidRPr="00CB3355">
        <w:rPr>
          <w:rFonts w:ascii="Times New Roman" w:hAnsi="Times New Roman"/>
          <w:sz w:val="24"/>
          <w:szCs w:val="24"/>
        </w:rPr>
        <w:t xml:space="preserve"> to challenge the developments that the appellant was undertaking without a development permit. </w:t>
      </w:r>
    </w:p>
    <w:p w14:paraId="0AC502D2" w14:textId="77777777" w:rsidR="00657FFC" w:rsidRPr="00CB3355" w:rsidRDefault="00657FFC" w:rsidP="00657FFC">
      <w:pPr>
        <w:spacing w:after="0" w:line="480" w:lineRule="auto"/>
        <w:ind w:firstLine="1134"/>
        <w:jc w:val="both"/>
        <w:rPr>
          <w:rFonts w:ascii="Times New Roman" w:hAnsi="Times New Roman"/>
          <w:sz w:val="24"/>
          <w:szCs w:val="24"/>
        </w:rPr>
      </w:pPr>
    </w:p>
    <w:p w14:paraId="4309EA09" w14:textId="44231033" w:rsidR="00657FFC" w:rsidRPr="00CB3355" w:rsidRDefault="00132DDC" w:rsidP="00657FFC">
      <w:pPr>
        <w:spacing w:line="480" w:lineRule="auto"/>
        <w:ind w:firstLine="1134"/>
        <w:jc w:val="both"/>
        <w:rPr>
          <w:rFonts w:ascii="Times New Roman" w:hAnsi="Times New Roman"/>
          <w:sz w:val="24"/>
          <w:szCs w:val="24"/>
        </w:rPr>
      </w:pPr>
      <w:r>
        <w:rPr>
          <w:rFonts w:ascii="Times New Roman" w:hAnsi="Times New Roman"/>
          <w:sz w:val="24"/>
          <w:szCs w:val="24"/>
        </w:rPr>
        <w:t>T</w:t>
      </w:r>
      <w:r w:rsidR="00657FFC" w:rsidRPr="00CB3355">
        <w:rPr>
          <w:rFonts w:ascii="Times New Roman" w:hAnsi="Times New Roman"/>
          <w:sz w:val="24"/>
          <w:szCs w:val="24"/>
        </w:rPr>
        <w:t>he application relied on by the appellant did not comply with the peremptory requirements of the Regional</w:t>
      </w:r>
      <w:r w:rsidR="00403EC3">
        <w:rPr>
          <w:rFonts w:ascii="Times New Roman" w:hAnsi="Times New Roman"/>
          <w:sz w:val="24"/>
          <w:szCs w:val="24"/>
        </w:rPr>
        <w:t>,</w:t>
      </w:r>
      <w:r w:rsidR="00657FFC" w:rsidRPr="00CB3355">
        <w:rPr>
          <w:rFonts w:ascii="Times New Roman" w:hAnsi="Times New Roman"/>
          <w:sz w:val="24"/>
          <w:szCs w:val="24"/>
        </w:rPr>
        <w:t xml:space="preserve"> Town and Country Planning Development Regulations RGN 927/1976</w:t>
      </w:r>
      <w:r>
        <w:rPr>
          <w:rFonts w:ascii="Times New Roman" w:hAnsi="Times New Roman"/>
          <w:sz w:val="24"/>
          <w:szCs w:val="24"/>
        </w:rPr>
        <w:t xml:space="preserve"> as regards giving the public notice of the development and serving such notice on the property owners adjacent to the site</w:t>
      </w:r>
      <w:r w:rsidR="00657FFC" w:rsidRPr="00CB3355">
        <w:rPr>
          <w:rFonts w:ascii="Times New Roman" w:hAnsi="Times New Roman"/>
          <w:sz w:val="24"/>
          <w:szCs w:val="24"/>
        </w:rPr>
        <w:t>.</w:t>
      </w:r>
    </w:p>
    <w:p w14:paraId="6E643A80" w14:textId="77777777" w:rsidR="00657FFC" w:rsidRPr="00CB3355" w:rsidRDefault="00657FFC" w:rsidP="00657FFC">
      <w:pPr>
        <w:spacing w:after="0" w:line="480" w:lineRule="auto"/>
        <w:ind w:firstLine="1134"/>
        <w:jc w:val="both"/>
        <w:rPr>
          <w:rFonts w:ascii="Times New Roman" w:hAnsi="Times New Roman"/>
          <w:sz w:val="24"/>
          <w:szCs w:val="24"/>
        </w:rPr>
      </w:pPr>
    </w:p>
    <w:p w14:paraId="16253B89" w14:textId="015DADCE" w:rsidR="00657FFC" w:rsidRPr="00CB3355" w:rsidRDefault="00657FFC" w:rsidP="00657FFC">
      <w:pPr>
        <w:spacing w:line="480" w:lineRule="auto"/>
        <w:ind w:firstLine="1134"/>
        <w:jc w:val="both"/>
        <w:rPr>
          <w:rFonts w:ascii="Times New Roman" w:hAnsi="Times New Roman"/>
          <w:sz w:val="24"/>
          <w:szCs w:val="24"/>
        </w:rPr>
      </w:pPr>
      <w:r w:rsidRPr="00CB3355">
        <w:rPr>
          <w:rFonts w:ascii="Times New Roman" w:hAnsi="Times New Roman"/>
          <w:sz w:val="24"/>
          <w:szCs w:val="24"/>
        </w:rPr>
        <w:t xml:space="preserve">Furthermore, and in any event, the application, not having been determined within the stipulated 3 months period, had been deemed refused </w:t>
      </w:r>
      <w:r w:rsidR="00D23AA4">
        <w:rPr>
          <w:rFonts w:ascii="Times New Roman" w:hAnsi="Times New Roman"/>
          <w:sz w:val="24"/>
          <w:szCs w:val="24"/>
        </w:rPr>
        <w:t xml:space="preserve">by operation of law </w:t>
      </w:r>
      <w:r w:rsidRPr="00CB3355">
        <w:rPr>
          <w:rFonts w:ascii="Times New Roman" w:hAnsi="Times New Roman"/>
          <w:sz w:val="24"/>
          <w:szCs w:val="24"/>
        </w:rPr>
        <w:t>in terms of s 26 (7) of the Regional</w:t>
      </w:r>
      <w:r w:rsidR="00403EC3">
        <w:rPr>
          <w:rFonts w:ascii="Times New Roman" w:hAnsi="Times New Roman"/>
          <w:sz w:val="24"/>
          <w:szCs w:val="24"/>
        </w:rPr>
        <w:t>,</w:t>
      </w:r>
      <w:r w:rsidRPr="00CB3355">
        <w:rPr>
          <w:rFonts w:ascii="Times New Roman" w:hAnsi="Times New Roman"/>
          <w:sz w:val="24"/>
          <w:szCs w:val="24"/>
        </w:rPr>
        <w:t xml:space="preserve"> Town and Country Planning Act.</w:t>
      </w:r>
    </w:p>
    <w:p w14:paraId="2D69B423" w14:textId="77777777" w:rsidR="00657FFC" w:rsidRPr="00CB3355" w:rsidRDefault="00657FFC" w:rsidP="00657FFC">
      <w:pPr>
        <w:spacing w:after="0" w:line="480" w:lineRule="auto"/>
        <w:ind w:firstLine="1134"/>
        <w:jc w:val="both"/>
        <w:rPr>
          <w:rFonts w:ascii="Times New Roman" w:hAnsi="Times New Roman"/>
          <w:sz w:val="24"/>
          <w:szCs w:val="24"/>
        </w:rPr>
      </w:pPr>
    </w:p>
    <w:p w14:paraId="4B30737D" w14:textId="7F4A84C9" w:rsidR="00657FFC" w:rsidRPr="00CB3355" w:rsidRDefault="00132DDC" w:rsidP="00657FFC">
      <w:pPr>
        <w:spacing w:line="480" w:lineRule="auto"/>
        <w:ind w:firstLine="1134"/>
        <w:jc w:val="both"/>
        <w:rPr>
          <w:rFonts w:ascii="Times New Roman" w:hAnsi="Times New Roman"/>
          <w:sz w:val="24"/>
          <w:szCs w:val="24"/>
        </w:rPr>
      </w:pPr>
      <w:r>
        <w:rPr>
          <w:rFonts w:ascii="Times New Roman" w:hAnsi="Times New Roman"/>
          <w:sz w:val="24"/>
          <w:szCs w:val="24"/>
        </w:rPr>
        <w:t xml:space="preserve">There </w:t>
      </w:r>
      <w:proofErr w:type="gramStart"/>
      <w:r>
        <w:rPr>
          <w:rFonts w:ascii="Times New Roman" w:hAnsi="Times New Roman"/>
          <w:sz w:val="24"/>
          <w:szCs w:val="24"/>
        </w:rPr>
        <w:t>were</w:t>
      </w:r>
      <w:proofErr w:type="gramEnd"/>
      <w:r>
        <w:rPr>
          <w:rFonts w:ascii="Times New Roman" w:hAnsi="Times New Roman"/>
          <w:sz w:val="24"/>
          <w:szCs w:val="24"/>
        </w:rPr>
        <w:t xml:space="preserve"> </w:t>
      </w:r>
      <w:r w:rsidR="00657FFC" w:rsidRPr="00CB3355">
        <w:rPr>
          <w:rFonts w:ascii="Times New Roman" w:hAnsi="Times New Roman"/>
          <w:sz w:val="24"/>
          <w:szCs w:val="24"/>
        </w:rPr>
        <w:t xml:space="preserve">contradiction between the </w:t>
      </w:r>
      <w:r w:rsidR="00657FFC">
        <w:rPr>
          <w:rFonts w:ascii="Times New Roman" w:hAnsi="Times New Roman"/>
          <w:sz w:val="24"/>
          <w:szCs w:val="24"/>
        </w:rPr>
        <w:t xml:space="preserve">Environmental Impact Assessment Certificate </w:t>
      </w:r>
      <w:r w:rsidR="009E4ADC">
        <w:rPr>
          <w:rFonts w:ascii="Times New Roman" w:hAnsi="Times New Roman"/>
          <w:sz w:val="24"/>
          <w:szCs w:val="24"/>
        </w:rPr>
        <w:t xml:space="preserve">(the EIAC) </w:t>
      </w:r>
      <w:r w:rsidR="00657FFC">
        <w:rPr>
          <w:rFonts w:ascii="Times New Roman" w:hAnsi="Times New Roman"/>
          <w:sz w:val="24"/>
          <w:szCs w:val="24"/>
        </w:rPr>
        <w:t>and the development permit</w:t>
      </w:r>
      <w:r>
        <w:rPr>
          <w:rFonts w:ascii="Times New Roman" w:hAnsi="Times New Roman"/>
          <w:sz w:val="24"/>
          <w:szCs w:val="24"/>
        </w:rPr>
        <w:t xml:space="preserve"> as to the area of the property on which construction would be undertaken. Further,</w:t>
      </w:r>
      <w:r w:rsidR="00657FFC" w:rsidRPr="00CB3355">
        <w:rPr>
          <w:rFonts w:ascii="Times New Roman" w:hAnsi="Times New Roman"/>
          <w:sz w:val="24"/>
          <w:szCs w:val="24"/>
        </w:rPr>
        <w:t xml:space="preserve"> the conditions set out in the </w:t>
      </w:r>
      <w:r w:rsidR="009E4ADC">
        <w:rPr>
          <w:rFonts w:ascii="Times New Roman" w:hAnsi="Times New Roman"/>
          <w:sz w:val="24"/>
          <w:szCs w:val="24"/>
        </w:rPr>
        <w:t>E</w:t>
      </w:r>
      <w:r w:rsidR="00797815">
        <w:rPr>
          <w:rFonts w:ascii="Times New Roman" w:hAnsi="Times New Roman"/>
          <w:sz w:val="24"/>
          <w:szCs w:val="24"/>
        </w:rPr>
        <w:t>IAC</w:t>
      </w:r>
      <w:r w:rsidR="00657FFC" w:rsidRPr="00CB3355">
        <w:rPr>
          <w:rFonts w:ascii="Times New Roman" w:hAnsi="Times New Roman"/>
          <w:sz w:val="24"/>
          <w:szCs w:val="24"/>
        </w:rPr>
        <w:t xml:space="preserve"> were not included in the </w:t>
      </w:r>
      <w:r w:rsidR="00797815">
        <w:rPr>
          <w:rFonts w:ascii="Times New Roman" w:hAnsi="Times New Roman"/>
          <w:sz w:val="24"/>
          <w:szCs w:val="24"/>
        </w:rPr>
        <w:t xml:space="preserve">development </w:t>
      </w:r>
      <w:r w:rsidR="00657FFC" w:rsidRPr="00CB3355">
        <w:rPr>
          <w:rFonts w:ascii="Times New Roman" w:hAnsi="Times New Roman"/>
          <w:sz w:val="24"/>
          <w:szCs w:val="24"/>
        </w:rPr>
        <w:t>permit, thereby creating the impression that there were no such restrictions</w:t>
      </w:r>
      <w:r w:rsidR="00657FFC">
        <w:rPr>
          <w:rFonts w:ascii="Times New Roman" w:hAnsi="Times New Roman"/>
          <w:sz w:val="24"/>
          <w:szCs w:val="24"/>
        </w:rPr>
        <w:t xml:space="preserve"> imposed</w:t>
      </w:r>
      <w:r w:rsidR="00657FFC" w:rsidRPr="00CB3355">
        <w:rPr>
          <w:rFonts w:ascii="Times New Roman" w:hAnsi="Times New Roman"/>
          <w:sz w:val="24"/>
          <w:szCs w:val="24"/>
        </w:rPr>
        <w:t>.</w:t>
      </w:r>
      <w:r w:rsidR="009E4ADC">
        <w:rPr>
          <w:rFonts w:ascii="Times New Roman" w:hAnsi="Times New Roman"/>
          <w:sz w:val="24"/>
          <w:szCs w:val="24"/>
        </w:rPr>
        <w:t xml:space="preserve"> </w:t>
      </w:r>
    </w:p>
    <w:p w14:paraId="0BC154FC" w14:textId="77777777" w:rsidR="00657FFC" w:rsidRDefault="00657FFC" w:rsidP="003D628E">
      <w:pPr>
        <w:spacing w:line="240" w:lineRule="auto"/>
        <w:jc w:val="both"/>
        <w:rPr>
          <w:rFonts w:ascii="Times New Roman" w:eastAsia="Calibri" w:hAnsi="Times New Roman" w:cs="Times New Roman"/>
          <w:b/>
          <w:sz w:val="24"/>
          <w:szCs w:val="24"/>
          <w:lang w:val="en-ZW"/>
        </w:rPr>
      </w:pPr>
    </w:p>
    <w:p w14:paraId="630C1314" w14:textId="4703970B" w:rsidR="001E3D42" w:rsidRPr="00C820A9" w:rsidRDefault="00D23AA4" w:rsidP="002076EF">
      <w:pPr>
        <w:spacing w:line="480" w:lineRule="auto"/>
        <w:jc w:val="both"/>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ANALYSIS</w:t>
      </w:r>
    </w:p>
    <w:p w14:paraId="6144CF2A" w14:textId="1F9769B9" w:rsidR="002076EF" w:rsidRDefault="00637586" w:rsidP="003D628E">
      <w:pPr>
        <w:spacing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The</w:t>
      </w:r>
      <w:r w:rsidR="003D628E">
        <w:rPr>
          <w:rFonts w:ascii="Times New Roman" w:eastAsia="Calibri" w:hAnsi="Times New Roman" w:cs="Times New Roman"/>
          <w:sz w:val="24"/>
          <w:szCs w:val="24"/>
          <w:lang w:val="en-ZW"/>
        </w:rPr>
        <w:t xml:space="preserve"> sixth</w:t>
      </w:r>
      <w:r w:rsidR="00C12FE6">
        <w:rPr>
          <w:rFonts w:ascii="Times New Roman" w:eastAsia="Calibri" w:hAnsi="Times New Roman" w:cs="Times New Roman"/>
          <w:sz w:val="24"/>
          <w:szCs w:val="24"/>
          <w:lang w:val="en-ZW"/>
        </w:rPr>
        <w:t xml:space="preserve"> ground of appeal related to the </w:t>
      </w:r>
      <w:r>
        <w:rPr>
          <w:rFonts w:ascii="Times New Roman" w:eastAsia="Calibri" w:hAnsi="Times New Roman" w:cs="Times New Roman"/>
          <w:sz w:val="24"/>
          <w:szCs w:val="24"/>
          <w:lang w:val="en-ZW"/>
        </w:rPr>
        <w:t>question of the fi</w:t>
      </w:r>
      <w:r w:rsidR="001E3D42">
        <w:rPr>
          <w:rFonts w:ascii="Times New Roman" w:eastAsia="Calibri" w:hAnsi="Times New Roman" w:cs="Times New Roman"/>
          <w:sz w:val="24"/>
          <w:szCs w:val="24"/>
          <w:lang w:val="en-ZW"/>
        </w:rPr>
        <w:t xml:space="preserve">rst respondent’s </w:t>
      </w:r>
      <w:r w:rsidR="00404889">
        <w:rPr>
          <w:rFonts w:ascii="Times New Roman" w:eastAsia="Calibri" w:hAnsi="Times New Roman" w:cs="Times New Roman"/>
          <w:i/>
          <w:sz w:val="24"/>
          <w:szCs w:val="24"/>
          <w:lang w:val="en-ZW"/>
        </w:rPr>
        <w:t>locus </w:t>
      </w:r>
      <w:r w:rsidR="001E3D42" w:rsidRPr="00534AB0">
        <w:rPr>
          <w:rFonts w:ascii="Times New Roman" w:eastAsia="Calibri" w:hAnsi="Times New Roman" w:cs="Times New Roman"/>
          <w:i/>
          <w:sz w:val="24"/>
          <w:szCs w:val="24"/>
          <w:lang w:val="en-ZW"/>
        </w:rPr>
        <w:t>standi</w:t>
      </w:r>
      <w:r w:rsidR="00C12FE6">
        <w:rPr>
          <w:rFonts w:ascii="Times New Roman" w:eastAsia="Calibri" w:hAnsi="Times New Roman" w:cs="Times New Roman"/>
          <w:iCs/>
          <w:sz w:val="24"/>
          <w:szCs w:val="24"/>
          <w:lang w:val="en-ZW"/>
        </w:rPr>
        <w:t xml:space="preserve">. </w:t>
      </w:r>
      <w:r w:rsidR="00ED394C">
        <w:rPr>
          <w:rFonts w:ascii="Times New Roman" w:eastAsia="Calibri" w:hAnsi="Times New Roman" w:cs="Times New Roman"/>
          <w:sz w:val="24"/>
          <w:szCs w:val="24"/>
          <w:lang w:val="en-ZW"/>
        </w:rPr>
        <w:t xml:space="preserve">The court </w:t>
      </w:r>
      <w:r w:rsidR="00ED394C" w:rsidRPr="00ED394C">
        <w:rPr>
          <w:rFonts w:ascii="Times New Roman" w:eastAsia="Calibri" w:hAnsi="Times New Roman" w:cs="Times New Roman"/>
          <w:i/>
          <w:iCs/>
          <w:sz w:val="24"/>
          <w:szCs w:val="24"/>
          <w:lang w:val="en-ZW"/>
        </w:rPr>
        <w:t>a quo</w:t>
      </w:r>
      <w:r w:rsidR="00ED394C">
        <w:rPr>
          <w:rFonts w:ascii="Times New Roman" w:eastAsia="Calibri" w:hAnsi="Times New Roman" w:cs="Times New Roman"/>
          <w:sz w:val="24"/>
          <w:szCs w:val="24"/>
          <w:lang w:val="en-ZW"/>
        </w:rPr>
        <w:t xml:space="preserve"> did not make any pronouncement on the question. </w:t>
      </w:r>
      <w:r w:rsidR="00C12FE6">
        <w:rPr>
          <w:rFonts w:ascii="Times New Roman" w:eastAsia="Calibri" w:hAnsi="Times New Roman" w:cs="Times New Roman"/>
          <w:iCs/>
          <w:sz w:val="24"/>
          <w:szCs w:val="24"/>
          <w:lang w:val="en-ZW"/>
        </w:rPr>
        <w:t xml:space="preserve">The point </w:t>
      </w:r>
      <w:r w:rsidR="001E3D42">
        <w:rPr>
          <w:rFonts w:ascii="Times New Roman" w:eastAsia="Calibri" w:hAnsi="Times New Roman" w:cs="Times New Roman"/>
          <w:sz w:val="24"/>
          <w:szCs w:val="24"/>
          <w:lang w:val="en-ZW"/>
        </w:rPr>
        <w:t xml:space="preserve">is not properly before this Court. This is so because firstly, the matter was not raised </w:t>
      </w:r>
      <w:r w:rsidR="0060202F" w:rsidRPr="0060202F">
        <w:rPr>
          <w:rFonts w:ascii="Times New Roman" w:eastAsia="Calibri" w:hAnsi="Times New Roman" w:cs="Times New Roman"/>
          <w:i/>
          <w:sz w:val="24"/>
          <w:szCs w:val="24"/>
          <w:lang w:val="en-ZW"/>
        </w:rPr>
        <w:t>a quo</w:t>
      </w:r>
      <w:r w:rsidR="001E3D42">
        <w:rPr>
          <w:rFonts w:ascii="Times New Roman" w:eastAsia="Calibri" w:hAnsi="Times New Roman" w:cs="Times New Roman"/>
          <w:sz w:val="24"/>
          <w:szCs w:val="24"/>
          <w:lang w:val="en-ZW"/>
        </w:rPr>
        <w:t xml:space="preserve"> despite</w:t>
      </w:r>
      <w:r w:rsidR="0060202F">
        <w:rPr>
          <w:rFonts w:ascii="Times New Roman" w:eastAsia="Calibri" w:hAnsi="Times New Roman" w:cs="Times New Roman"/>
          <w:sz w:val="24"/>
          <w:szCs w:val="24"/>
          <w:lang w:val="en-ZW"/>
        </w:rPr>
        <w:t xml:space="preserve"> the </w:t>
      </w:r>
      <w:r w:rsidR="00C820A9">
        <w:rPr>
          <w:rFonts w:ascii="Times New Roman" w:eastAsia="Calibri" w:hAnsi="Times New Roman" w:cs="Times New Roman"/>
          <w:sz w:val="24"/>
          <w:szCs w:val="24"/>
          <w:lang w:val="en-ZW"/>
        </w:rPr>
        <w:t>first</w:t>
      </w:r>
      <w:r w:rsidR="001E3D42">
        <w:rPr>
          <w:rFonts w:ascii="Times New Roman" w:eastAsia="Calibri" w:hAnsi="Times New Roman" w:cs="Times New Roman"/>
          <w:sz w:val="24"/>
          <w:szCs w:val="24"/>
          <w:lang w:val="en-ZW"/>
        </w:rPr>
        <w:t xml:space="preserve"> respondent’s </w:t>
      </w:r>
      <w:r w:rsidR="00797815">
        <w:rPr>
          <w:rFonts w:ascii="Times New Roman" w:eastAsia="Calibri" w:hAnsi="Times New Roman" w:cs="Times New Roman"/>
          <w:sz w:val="24"/>
          <w:szCs w:val="24"/>
          <w:lang w:val="en-ZW"/>
        </w:rPr>
        <w:t>contention</w:t>
      </w:r>
      <w:r w:rsidR="001E3D42">
        <w:rPr>
          <w:rFonts w:ascii="Times New Roman" w:eastAsia="Calibri" w:hAnsi="Times New Roman" w:cs="Times New Roman"/>
          <w:sz w:val="24"/>
          <w:szCs w:val="24"/>
          <w:lang w:val="en-ZW"/>
        </w:rPr>
        <w:t xml:space="preserve"> that it had been raised. The issue which </w:t>
      </w:r>
      <w:r w:rsidR="001E3D42" w:rsidRPr="00840C2B">
        <w:rPr>
          <w:rFonts w:ascii="Times New Roman" w:eastAsia="Calibri" w:hAnsi="Times New Roman" w:cs="Times New Roman"/>
          <w:sz w:val="24"/>
          <w:szCs w:val="24"/>
          <w:lang w:val="en-ZW"/>
        </w:rPr>
        <w:t xml:space="preserve">Mr </w:t>
      </w:r>
      <w:proofErr w:type="spellStart"/>
      <w:r w:rsidR="001E3D42" w:rsidRPr="00637586">
        <w:rPr>
          <w:rFonts w:ascii="Times New Roman" w:eastAsia="Calibri" w:hAnsi="Times New Roman" w:cs="Times New Roman"/>
          <w:i/>
          <w:sz w:val="24"/>
          <w:szCs w:val="24"/>
          <w:lang w:val="en-ZW"/>
        </w:rPr>
        <w:t>Hashiti</w:t>
      </w:r>
      <w:proofErr w:type="spellEnd"/>
      <w:r w:rsidR="001E3D42">
        <w:rPr>
          <w:rFonts w:ascii="Times New Roman" w:eastAsia="Calibri" w:hAnsi="Times New Roman" w:cs="Times New Roman"/>
          <w:sz w:val="24"/>
          <w:szCs w:val="24"/>
          <w:lang w:val="en-ZW"/>
        </w:rPr>
        <w:t xml:space="preserve"> alluded to as having been raised by the appellant </w:t>
      </w:r>
      <w:r>
        <w:rPr>
          <w:rFonts w:ascii="Times New Roman" w:eastAsia="Calibri" w:hAnsi="Times New Roman" w:cs="Times New Roman"/>
          <w:sz w:val="24"/>
          <w:szCs w:val="24"/>
          <w:lang w:val="en-ZW"/>
        </w:rPr>
        <w:t xml:space="preserve">in the court </w:t>
      </w:r>
      <w:r w:rsidR="0060202F" w:rsidRPr="0060202F">
        <w:rPr>
          <w:rFonts w:ascii="Times New Roman" w:eastAsia="Calibri" w:hAnsi="Times New Roman" w:cs="Times New Roman"/>
          <w:i/>
          <w:sz w:val="24"/>
          <w:szCs w:val="24"/>
          <w:lang w:val="en-ZW"/>
        </w:rPr>
        <w:t>a quo</w:t>
      </w:r>
      <w:r>
        <w:rPr>
          <w:rFonts w:ascii="Times New Roman" w:eastAsia="Calibri" w:hAnsi="Times New Roman" w:cs="Times New Roman"/>
          <w:sz w:val="24"/>
          <w:szCs w:val="24"/>
          <w:lang w:val="en-ZW"/>
        </w:rPr>
        <w:t xml:space="preserve"> rel</w:t>
      </w:r>
      <w:r w:rsidR="001E3D42">
        <w:rPr>
          <w:rFonts w:ascii="Times New Roman" w:eastAsia="Calibri" w:hAnsi="Times New Roman" w:cs="Times New Roman"/>
          <w:sz w:val="24"/>
          <w:szCs w:val="24"/>
          <w:lang w:val="en-ZW"/>
        </w:rPr>
        <w:t>ates to the jurisdiction of th</w:t>
      </w:r>
      <w:r>
        <w:rPr>
          <w:rFonts w:ascii="Times New Roman" w:eastAsia="Calibri" w:hAnsi="Times New Roman" w:cs="Times New Roman"/>
          <w:sz w:val="24"/>
          <w:szCs w:val="24"/>
          <w:lang w:val="en-ZW"/>
        </w:rPr>
        <w:t xml:space="preserve">e second and third respondents </w:t>
      </w:r>
      <w:r w:rsidR="001E3D42">
        <w:rPr>
          <w:rFonts w:ascii="Times New Roman" w:eastAsia="Calibri" w:hAnsi="Times New Roman" w:cs="Times New Roman"/>
          <w:sz w:val="24"/>
          <w:szCs w:val="24"/>
          <w:lang w:val="en-ZW"/>
        </w:rPr>
        <w:t xml:space="preserve">and not to the first respondent’s </w:t>
      </w:r>
      <w:r w:rsidR="001E3D42" w:rsidRPr="002076EF">
        <w:rPr>
          <w:rFonts w:ascii="Times New Roman" w:eastAsia="Calibri" w:hAnsi="Times New Roman" w:cs="Times New Roman"/>
          <w:i/>
          <w:sz w:val="24"/>
          <w:szCs w:val="24"/>
          <w:lang w:val="en-ZW"/>
        </w:rPr>
        <w:t>locus standi</w:t>
      </w:r>
      <w:r w:rsidR="001E3D42">
        <w:rPr>
          <w:rFonts w:ascii="Times New Roman" w:eastAsia="Calibri" w:hAnsi="Times New Roman" w:cs="Times New Roman"/>
          <w:sz w:val="24"/>
          <w:szCs w:val="24"/>
          <w:lang w:val="en-ZW"/>
        </w:rPr>
        <w:t>.</w:t>
      </w:r>
      <w:r w:rsidR="002076EF">
        <w:rPr>
          <w:rFonts w:ascii="Times New Roman" w:eastAsia="Calibri" w:hAnsi="Times New Roman" w:cs="Times New Roman"/>
          <w:sz w:val="24"/>
          <w:szCs w:val="24"/>
          <w:lang w:val="en-ZW"/>
        </w:rPr>
        <w:t xml:space="preserve"> The appellant’s contention on the first respondent’s </w:t>
      </w:r>
      <w:r w:rsidR="002076EF" w:rsidRPr="002076EF">
        <w:rPr>
          <w:rFonts w:ascii="Times New Roman" w:eastAsia="Calibri" w:hAnsi="Times New Roman" w:cs="Times New Roman"/>
          <w:i/>
          <w:sz w:val="24"/>
          <w:szCs w:val="24"/>
          <w:lang w:val="en-ZW"/>
        </w:rPr>
        <w:t>locus standi</w:t>
      </w:r>
      <w:r w:rsidR="002076EF">
        <w:rPr>
          <w:rFonts w:ascii="Times New Roman" w:eastAsia="Calibri" w:hAnsi="Times New Roman" w:cs="Times New Roman"/>
          <w:sz w:val="24"/>
          <w:szCs w:val="24"/>
          <w:lang w:val="en-ZW"/>
        </w:rPr>
        <w:t xml:space="preserve"> therefore seeks to make this Court a second court of first instance. </w:t>
      </w:r>
      <w:r w:rsidR="008D0B0B">
        <w:rPr>
          <w:rFonts w:ascii="Times New Roman" w:eastAsia="Calibri" w:hAnsi="Times New Roman" w:cs="Times New Roman"/>
          <w:sz w:val="24"/>
          <w:szCs w:val="24"/>
          <w:lang w:val="en-ZW"/>
        </w:rPr>
        <w:t xml:space="preserve">This court cannot do so as it is an appellate court. (see </w:t>
      </w:r>
      <w:r w:rsidR="008D0B0B" w:rsidRPr="008D0B0B">
        <w:rPr>
          <w:rFonts w:ascii="Times New Roman" w:eastAsia="Calibri" w:hAnsi="Times New Roman" w:cs="Times New Roman"/>
          <w:i/>
          <w:iCs/>
          <w:sz w:val="24"/>
          <w:szCs w:val="24"/>
          <w:lang w:val="en-ZW"/>
        </w:rPr>
        <w:t>Lungu &amp; Others</w:t>
      </w:r>
      <w:r w:rsidR="008D0B0B">
        <w:rPr>
          <w:rFonts w:ascii="Times New Roman" w:eastAsia="Calibri" w:hAnsi="Times New Roman" w:cs="Times New Roman"/>
          <w:sz w:val="24"/>
          <w:szCs w:val="24"/>
          <w:lang w:val="en-ZW"/>
        </w:rPr>
        <w:t xml:space="preserve"> v </w:t>
      </w:r>
      <w:r w:rsidR="008D0B0B" w:rsidRPr="008D0B0B">
        <w:rPr>
          <w:rFonts w:ascii="Times New Roman" w:eastAsia="Calibri" w:hAnsi="Times New Roman" w:cs="Times New Roman"/>
          <w:i/>
          <w:iCs/>
          <w:sz w:val="24"/>
          <w:szCs w:val="24"/>
          <w:lang w:val="en-ZW"/>
        </w:rPr>
        <w:t>RBZ</w:t>
      </w:r>
      <w:r w:rsidR="008D0B0B">
        <w:rPr>
          <w:rFonts w:ascii="Times New Roman" w:eastAsia="Calibri" w:hAnsi="Times New Roman" w:cs="Times New Roman"/>
          <w:sz w:val="24"/>
          <w:szCs w:val="24"/>
          <w:lang w:val="en-ZW"/>
        </w:rPr>
        <w:t xml:space="preserve"> SC 26/2021). </w:t>
      </w:r>
      <w:r w:rsidR="002076EF">
        <w:rPr>
          <w:rFonts w:ascii="Times New Roman" w:eastAsia="Calibri" w:hAnsi="Times New Roman" w:cs="Times New Roman"/>
          <w:sz w:val="24"/>
          <w:szCs w:val="24"/>
          <w:lang w:val="en-ZW"/>
        </w:rPr>
        <w:t>The circumstances of this case do not warrant such a course of action.</w:t>
      </w:r>
    </w:p>
    <w:p w14:paraId="27CC637D" w14:textId="77777777" w:rsidR="002076EF" w:rsidRDefault="002076EF" w:rsidP="002076EF">
      <w:pPr>
        <w:spacing w:line="480" w:lineRule="auto"/>
        <w:ind w:firstLine="720"/>
        <w:jc w:val="both"/>
        <w:rPr>
          <w:rFonts w:ascii="Times New Roman" w:eastAsia="Calibri" w:hAnsi="Times New Roman" w:cs="Times New Roman"/>
          <w:sz w:val="24"/>
          <w:szCs w:val="24"/>
          <w:lang w:val="en-ZW"/>
        </w:rPr>
      </w:pPr>
    </w:p>
    <w:p w14:paraId="7CA30907" w14:textId="28F114A3" w:rsidR="00F745FC" w:rsidRDefault="00637586" w:rsidP="00AE2D4E">
      <w:pPr>
        <w:spacing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Furthermore,</w:t>
      </w:r>
      <w:r w:rsidR="001E3D42">
        <w:rPr>
          <w:rFonts w:ascii="Times New Roman" w:eastAsia="Calibri" w:hAnsi="Times New Roman" w:cs="Times New Roman"/>
          <w:sz w:val="24"/>
          <w:szCs w:val="24"/>
          <w:lang w:val="en-ZW"/>
        </w:rPr>
        <w:t xml:space="preserve"> and </w:t>
      </w:r>
      <w:r>
        <w:rPr>
          <w:rFonts w:ascii="Times New Roman" w:eastAsia="Calibri" w:hAnsi="Times New Roman" w:cs="Times New Roman"/>
          <w:sz w:val="24"/>
          <w:szCs w:val="24"/>
          <w:lang w:val="en-ZW"/>
        </w:rPr>
        <w:t>significantly</w:t>
      </w:r>
      <w:r w:rsidR="001E3D42">
        <w:rPr>
          <w:rFonts w:ascii="Times New Roman" w:eastAsia="Calibri" w:hAnsi="Times New Roman" w:cs="Times New Roman"/>
          <w:sz w:val="24"/>
          <w:szCs w:val="24"/>
          <w:lang w:val="en-ZW"/>
        </w:rPr>
        <w:t xml:space="preserve"> so, </w:t>
      </w:r>
      <w:r w:rsidR="00C820A9">
        <w:rPr>
          <w:rFonts w:ascii="Times New Roman" w:eastAsia="Calibri" w:hAnsi="Times New Roman" w:cs="Times New Roman"/>
          <w:sz w:val="24"/>
          <w:szCs w:val="24"/>
          <w:lang w:val="en-ZW"/>
        </w:rPr>
        <w:t xml:space="preserve">in the related </w:t>
      </w:r>
      <w:r w:rsidR="001E3D42">
        <w:rPr>
          <w:rFonts w:ascii="Times New Roman" w:eastAsia="Calibri" w:hAnsi="Times New Roman" w:cs="Times New Roman"/>
          <w:sz w:val="24"/>
          <w:szCs w:val="24"/>
          <w:lang w:val="en-ZW"/>
        </w:rPr>
        <w:t xml:space="preserve">judgment by </w:t>
      </w:r>
      <w:proofErr w:type="spellStart"/>
      <w:r w:rsidR="001E3D42" w:rsidRPr="002076EF">
        <w:rPr>
          <w:rFonts w:ascii="Times New Roman" w:eastAsia="Calibri" w:hAnsi="Times New Roman" w:cs="Times New Roman"/>
          <w:sz w:val="24"/>
          <w:szCs w:val="24"/>
          <w:lang w:val="en-ZW"/>
        </w:rPr>
        <w:t>C</w:t>
      </w:r>
      <w:r w:rsidR="002076EF" w:rsidRPr="002076EF">
        <w:rPr>
          <w:rFonts w:ascii="Times New Roman" w:eastAsia="Calibri" w:hAnsi="Times New Roman" w:cs="Times New Roman"/>
          <w:smallCaps/>
          <w:sz w:val="24"/>
          <w:szCs w:val="24"/>
          <w:lang w:val="en-ZW"/>
        </w:rPr>
        <w:t>hinamora</w:t>
      </w:r>
      <w:proofErr w:type="spellEnd"/>
      <w:r w:rsidR="001E3D42" w:rsidRPr="002076EF">
        <w:rPr>
          <w:rFonts w:ascii="Times New Roman" w:eastAsia="Calibri" w:hAnsi="Times New Roman" w:cs="Times New Roman"/>
          <w:sz w:val="24"/>
          <w:szCs w:val="24"/>
          <w:lang w:val="en-ZW"/>
        </w:rPr>
        <w:t xml:space="preserve"> </w:t>
      </w:r>
      <w:r w:rsidR="001E3D42">
        <w:rPr>
          <w:rFonts w:ascii="Times New Roman" w:eastAsia="Calibri" w:hAnsi="Times New Roman" w:cs="Times New Roman"/>
          <w:sz w:val="24"/>
          <w:szCs w:val="24"/>
          <w:lang w:val="en-ZW"/>
        </w:rPr>
        <w:t>J</w:t>
      </w:r>
      <w:r>
        <w:rPr>
          <w:rFonts w:ascii="Times New Roman" w:eastAsia="Calibri" w:hAnsi="Times New Roman" w:cs="Times New Roman"/>
          <w:sz w:val="24"/>
          <w:szCs w:val="24"/>
          <w:lang w:val="en-ZW"/>
        </w:rPr>
        <w:t xml:space="preserve"> </w:t>
      </w:r>
      <w:r w:rsidR="00C820A9">
        <w:rPr>
          <w:rFonts w:ascii="Times New Roman" w:eastAsia="Calibri" w:hAnsi="Times New Roman" w:cs="Times New Roman"/>
          <w:sz w:val="24"/>
          <w:szCs w:val="24"/>
          <w:lang w:val="en-ZW"/>
        </w:rPr>
        <w:t xml:space="preserve">in </w:t>
      </w:r>
      <w:r w:rsidR="00C820A9" w:rsidRPr="00637586">
        <w:rPr>
          <w:rFonts w:ascii="Times New Roman" w:eastAsia="Calibri" w:hAnsi="Times New Roman" w:cs="Times New Roman"/>
          <w:i/>
          <w:sz w:val="24"/>
          <w:szCs w:val="24"/>
          <w:lang w:val="en-ZW"/>
        </w:rPr>
        <w:t>Harare Wetland Trust</w:t>
      </w:r>
      <w:r w:rsidR="008D0B0B">
        <w:rPr>
          <w:rFonts w:ascii="Times New Roman" w:eastAsia="Calibri" w:hAnsi="Times New Roman" w:cs="Times New Roman"/>
          <w:i/>
          <w:sz w:val="24"/>
          <w:szCs w:val="24"/>
          <w:lang w:val="en-ZW"/>
        </w:rPr>
        <w:t xml:space="preserve"> &amp; </w:t>
      </w:r>
      <w:r w:rsidR="00254C87">
        <w:rPr>
          <w:rFonts w:ascii="Times New Roman" w:eastAsia="Calibri" w:hAnsi="Times New Roman" w:cs="Times New Roman"/>
          <w:i/>
          <w:sz w:val="24"/>
          <w:szCs w:val="24"/>
          <w:lang w:val="en-ZW"/>
        </w:rPr>
        <w:t xml:space="preserve">Anor </w:t>
      </w:r>
      <w:r w:rsidR="00C820A9" w:rsidRPr="00637586">
        <w:rPr>
          <w:rFonts w:ascii="Times New Roman" w:eastAsia="Calibri" w:hAnsi="Times New Roman" w:cs="Times New Roman"/>
          <w:i/>
          <w:sz w:val="24"/>
          <w:szCs w:val="24"/>
          <w:lang w:val="en-ZW"/>
        </w:rPr>
        <w:t xml:space="preserve">v New Life Covenant Church </w:t>
      </w:r>
      <w:r w:rsidR="00254C87">
        <w:rPr>
          <w:rFonts w:ascii="Times New Roman" w:eastAsia="Calibri" w:hAnsi="Times New Roman" w:cs="Times New Roman"/>
          <w:i/>
          <w:sz w:val="24"/>
          <w:szCs w:val="24"/>
          <w:lang w:val="en-ZW"/>
        </w:rPr>
        <w:t>&amp; Others</w:t>
      </w:r>
      <w:r w:rsidR="00254C87">
        <w:rPr>
          <w:rFonts w:ascii="Times New Roman" w:eastAsia="Calibri" w:hAnsi="Times New Roman" w:cs="Times New Roman"/>
          <w:sz w:val="24"/>
          <w:szCs w:val="24"/>
          <w:lang w:val="en-ZW"/>
        </w:rPr>
        <w:t xml:space="preserve"> </w:t>
      </w:r>
      <w:r w:rsidR="00D23AA4">
        <w:rPr>
          <w:rFonts w:ascii="Times New Roman" w:eastAsia="Calibri" w:hAnsi="Times New Roman" w:cs="Times New Roman"/>
          <w:sz w:val="24"/>
          <w:szCs w:val="24"/>
          <w:lang w:val="en-ZW"/>
        </w:rPr>
        <w:t>(</w:t>
      </w:r>
      <w:r w:rsidR="00D23AA4">
        <w:rPr>
          <w:rFonts w:ascii="Times New Roman" w:eastAsia="Calibri" w:hAnsi="Times New Roman" w:cs="Times New Roman"/>
          <w:i/>
          <w:iCs/>
          <w:sz w:val="24"/>
          <w:szCs w:val="24"/>
          <w:lang w:val="en-ZW"/>
        </w:rPr>
        <w:t>supra</w:t>
      </w:r>
      <w:r w:rsidR="00D23AA4">
        <w:rPr>
          <w:rFonts w:ascii="Times New Roman" w:eastAsia="Calibri" w:hAnsi="Times New Roman" w:cs="Times New Roman"/>
          <w:sz w:val="24"/>
          <w:szCs w:val="24"/>
          <w:lang w:val="en-ZW"/>
        </w:rPr>
        <w:t>)</w:t>
      </w:r>
      <w:r w:rsidR="00C820A9" w:rsidRPr="00637586">
        <w:rPr>
          <w:rFonts w:ascii="Times New Roman" w:eastAsia="Calibri" w:hAnsi="Times New Roman" w:cs="Times New Roman"/>
          <w:i/>
          <w:sz w:val="24"/>
          <w:szCs w:val="24"/>
          <w:lang w:val="en-ZW"/>
        </w:rPr>
        <w:t xml:space="preserve"> </w:t>
      </w:r>
      <w:r w:rsidR="00C820A9">
        <w:rPr>
          <w:rFonts w:ascii="Times New Roman" w:eastAsia="Calibri" w:hAnsi="Times New Roman" w:cs="Times New Roman"/>
          <w:sz w:val="24"/>
          <w:szCs w:val="24"/>
          <w:lang w:val="en-ZW"/>
        </w:rPr>
        <w:t xml:space="preserve">it was </w:t>
      </w:r>
      <w:r w:rsidR="001E3D42">
        <w:rPr>
          <w:rFonts w:ascii="Times New Roman" w:eastAsia="Calibri" w:hAnsi="Times New Roman" w:cs="Times New Roman"/>
          <w:sz w:val="24"/>
          <w:szCs w:val="24"/>
          <w:lang w:val="en-ZW"/>
        </w:rPr>
        <w:t xml:space="preserve">determined that the first respondent had the requisite </w:t>
      </w:r>
      <w:r w:rsidR="001E3D42" w:rsidRPr="00C820A9">
        <w:rPr>
          <w:rFonts w:ascii="Times New Roman" w:eastAsia="Calibri" w:hAnsi="Times New Roman" w:cs="Times New Roman"/>
          <w:i/>
          <w:sz w:val="24"/>
          <w:szCs w:val="24"/>
          <w:lang w:val="en-ZW"/>
        </w:rPr>
        <w:t>locus standi</w:t>
      </w:r>
      <w:r w:rsidR="00C820A9">
        <w:rPr>
          <w:rFonts w:ascii="Times New Roman" w:eastAsia="Calibri" w:hAnsi="Times New Roman" w:cs="Times New Roman"/>
          <w:sz w:val="24"/>
          <w:szCs w:val="24"/>
          <w:lang w:val="en-ZW"/>
        </w:rPr>
        <w:t xml:space="preserve"> to challenge the developments in issue as they were being undertaken without a development permit</w:t>
      </w:r>
      <w:r w:rsidR="001E3D42">
        <w:rPr>
          <w:rFonts w:ascii="Times New Roman" w:eastAsia="Calibri" w:hAnsi="Times New Roman" w:cs="Times New Roman"/>
          <w:sz w:val="24"/>
          <w:szCs w:val="24"/>
          <w:lang w:val="en-ZW"/>
        </w:rPr>
        <w:t>.</w:t>
      </w:r>
      <w:r w:rsidR="00C820A9">
        <w:rPr>
          <w:rFonts w:ascii="Times New Roman" w:eastAsia="Calibri" w:hAnsi="Times New Roman" w:cs="Times New Roman"/>
          <w:sz w:val="24"/>
          <w:szCs w:val="24"/>
          <w:lang w:val="en-ZW"/>
        </w:rPr>
        <w:t xml:space="preserve"> </w:t>
      </w:r>
      <w:r w:rsidR="00F745FC">
        <w:rPr>
          <w:rFonts w:ascii="Times New Roman" w:eastAsia="Calibri" w:hAnsi="Times New Roman" w:cs="Times New Roman"/>
          <w:sz w:val="24"/>
          <w:szCs w:val="24"/>
          <w:lang w:val="en-ZW"/>
        </w:rPr>
        <w:t>The</w:t>
      </w:r>
      <w:r w:rsidR="003F5256">
        <w:rPr>
          <w:rFonts w:ascii="Times New Roman" w:eastAsia="Calibri" w:hAnsi="Times New Roman" w:cs="Times New Roman"/>
          <w:sz w:val="24"/>
          <w:szCs w:val="24"/>
          <w:lang w:val="en-ZW"/>
        </w:rPr>
        <w:t xml:space="preserve"> appellant had challenged the first </w:t>
      </w:r>
      <w:r w:rsidR="003F5256">
        <w:rPr>
          <w:rFonts w:ascii="Times New Roman" w:eastAsia="Calibri" w:hAnsi="Times New Roman" w:cs="Times New Roman"/>
          <w:sz w:val="24"/>
          <w:szCs w:val="24"/>
          <w:lang w:val="en-ZW"/>
        </w:rPr>
        <w:lastRenderedPageBreak/>
        <w:t xml:space="preserve">respondent’s </w:t>
      </w:r>
      <w:r w:rsidR="003F5256" w:rsidRPr="003F5256">
        <w:rPr>
          <w:rFonts w:ascii="Times New Roman" w:eastAsia="Calibri" w:hAnsi="Times New Roman" w:cs="Times New Roman"/>
          <w:i/>
          <w:iCs/>
          <w:sz w:val="24"/>
          <w:szCs w:val="24"/>
          <w:lang w:val="en-ZW"/>
        </w:rPr>
        <w:t>locus standi</w:t>
      </w:r>
      <w:r w:rsidR="003F5256">
        <w:rPr>
          <w:rFonts w:ascii="Times New Roman" w:eastAsia="Calibri" w:hAnsi="Times New Roman" w:cs="Times New Roman"/>
          <w:sz w:val="24"/>
          <w:szCs w:val="24"/>
          <w:lang w:val="en-ZW"/>
        </w:rPr>
        <w:t xml:space="preserve"> to apply for an order declaring the</w:t>
      </w:r>
      <w:r w:rsidR="002918E5">
        <w:rPr>
          <w:rFonts w:ascii="Times New Roman" w:eastAsia="Calibri" w:hAnsi="Times New Roman" w:cs="Times New Roman"/>
          <w:sz w:val="24"/>
          <w:szCs w:val="24"/>
          <w:lang w:val="en-ZW"/>
        </w:rPr>
        <w:t xml:space="preserve"> developments on</w:t>
      </w:r>
      <w:r w:rsidR="003F5256" w:rsidRPr="003F5256">
        <w:rPr>
          <w:rFonts w:ascii="Times New Roman" w:hAnsi="Times New Roman" w:cs="Times New Roman"/>
          <w:sz w:val="24"/>
          <w:szCs w:val="24"/>
        </w:rPr>
        <w:t xml:space="preserve"> </w:t>
      </w:r>
      <w:r w:rsidR="003F5256" w:rsidRPr="00C66676">
        <w:rPr>
          <w:rFonts w:ascii="Times New Roman" w:hAnsi="Times New Roman" w:cs="Times New Roman"/>
          <w:sz w:val="24"/>
          <w:szCs w:val="24"/>
        </w:rPr>
        <w:t>Stand 1892 Boundary Road</w:t>
      </w:r>
      <w:r w:rsidR="003F5256">
        <w:rPr>
          <w:rFonts w:ascii="Times New Roman" w:hAnsi="Times New Roman" w:cs="Times New Roman"/>
          <w:sz w:val="24"/>
          <w:szCs w:val="24"/>
        </w:rPr>
        <w:t xml:space="preserve"> unlawful.</w:t>
      </w:r>
      <w:r w:rsidR="00F745FC">
        <w:rPr>
          <w:rFonts w:ascii="Times New Roman" w:eastAsia="Calibri" w:hAnsi="Times New Roman" w:cs="Times New Roman"/>
          <w:sz w:val="24"/>
          <w:szCs w:val="24"/>
          <w:lang w:val="en-ZW"/>
        </w:rPr>
        <w:t xml:space="preserve"> </w:t>
      </w:r>
      <w:proofErr w:type="spellStart"/>
      <w:r w:rsidR="00F745FC">
        <w:rPr>
          <w:rFonts w:ascii="Times New Roman" w:eastAsia="Calibri" w:hAnsi="Times New Roman" w:cs="Times New Roman"/>
          <w:sz w:val="24"/>
          <w:szCs w:val="24"/>
          <w:lang w:val="en-ZW"/>
        </w:rPr>
        <w:t>C</w:t>
      </w:r>
      <w:r w:rsidR="00F745FC" w:rsidRPr="00F745FC">
        <w:rPr>
          <w:rFonts w:ascii="Times New Roman" w:eastAsia="Calibri" w:hAnsi="Times New Roman" w:cs="Times New Roman"/>
          <w:smallCaps/>
          <w:sz w:val="24"/>
          <w:szCs w:val="24"/>
          <w:lang w:val="en-ZW"/>
        </w:rPr>
        <w:t>hinamora</w:t>
      </w:r>
      <w:proofErr w:type="spellEnd"/>
      <w:r w:rsidR="00F745FC">
        <w:rPr>
          <w:rFonts w:ascii="Times New Roman" w:eastAsia="Calibri" w:hAnsi="Times New Roman" w:cs="Times New Roman"/>
          <w:sz w:val="24"/>
          <w:szCs w:val="24"/>
          <w:lang w:val="en-ZW"/>
        </w:rPr>
        <w:t xml:space="preserve"> J remarked at p 9 that:</w:t>
      </w:r>
    </w:p>
    <w:p w14:paraId="159E4516" w14:textId="402D21DA" w:rsidR="00F745FC" w:rsidRDefault="00F745FC" w:rsidP="00F745FC">
      <w:pPr>
        <w:pStyle w:val="NormalWeb"/>
        <w:spacing w:before="0" w:beforeAutospacing="0" w:after="0" w:afterAutospacing="0" w:line="360" w:lineRule="auto"/>
        <w:ind w:left="720"/>
        <w:jc w:val="both"/>
        <w:rPr>
          <w:color w:val="000000"/>
        </w:rPr>
      </w:pPr>
      <w:r>
        <w:rPr>
          <w:color w:val="000000"/>
        </w:rPr>
        <w:t xml:space="preserve">“In light of the objectives stated in their constituent documents, I am satisfied that the applicants have a direct and sufficient interest in the subject matter and outcome of the litigation before me, and are not mere meddlesome busybodies. The first applicant’s principal concern is the conservation of the wetland area where construction work is being undertaken. That concern, in my view, implies a genuine interest in the health and well-being of the residents proximate to the construction area who may be affected by any interference with the riverbank or public stream that flows near the site. The </w:t>
      </w:r>
      <w:r w:rsidRPr="00061536">
        <w:rPr>
          <w:i/>
          <w:color w:val="000000"/>
        </w:rPr>
        <w:t>locus standi</w:t>
      </w:r>
      <w:r>
        <w:rPr>
          <w:color w:val="000000"/>
        </w:rPr>
        <w:t xml:space="preserve"> of the second applicant has not been challenged. I will not dwell on that since the first respondent seems to have accepted that the second respondent has the right to represent the interests of residents in the neighbourhood of Newlands.” </w:t>
      </w:r>
    </w:p>
    <w:p w14:paraId="10973FA4" w14:textId="77777777" w:rsidR="00F745FC" w:rsidRDefault="00F745FC" w:rsidP="002076EF">
      <w:pPr>
        <w:spacing w:line="480" w:lineRule="auto"/>
        <w:ind w:firstLine="720"/>
        <w:jc w:val="both"/>
        <w:rPr>
          <w:rFonts w:ascii="Times New Roman" w:eastAsia="Calibri" w:hAnsi="Times New Roman" w:cs="Times New Roman"/>
          <w:sz w:val="24"/>
          <w:szCs w:val="24"/>
          <w:lang w:val="en-ZW"/>
        </w:rPr>
      </w:pPr>
    </w:p>
    <w:p w14:paraId="4FD20DF5" w14:textId="43B17241" w:rsidR="006443A6" w:rsidRDefault="001E3D42" w:rsidP="007A5382">
      <w:pPr>
        <w:spacing w:after="0"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It is </w:t>
      </w:r>
      <w:r w:rsidR="00C820A9">
        <w:rPr>
          <w:rFonts w:ascii="Times New Roman" w:eastAsia="Calibri" w:hAnsi="Times New Roman" w:cs="Times New Roman"/>
          <w:sz w:val="24"/>
          <w:szCs w:val="24"/>
          <w:lang w:val="en-ZW"/>
        </w:rPr>
        <w:t xml:space="preserve">the court’s </w:t>
      </w:r>
      <w:r>
        <w:rPr>
          <w:rFonts w:ascii="Times New Roman" w:eastAsia="Calibri" w:hAnsi="Times New Roman" w:cs="Times New Roman"/>
          <w:sz w:val="24"/>
          <w:szCs w:val="24"/>
          <w:lang w:val="en-ZW"/>
        </w:rPr>
        <w:t xml:space="preserve">view that the core </w:t>
      </w:r>
      <w:r w:rsidR="00637586">
        <w:rPr>
          <w:rFonts w:ascii="Times New Roman" w:eastAsia="Calibri" w:hAnsi="Times New Roman" w:cs="Times New Roman"/>
          <w:sz w:val="24"/>
          <w:szCs w:val="24"/>
          <w:lang w:val="en-ZW"/>
        </w:rPr>
        <w:t>issues before the learned Judge emanated from the a</w:t>
      </w:r>
      <w:r>
        <w:rPr>
          <w:rFonts w:ascii="Times New Roman" w:eastAsia="Calibri" w:hAnsi="Times New Roman" w:cs="Times New Roman"/>
          <w:sz w:val="24"/>
          <w:szCs w:val="24"/>
          <w:lang w:val="en-ZW"/>
        </w:rPr>
        <w:t xml:space="preserve">ppellant’s conduct of </w:t>
      </w:r>
      <w:r w:rsidR="00637586">
        <w:rPr>
          <w:rFonts w:ascii="Times New Roman" w:eastAsia="Calibri" w:hAnsi="Times New Roman" w:cs="Times New Roman"/>
          <w:sz w:val="24"/>
          <w:szCs w:val="24"/>
          <w:lang w:val="en-ZW"/>
        </w:rPr>
        <w:t>commencing</w:t>
      </w:r>
      <w:r>
        <w:rPr>
          <w:rFonts w:ascii="Times New Roman" w:eastAsia="Calibri" w:hAnsi="Times New Roman" w:cs="Times New Roman"/>
          <w:sz w:val="24"/>
          <w:szCs w:val="24"/>
          <w:lang w:val="en-ZW"/>
        </w:rPr>
        <w:t xml:space="preserve"> developments on the property without a development permit.</w:t>
      </w:r>
      <w:r w:rsidR="00637586">
        <w:rPr>
          <w:rFonts w:ascii="Times New Roman" w:eastAsia="Calibri" w:hAnsi="Times New Roman" w:cs="Times New Roman"/>
          <w:sz w:val="24"/>
          <w:szCs w:val="24"/>
          <w:lang w:val="en-ZW"/>
        </w:rPr>
        <w:t xml:space="preserve"> </w:t>
      </w:r>
      <w:r w:rsidR="00F745FC">
        <w:rPr>
          <w:rFonts w:ascii="Times New Roman" w:eastAsia="Calibri" w:hAnsi="Times New Roman" w:cs="Times New Roman"/>
          <w:sz w:val="24"/>
          <w:szCs w:val="24"/>
          <w:lang w:val="en-ZW"/>
        </w:rPr>
        <w:t>The appellant had challenged the application</w:t>
      </w:r>
      <w:r w:rsidR="002918E5">
        <w:rPr>
          <w:rFonts w:ascii="Times New Roman" w:eastAsia="Calibri" w:hAnsi="Times New Roman" w:cs="Times New Roman"/>
          <w:sz w:val="24"/>
          <w:szCs w:val="24"/>
          <w:lang w:val="en-ZW"/>
        </w:rPr>
        <w:t>,</w:t>
      </w:r>
      <w:r w:rsidR="00F745FC">
        <w:rPr>
          <w:rFonts w:ascii="Times New Roman" w:eastAsia="Calibri" w:hAnsi="Times New Roman" w:cs="Times New Roman"/>
          <w:sz w:val="24"/>
          <w:szCs w:val="24"/>
          <w:lang w:val="en-ZW"/>
        </w:rPr>
        <w:t xml:space="preserve"> </w:t>
      </w:r>
      <w:r w:rsidR="003F5256">
        <w:rPr>
          <w:rFonts w:ascii="Times New Roman" w:eastAsia="Calibri" w:hAnsi="Times New Roman" w:cs="Times New Roman"/>
          <w:sz w:val="24"/>
          <w:szCs w:val="24"/>
          <w:lang w:val="en-ZW"/>
        </w:rPr>
        <w:t>a</w:t>
      </w:r>
      <w:r w:rsidR="00F745FC">
        <w:rPr>
          <w:rFonts w:ascii="Times New Roman" w:eastAsia="Calibri" w:hAnsi="Times New Roman" w:cs="Times New Roman"/>
          <w:sz w:val="24"/>
          <w:szCs w:val="24"/>
          <w:lang w:val="en-ZW"/>
        </w:rPr>
        <w:t xml:space="preserve">rguing that it was in possession of a development permit issued by the third respondent. </w:t>
      </w:r>
      <w:r w:rsidR="006443A6">
        <w:rPr>
          <w:rFonts w:ascii="Times New Roman" w:eastAsia="Calibri" w:hAnsi="Times New Roman" w:cs="Times New Roman"/>
          <w:sz w:val="24"/>
          <w:szCs w:val="24"/>
          <w:lang w:val="en-ZW"/>
        </w:rPr>
        <w:t>The court remarked at p 15 that:</w:t>
      </w:r>
    </w:p>
    <w:p w14:paraId="0B8D912D" w14:textId="77777777" w:rsidR="006443A6" w:rsidRDefault="006443A6" w:rsidP="007A5382">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“Consequently, I do not find anything in the letter of 9 May 2016 which authorizes the development.”</w:t>
      </w:r>
    </w:p>
    <w:p w14:paraId="272E78E5" w14:textId="77777777" w:rsidR="00AE2D4E" w:rsidRDefault="00AE2D4E" w:rsidP="007A5382">
      <w:pPr>
        <w:spacing w:after="0" w:line="240" w:lineRule="auto"/>
        <w:ind w:left="720"/>
        <w:jc w:val="both"/>
        <w:rPr>
          <w:rFonts w:ascii="Times New Roman" w:eastAsia="Calibri" w:hAnsi="Times New Roman" w:cs="Times New Roman"/>
          <w:sz w:val="24"/>
          <w:szCs w:val="24"/>
          <w:lang w:val="en-ZW"/>
        </w:rPr>
      </w:pPr>
    </w:p>
    <w:p w14:paraId="6ADD065F" w14:textId="77777777" w:rsidR="00910675" w:rsidRDefault="00910675" w:rsidP="00910675">
      <w:pPr>
        <w:spacing w:after="0" w:line="480" w:lineRule="auto"/>
        <w:ind w:left="720"/>
        <w:jc w:val="both"/>
        <w:rPr>
          <w:rFonts w:ascii="Times New Roman" w:eastAsia="Calibri" w:hAnsi="Times New Roman" w:cs="Times New Roman"/>
          <w:sz w:val="24"/>
          <w:szCs w:val="24"/>
          <w:lang w:val="en-ZW"/>
        </w:rPr>
      </w:pPr>
    </w:p>
    <w:p w14:paraId="23C60CE3" w14:textId="60238551" w:rsidR="002076EF" w:rsidRDefault="006443A6" w:rsidP="00910675">
      <w:pPr>
        <w:spacing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The question of a development permit was therefore one of the issues at the core of the application before </w:t>
      </w:r>
      <w:proofErr w:type="spellStart"/>
      <w:r>
        <w:rPr>
          <w:rFonts w:ascii="Times New Roman" w:eastAsia="Calibri" w:hAnsi="Times New Roman" w:cs="Times New Roman"/>
          <w:sz w:val="24"/>
          <w:szCs w:val="24"/>
          <w:lang w:val="en-ZW"/>
        </w:rPr>
        <w:t>C</w:t>
      </w:r>
      <w:r w:rsidRPr="006443A6">
        <w:rPr>
          <w:rFonts w:ascii="Times New Roman" w:eastAsia="Calibri" w:hAnsi="Times New Roman" w:cs="Times New Roman"/>
          <w:smallCaps/>
          <w:sz w:val="24"/>
          <w:szCs w:val="24"/>
          <w:lang w:val="en-ZW"/>
        </w:rPr>
        <w:t>hinamora</w:t>
      </w:r>
      <w:proofErr w:type="spellEnd"/>
      <w:r>
        <w:rPr>
          <w:rFonts w:ascii="Times New Roman" w:eastAsia="Calibri" w:hAnsi="Times New Roman" w:cs="Times New Roman"/>
          <w:sz w:val="24"/>
          <w:szCs w:val="24"/>
          <w:lang w:val="en-ZW"/>
        </w:rPr>
        <w:t xml:space="preserve"> J. Such an issue is a </w:t>
      </w:r>
      <w:r w:rsidR="001E3D42">
        <w:rPr>
          <w:rFonts w:ascii="Times New Roman" w:eastAsia="Calibri" w:hAnsi="Times New Roman" w:cs="Times New Roman"/>
          <w:sz w:val="24"/>
          <w:szCs w:val="24"/>
          <w:lang w:val="en-ZW"/>
        </w:rPr>
        <w:t>town planning issue</w:t>
      </w:r>
      <w:r w:rsidR="002076EF">
        <w:rPr>
          <w:rFonts w:ascii="Times New Roman" w:eastAsia="Calibri" w:hAnsi="Times New Roman" w:cs="Times New Roman"/>
          <w:sz w:val="24"/>
          <w:szCs w:val="24"/>
          <w:lang w:val="en-ZW"/>
        </w:rPr>
        <w:t xml:space="preserve"> and not just an environmental issue</w:t>
      </w:r>
      <w:r w:rsidR="001E3D42">
        <w:rPr>
          <w:rFonts w:ascii="Times New Roman" w:eastAsia="Calibri" w:hAnsi="Times New Roman" w:cs="Times New Roman"/>
          <w:sz w:val="24"/>
          <w:szCs w:val="24"/>
          <w:lang w:val="en-ZW"/>
        </w:rPr>
        <w:t xml:space="preserve">. </w:t>
      </w:r>
      <w:r>
        <w:rPr>
          <w:rFonts w:ascii="Times New Roman" w:eastAsia="Calibri" w:hAnsi="Times New Roman" w:cs="Times New Roman"/>
          <w:sz w:val="24"/>
          <w:szCs w:val="24"/>
          <w:lang w:val="en-ZW"/>
        </w:rPr>
        <w:t xml:space="preserve">The pronouncement by </w:t>
      </w:r>
      <w:proofErr w:type="spellStart"/>
      <w:r>
        <w:rPr>
          <w:rFonts w:ascii="Times New Roman" w:eastAsia="Calibri" w:hAnsi="Times New Roman" w:cs="Times New Roman"/>
          <w:sz w:val="24"/>
          <w:szCs w:val="24"/>
          <w:lang w:val="en-ZW"/>
        </w:rPr>
        <w:t>C</w:t>
      </w:r>
      <w:r w:rsidRPr="006443A6">
        <w:rPr>
          <w:rFonts w:ascii="Times New Roman" w:eastAsia="Calibri" w:hAnsi="Times New Roman" w:cs="Times New Roman"/>
          <w:smallCaps/>
          <w:sz w:val="24"/>
          <w:szCs w:val="24"/>
          <w:lang w:val="en-ZW"/>
        </w:rPr>
        <w:t>hinamora</w:t>
      </w:r>
      <w:proofErr w:type="spellEnd"/>
      <w:r w:rsidRPr="006443A6">
        <w:rPr>
          <w:rFonts w:ascii="Times New Roman" w:eastAsia="Calibri" w:hAnsi="Times New Roman" w:cs="Times New Roman"/>
          <w:smallCaps/>
          <w:sz w:val="24"/>
          <w:szCs w:val="24"/>
          <w:lang w:val="en-ZW"/>
        </w:rPr>
        <w:t xml:space="preserve"> </w:t>
      </w:r>
      <w:r>
        <w:rPr>
          <w:rFonts w:ascii="Times New Roman" w:eastAsia="Calibri" w:hAnsi="Times New Roman" w:cs="Times New Roman"/>
          <w:sz w:val="24"/>
          <w:szCs w:val="24"/>
          <w:lang w:val="en-ZW"/>
        </w:rPr>
        <w:t xml:space="preserve">J on the first respondent’s </w:t>
      </w:r>
      <w:r>
        <w:rPr>
          <w:rFonts w:ascii="Times New Roman" w:eastAsia="Calibri" w:hAnsi="Times New Roman" w:cs="Times New Roman"/>
          <w:i/>
          <w:iCs/>
          <w:sz w:val="24"/>
          <w:szCs w:val="24"/>
          <w:lang w:val="en-ZW"/>
        </w:rPr>
        <w:t>locus standi</w:t>
      </w:r>
      <w:r>
        <w:rPr>
          <w:rFonts w:ascii="Times New Roman" w:eastAsia="Calibri" w:hAnsi="Times New Roman" w:cs="Times New Roman"/>
          <w:sz w:val="24"/>
          <w:szCs w:val="24"/>
          <w:lang w:val="en-ZW"/>
        </w:rPr>
        <w:t xml:space="preserve"> therefore related to the existence of a development permit. </w:t>
      </w:r>
      <w:r w:rsidR="002076EF">
        <w:rPr>
          <w:rFonts w:ascii="Times New Roman" w:eastAsia="Calibri" w:hAnsi="Times New Roman" w:cs="Times New Roman"/>
          <w:sz w:val="24"/>
          <w:szCs w:val="24"/>
          <w:lang w:val="en-ZW"/>
        </w:rPr>
        <w:t>T</w:t>
      </w:r>
      <w:r w:rsidR="001E3D42">
        <w:rPr>
          <w:rFonts w:ascii="Times New Roman" w:eastAsia="Calibri" w:hAnsi="Times New Roman" w:cs="Times New Roman"/>
          <w:sz w:val="24"/>
          <w:szCs w:val="24"/>
          <w:lang w:val="en-ZW"/>
        </w:rPr>
        <w:t xml:space="preserve">he </w:t>
      </w:r>
      <w:r w:rsidR="00637586">
        <w:rPr>
          <w:rFonts w:ascii="Times New Roman" w:eastAsia="Calibri" w:hAnsi="Times New Roman" w:cs="Times New Roman"/>
          <w:sz w:val="24"/>
          <w:szCs w:val="24"/>
          <w:lang w:val="en-ZW"/>
        </w:rPr>
        <w:t>submission</w:t>
      </w:r>
      <w:r w:rsidR="001E3D42">
        <w:rPr>
          <w:rFonts w:ascii="Times New Roman" w:eastAsia="Calibri" w:hAnsi="Times New Roman" w:cs="Times New Roman"/>
          <w:sz w:val="24"/>
          <w:szCs w:val="24"/>
          <w:lang w:val="en-ZW"/>
        </w:rPr>
        <w:t xml:space="preserve"> by </w:t>
      </w:r>
      <w:r w:rsidR="001E3D42" w:rsidRPr="00C62E80">
        <w:rPr>
          <w:rFonts w:ascii="Times New Roman" w:eastAsia="Calibri" w:hAnsi="Times New Roman" w:cs="Times New Roman"/>
          <w:sz w:val="24"/>
          <w:szCs w:val="24"/>
          <w:lang w:val="en-ZW"/>
        </w:rPr>
        <w:t>Mr</w:t>
      </w:r>
      <w:r w:rsidR="001E3D42" w:rsidRPr="00637586">
        <w:rPr>
          <w:rFonts w:ascii="Times New Roman" w:eastAsia="Calibri" w:hAnsi="Times New Roman" w:cs="Times New Roman"/>
          <w:i/>
          <w:sz w:val="24"/>
          <w:szCs w:val="24"/>
          <w:lang w:val="en-ZW"/>
        </w:rPr>
        <w:t xml:space="preserve"> </w:t>
      </w:r>
      <w:proofErr w:type="spellStart"/>
      <w:r w:rsidR="001E3D42" w:rsidRPr="00637586">
        <w:rPr>
          <w:rFonts w:ascii="Times New Roman" w:eastAsia="Calibri" w:hAnsi="Times New Roman" w:cs="Times New Roman"/>
          <w:i/>
          <w:sz w:val="24"/>
          <w:szCs w:val="24"/>
          <w:lang w:val="en-ZW"/>
        </w:rPr>
        <w:t>Hashiti</w:t>
      </w:r>
      <w:proofErr w:type="spellEnd"/>
      <w:r w:rsidR="001E3D42">
        <w:rPr>
          <w:rFonts w:ascii="Times New Roman" w:eastAsia="Calibri" w:hAnsi="Times New Roman" w:cs="Times New Roman"/>
          <w:sz w:val="24"/>
          <w:szCs w:val="24"/>
          <w:lang w:val="en-ZW"/>
        </w:rPr>
        <w:t xml:space="preserve"> that the learned Judge had been called upon to determine </w:t>
      </w:r>
      <w:r w:rsidR="00637586">
        <w:rPr>
          <w:rFonts w:ascii="Times New Roman" w:eastAsia="Calibri" w:hAnsi="Times New Roman" w:cs="Times New Roman"/>
          <w:sz w:val="24"/>
          <w:szCs w:val="24"/>
          <w:lang w:val="en-ZW"/>
        </w:rPr>
        <w:t>only</w:t>
      </w:r>
      <w:r w:rsidR="001E3D42">
        <w:rPr>
          <w:rFonts w:ascii="Times New Roman" w:eastAsia="Calibri" w:hAnsi="Times New Roman" w:cs="Times New Roman"/>
          <w:sz w:val="24"/>
          <w:szCs w:val="24"/>
          <w:lang w:val="en-ZW"/>
        </w:rPr>
        <w:t xml:space="preserve"> environmental issues</w:t>
      </w:r>
      <w:r w:rsidR="00C820A9">
        <w:rPr>
          <w:rFonts w:ascii="Times New Roman" w:eastAsia="Calibri" w:hAnsi="Times New Roman" w:cs="Times New Roman"/>
          <w:sz w:val="24"/>
          <w:szCs w:val="24"/>
          <w:lang w:val="en-ZW"/>
        </w:rPr>
        <w:t xml:space="preserve"> and</w:t>
      </w:r>
      <w:r w:rsidR="002918E5">
        <w:rPr>
          <w:rFonts w:ascii="Times New Roman" w:eastAsia="Calibri" w:hAnsi="Times New Roman" w:cs="Times New Roman"/>
          <w:sz w:val="24"/>
          <w:szCs w:val="24"/>
          <w:lang w:val="en-ZW"/>
        </w:rPr>
        <w:t xml:space="preserve"> that</w:t>
      </w:r>
      <w:r w:rsidR="00C820A9">
        <w:rPr>
          <w:rFonts w:ascii="Times New Roman" w:eastAsia="Calibri" w:hAnsi="Times New Roman" w:cs="Times New Roman"/>
          <w:sz w:val="24"/>
          <w:szCs w:val="24"/>
          <w:lang w:val="en-ZW"/>
        </w:rPr>
        <w:t xml:space="preserve"> the question </w:t>
      </w:r>
      <w:r w:rsidR="00C820A9">
        <w:rPr>
          <w:rFonts w:ascii="Times New Roman" w:eastAsia="Calibri" w:hAnsi="Times New Roman" w:cs="Times New Roman"/>
          <w:sz w:val="24"/>
          <w:szCs w:val="24"/>
          <w:lang w:val="en-ZW"/>
        </w:rPr>
        <w:lastRenderedPageBreak/>
        <w:t>of the first respondent</w:t>
      </w:r>
      <w:r w:rsidR="002076EF">
        <w:rPr>
          <w:rFonts w:ascii="Times New Roman" w:eastAsia="Calibri" w:hAnsi="Times New Roman" w:cs="Times New Roman"/>
          <w:sz w:val="24"/>
          <w:szCs w:val="24"/>
          <w:lang w:val="en-ZW"/>
        </w:rPr>
        <w:t xml:space="preserve">’s </w:t>
      </w:r>
      <w:r w:rsidR="002076EF" w:rsidRPr="002076EF">
        <w:rPr>
          <w:rFonts w:ascii="Times New Roman" w:eastAsia="Calibri" w:hAnsi="Times New Roman" w:cs="Times New Roman"/>
          <w:i/>
          <w:sz w:val="24"/>
          <w:szCs w:val="24"/>
          <w:lang w:val="en-ZW"/>
        </w:rPr>
        <w:t>locus standi</w:t>
      </w:r>
      <w:r w:rsidR="002076EF">
        <w:rPr>
          <w:rFonts w:ascii="Times New Roman" w:eastAsia="Calibri" w:hAnsi="Times New Roman" w:cs="Times New Roman"/>
          <w:sz w:val="24"/>
          <w:szCs w:val="24"/>
          <w:lang w:val="en-ZW"/>
        </w:rPr>
        <w:t xml:space="preserve"> </w:t>
      </w:r>
      <w:r w:rsidR="00C820A9">
        <w:rPr>
          <w:rFonts w:ascii="Times New Roman" w:eastAsia="Calibri" w:hAnsi="Times New Roman" w:cs="Times New Roman"/>
          <w:sz w:val="24"/>
          <w:szCs w:val="24"/>
          <w:lang w:val="en-ZW"/>
        </w:rPr>
        <w:t>related to that issue</w:t>
      </w:r>
      <w:r>
        <w:rPr>
          <w:rFonts w:ascii="Times New Roman" w:eastAsia="Calibri" w:hAnsi="Times New Roman" w:cs="Times New Roman"/>
          <w:sz w:val="24"/>
          <w:szCs w:val="24"/>
          <w:lang w:val="en-ZW"/>
        </w:rPr>
        <w:t xml:space="preserve"> only</w:t>
      </w:r>
      <w:r w:rsidR="002076EF">
        <w:rPr>
          <w:rFonts w:ascii="Times New Roman" w:eastAsia="Calibri" w:hAnsi="Times New Roman" w:cs="Times New Roman"/>
          <w:sz w:val="24"/>
          <w:szCs w:val="24"/>
          <w:lang w:val="en-ZW"/>
        </w:rPr>
        <w:t xml:space="preserve"> </w:t>
      </w:r>
      <w:r w:rsidR="00797815">
        <w:rPr>
          <w:rFonts w:ascii="Times New Roman" w:eastAsia="Calibri" w:hAnsi="Times New Roman" w:cs="Times New Roman"/>
          <w:sz w:val="24"/>
          <w:szCs w:val="24"/>
          <w:lang w:val="en-ZW"/>
        </w:rPr>
        <w:t xml:space="preserve">therefore </w:t>
      </w:r>
      <w:r w:rsidR="002076EF">
        <w:rPr>
          <w:rFonts w:ascii="Times New Roman" w:eastAsia="Calibri" w:hAnsi="Times New Roman" w:cs="Times New Roman"/>
          <w:sz w:val="24"/>
          <w:szCs w:val="24"/>
          <w:lang w:val="en-ZW"/>
        </w:rPr>
        <w:t>lacks merit</w:t>
      </w:r>
      <w:r w:rsidR="001E3D42">
        <w:rPr>
          <w:rFonts w:ascii="Times New Roman" w:eastAsia="Calibri" w:hAnsi="Times New Roman" w:cs="Times New Roman"/>
          <w:sz w:val="24"/>
          <w:szCs w:val="24"/>
          <w:lang w:val="en-ZW"/>
        </w:rPr>
        <w:t xml:space="preserve">. </w:t>
      </w:r>
      <w:r w:rsidR="00C820A9">
        <w:rPr>
          <w:rFonts w:ascii="Times New Roman" w:eastAsia="Calibri" w:hAnsi="Times New Roman" w:cs="Times New Roman"/>
          <w:sz w:val="24"/>
          <w:szCs w:val="24"/>
          <w:lang w:val="en-ZW"/>
        </w:rPr>
        <w:t xml:space="preserve">The </w:t>
      </w:r>
      <w:r w:rsidR="00637586">
        <w:rPr>
          <w:rFonts w:ascii="Times New Roman" w:eastAsia="Calibri" w:hAnsi="Times New Roman" w:cs="Times New Roman"/>
          <w:sz w:val="24"/>
          <w:szCs w:val="24"/>
          <w:lang w:val="en-ZW"/>
        </w:rPr>
        <w:t>judgment</w:t>
      </w:r>
      <w:r w:rsidR="001638BD">
        <w:rPr>
          <w:rFonts w:ascii="Times New Roman" w:eastAsia="Calibri" w:hAnsi="Times New Roman" w:cs="Times New Roman"/>
          <w:sz w:val="24"/>
          <w:szCs w:val="24"/>
          <w:lang w:val="en-ZW"/>
        </w:rPr>
        <w:t xml:space="preserve"> </w:t>
      </w:r>
      <w:r w:rsidR="002076EF">
        <w:rPr>
          <w:rFonts w:ascii="Times New Roman" w:eastAsia="Calibri" w:hAnsi="Times New Roman" w:cs="Times New Roman"/>
          <w:sz w:val="24"/>
          <w:szCs w:val="24"/>
          <w:lang w:val="en-ZW"/>
        </w:rPr>
        <w:t xml:space="preserve">by </w:t>
      </w:r>
      <w:proofErr w:type="spellStart"/>
      <w:r w:rsidR="002076EF">
        <w:rPr>
          <w:rFonts w:ascii="Times New Roman" w:eastAsia="Calibri" w:hAnsi="Times New Roman" w:cs="Times New Roman"/>
          <w:sz w:val="24"/>
          <w:szCs w:val="24"/>
          <w:lang w:val="en-ZW"/>
        </w:rPr>
        <w:t>C</w:t>
      </w:r>
      <w:r w:rsidR="002076EF">
        <w:rPr>
          <w:rFonts w:ascii="Times New Roman" w:eastAsia="Calibri" w:hAnsi="Times New Roman" w:cs="Times New Roman"/>
          <w:smallCaps/>
          <w:sz w:val="24"/>
          <w:szCs w:val="24"/>
          <w:lang w:val="en-ZW"/>
        </w:rPr>
        <w:t>hin</w:t>
      </w:r>
      <w:r w:rsidR="002076EF" w:rsidRPr="002076EF">
        <w:rPr>
          <w:rFonts w:ascii="Times New Roman" w:eastAsia="Calibri" w:hAnsi="Times New Roman" w:cs="Times New Roman"/>
          <w:smallCaps/>
          <w:sz w:val="24"/>
          <w:szCs w:val="24"/>
          <w:lang w:val="en-ZW"/>
        </w:rPr>
        <w:t>amora</w:t>
      </w:r>
      <w:proofErr w:type="spellEnd"/>
      <w:r w:rsidR="002076EF">
        <w:rPr>
          <w:rFonts w:ascii="Times New Roman" w:eastAsia="Calibri" w:hAnsi="Times New Roman" w:cs="Times New Roman"/>
          <w:sz w:val="24"/>
          <w:szCs w:val="24"/>
          <w:lang w:val="en-ZW"/>
        </w:rPr>
        <w:t xml:space="preserve"> J </w:t>
      </w:r>
      <w:r w:rsidR="001638BD">
        <w:rPr>
          <w:rFonts w:ascii="Times New Roman" w:eastAsia="Calibri" w:hAnsi="Times New Roman" w:cs="Times New Roman"/>
          <w:sz w:val="24"/>
          <w:szCs w:val="24"/>
          <w:lang w:val="en-ZW"/>
        </w:rPr>
        <w:t>is extant. It ha</w:t>
      </w:r>
      <w:r w:rsidR="00534AB0">
        <w:rPr>
          <w:rFonts w:ascii="Times New Roman" w:eastAsia="Calibri" w:hAnsi="Times New Roman" w:cs="Times New Roman"/>
          <w:sz w:val="24"/>
          <w:szCs w:val="24"/>
          <w:lang w:val="en-ZW"/>
        </w:rPr>
        <w:t>s</w:t>
      </w:r>
      <w:r w:rsidR="001638BD">
        <w:rPr>
          <w:rFonts w:ascii="Times New Roman" w:eastAsia="Calibri" w:hAnsi="Times New Roman" w:cs="Times New Roman"/>
          <w:sz w:val="24"/>
          <w:szCs w:val="24"/>
          <w:lang w:val="en-ZW"/>
        </w:rPr>
        <w:t xml:space="preserve"> not been appealed against. </w:t>
      </w:r>
      <w:r>
        <w:rPr>
          <w:rFonts w:ascii="Times New Roman" w:eastAsia="Calibri" w:hAnsi="Times New Roman" w:cs="Times New Roman"/>
          <w:sz w:val="24"/>
          <w:szCs w:val="24"/>
          <w:lang w:val="en-ZW"/>
        </w:rPr>
        <w:t>The appellant cannot therefore be seen to be challenging the finding in HH 819/19 in this appeal.</w:t>
      </w:r>
    </w:p>
    <w:p w14:paraId="6B6C0E8A" w14:textId="77777777" w:rsidR="00910675" w:rsidRDefault="00910675" w:rsidP="00910675">
      <w:pPr>
        <w:spacing w:line="240" w:lineRule="auto"/>
        <w:ind w:left="720" w:firstLine="720"/>
        <w:jc w:val="both"/>
        <w:rPr>
          <w:rFonts w:ascii="Times New Roman" w:eastAsia="Calibri" w:hAnsi="Times New Roman" w:cs="Times New Roman"/>
          <w:sz w:val="24"/>
          <w:szCs w:val="24"/>
          <w:lang w:val="en-ZW"/>
        </w:rPr>
      </w:pPr>
    </w:p>
    <w:p w14:paraId="7C14BB46" w14:textId="46A471DC" w:rsidR="00DA6D1C" w:rsidRDefault="001638BD" w:rsidP="00910675">
      <w:pPr>
        <w:spacing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On </w:t>
      </w:r>
      <w:r w:rsidR="00637586">
        <w:rPr>
          <w:rFonts w:ascii="Times New Roman" w:eastAsia="Calibri" w:hAnsi="Times New Roman" w:cs="Times New Roman"/>
          <w:sz w:val="24"/>
          <w:szCs w:val="24"/>
          <w:lang w:val="en-ZW"/>
        </w:rPr>
        <w:t>the, merits</w:t>
      </w:r>
      <w:r w:rsidR="002076EF">
        <w:rPr>
          <w:rFonts w:ascii="Times New Roman" w:eastAsia="Calibri" w:hAnsi="Times New Roman" w:cs="Times New Roman"/>
          <w:sz w:val="24"/>
          <w:szCs w:val="24"/>
          <w:lang w:val="en-ZW"/>
        </w:rPr>
        <w:t>,</w:t>
      </w:r>
      <w:r>
        <w:rPr>
          <w:rFonts w:ascii="Times New Roman" w:eastAsia="Calibri" w:hAnsi="Times New Roman" w:cs="Times New Roman"/>
          <w:sz w:val="24"/>
          <w:szCs w:val="24"/>
          <w:lang w:val="en-ZW"/>
        </w:rPr>
        <w:t xml:space="preserve"> we are persuaded by </w:t>
      </w:r>
      <w:r w:rsidRPr="00C62E80">
        <w:rPr>
          <w:rFonts w:ascii="Times New Roman" w:eastAsia="Calibri" w:hAnsi="Times New Roman" w:cs="Times New Roman"/>
          <w:sz w:val="24"/>
          <w:szCs w:val="24"/>
          <w:lang w:val="en-ZW"/>
        </w:rPr>
        <w:t>Miss</w:t>
      </w:r>
      <w:r w:rsidRPr="00637586">
        <w:rPr>
          <w:rFonts w:ascii="Times New Roman" w:eastAsia="Calibri" w:hAnsi="Times New Roman" w:cs="Times New Roman"/>
          <w:i/>
          <w:sz w:val="24"/>
          <w:szCs w:val="24"/>
          <w:lang w:val="en-ZW"/>
        </w:rPr>
        <w:t xml:space="preserve"> </w:t>
      </w:r>
      <w:proofErr w:type="spellStart"/>
      <w:r w:rsidRPr="00637586">
        <w:rPr>
          <w:rFonts w:ascii="Times New Roman" w:eastAsia="Calibri" w:hAnsi="Times New Roman" w:cs="Times New Roman"/>
          <w:i/>
          <w:sz w:val="24"/>
          <w:szCs w:val="24"/>
          <w:lang w:val="en-ZW"/>
        </w:rPr>
        <w:t>Mahere’</w:t>
      </w:r>
      <w:r w:rsidRPr="00637586">
        <w:rPr>
          <w:rFonts w:ascii="Times New Roman" w:eastAsia="Calibri" w:hAnsi="Times New Roman" w:cs="Times New Roman"/>
          <w:sz w:val="24"/>
          <w:szCs w:val="24"/>
          <w:lang w:val="en-ZW"/>
        </w:rPr>
        <w:t>s</w:t>
      </w:r>
      <w:proofErr w:type="spellEnd"/>
      <w:r w:rsidRPr="00637586">
        <w:rPr>
          <w:rFonts w:ascii="Times New Roman" w:eastAsia="Calibri" w:hAnsi="Times New Roman" w:cs="Times New Roman"/>
          <w:sz w:val="24"/>
          <w:szCs w:val="24"/>
          <w:lang w:val="en-ZW"/>
        </w:rPr>
        <w:t xml:space="preserve"> </w:t>
      </w:r>
      <w:r>
        <w:rPr>
          <w:rFonts w:ascii="Times New Roman" w:eastAsia="Calibri" w:hAnsi="Times New Roman" w:cs="Times New Roman"/>
          <w:sz w:val="24"/>
          <w:szCs w:val="24"/>
          <w:lang w:val="en-ZW"/>
        </w:rPr>
        <w:t>submission</w:t>
      </w:r>
      <w:r w:rsidR="00DA6D1C">
        <w:rPr>
          <w:rFonts w:ascii="Times New Roman" w:eastAsia="Calibri" w:hAnsi="Times New Roman" w:cs="Times New Roman"/>
          <w:sz w:val="24"/>
          <w:szCs w:val="24"/>
          <w:lang w:val="en-ZW"/>
        </w:rPr>
        <w:t xml:space="preserve">s that the appellant did not possess a development permit. The record shows that no competent application for a development </w:t>
      </w:r>
      <w:r w:rsidR="008B594C">
        <w:rPr>
          <w:rFonts w:ascii="Times New Roman" w:eastAsia="Calibri" w:hAnsi="Times New Roman" w:cs="Times New Roman"/>
          <w:sz w:val="24"/>
          <w:szCs w:val="24"/>
          <w:lang w:val="en-ZW"/>
        </w:rPr>
        <w:t xml:space="preserve">permit </w:t>
      </w:r>
      <w:r w:rsidR="00DA6D1C">
        <w:rPr>
          <w:rFonts w:ascii="Times New Roman" w:eastAsia="Calibri" w:hAnsi="Times New Roman" w:cs="Times New Roman"/>
          <w:sz w:val="24"/>
          <w:szCs w:val="24"/>
          <w:lang w:val="en-ZW"/>
        </w:rPr>
        <w:t xml:space="preserve">was made. The document the appellant sought to rely on as a permit was an incomplete, unstamped form dated 5 January 2018. </w:t>
      </w:r>
      <w:r w:rsidR="00ED394C">
        <w:rPr>
          <w:rFonts w:ascii="Times New Roman" w:eastAsia="Calibri" w:hAnsi="Times New Roman" w:cs="Times New Roman"/>
          <w:sz w:val="24"/>
          <w:szCs w:val="24"/>
          <w:lang w:val="en-ZW"/>
        </w:rPr>
        <w:t>The form was signed by one “</w:t>
      </w:r>
      <w:proofErr w:type="spellStart"/>
      <w:r w:rsidR="00ED394C">
        <w:rPr>
          <w:rFonts w:ascii="Times New Roman" w:eastAsia="Calibri" w:hAnsi="Times New Roman" w:cs="Times New Roman"/>
          <w:sz w:val="24"/>
          <w:szCs w:val="24"/>
          <w:lang w:val="en-ZW"/>
        </w:rPr>
        <w:t>Jabula</w:t>
      </w:r>
      <w:proofErr w:type="spellEnd"/>
      <w:r w:rsidR="00ED394C">
        <w:rPr>
          <w:rFonts w:ascii="Times New Roman" w:eastAsia="Calibri" w:hAnsi="Times New Roman" w:cs="Times New Roman"/>
          <w:sz w:val="24"/>
          <w:szCs w:val="24"/>
          <w:lang w:val="en-ZW"/>
        </w:rPr>
        <w:t xml:space="preserve">”. There is no indication on the form who </w:t>
      </w:r>
      <w:proofErr w:type="spellStart"/>
      <w:r w:rsidR="00ED394C">
        <w:rPr>
          <w:rFonts w:ascii="Times New Roman" w:eastAsia="Calibri" w:hAnsi="Times New Roman" w:cs="Times New Roman"/>
          <w:sz w:val="24"/>
          <w:szCs w:val="24"/>
          <w:lang w:val="en-ZW"/>
        </w:rPr>
        <w:t>Jabula</w:t>
      </w:r>
      <w:proofErr w:type="spellEnd"/>
      <w:r w:rsidR="00ED394C">
        <w:rPr>
          <w:rFonts w:ascii="Times New Roman" w:eastAsia="Calibri" w:hAnsi="Times New Roman" w:cs="Times New Roman"/>
          <w:sz w:val="24"/>
          <w:szCs w:val="24"/>
          <w:lang w:val="en-ZW"/>
        </w:rPr>
        <w:t xml:space="preserve"> is and that he was signing the form on behalf of the appellant. </w:t>
      </w:r>
      <w:r w:rsidR="005E58BB">
        <w:rPr>
          <w:rFonts w:ascii="Times New Roman" w:eastAsia="Calibri" w:hAnsi="Times New Roman" w:cs="Times New Roman"/>
          <w:sz w:val="24"/>
          <w:szCs w:val="24"/>
          <w:lang w:val="en-ZW"/>
        </w:rPr>
        <w:t xml:space="preserve">A stamp for the third respondent appears on the form </w:t>
      </w:r>
      <w:r w:rsidR="009145FD">
        <w:rPr>
          <w:rFonts w:ascii="Times New Roman" w:eastAsia="Calibri" w:hAnsi="Times New Roman" w:cs="Times New Roman"/>
          <w:sz w:val="24"/>
          <w:szCs w:val="24"/>
          <w:lang w:val="en-ZW"/>
        </w:rPr>
        <w:t>and bearing the date 5 December </w:t>
      </w:r>
      <w:r w:rsidR="005E58BB">
        <w:rPr>
          <w:rFonts w:ascii="Times New Roman" w:eastAsia="Calibri" w:hAnsi="Times New Roman" w:cs="Times New Roman"/>
          <w:sz w:val="24"/>
          <w:szCs w:val="24"/>
          <w:lang w:val="en-ZW"/>
        </w:rPr>
        <w:t xml:space="preserve">2019 as reflecting the date of approval of the application. </w:t>
      </w:r>
      <w:r w:rsidR="00ED394C">
        <w:rPr>
          <w:rFonts w:ascii="Times New Roman" w:eastAsia="Calibri" w:hAnsi="Times New Roman" w:cs="Times New Roman"/>
          <w:sz w:val="24"/>
          <w:szCs w:val="24"/>
          <w:lang w:val="en-ZW"/>
        </w:rPr>
        <w:t xml:space="preserve">The record also shows that an application for the approval of building plans was submitted to the third respondent sometime in November 2017. The application preceded the alleged </w:t>
      </w:r>
      <w:r w:rsidR="005E58BB">
        <w:rPr>
          <w:rFonts w:ascii="Times New Roman" w:eastAsia="Calibri" w:hAnsi="Times New Roman" w:cs="Times New Roman"/>
          <w:sz w:val="24"/>
          <w:szCs w:val="24"/>
          <w:lang w:val="en-ZW"/>
        </w:rPr>
        <w:t>date of approval of the application for the development permit</w:t>
      </w:r>
      <w:r w:rsidR="00ED394C">
        <w:rPr>
          <w:rFonts w:ascii="Times New Roman" w:eastAsia="Calibri" w:hAnsi="Times New Roman" w:cs="Times New Roman"/>
          <w:sz w:val="24"/>
          <w:szCs w:val="24"/>
          <w:lang w:val="en-ZW"/>
        </w:rPr>
        <w:t xml:space="preserve">. It would not be conceivable that the appellant would seek approval of development plans before it had been issued with </w:t>
      </w:r>
      <w:r w:rsidR="005E58BB">
        <w:rPr>
          <w:rFonts w:ascii="Times New Roman" w:eastAsia="Calibri" w:hAnsi="Times New Roman" w:cs="Times New Roman"/>
          <w:sz w:val="24"/>
          <w:szCs w:val="24"/>
          <w:lang w:val="en-ZW"/>
        </w:rPr>
        <w:t>a development permit. It is therefore apparent that the appellant did not have a development permit.</w:t>
      </w:r>
    </w:p>
    <w:p w14:paraId="7FE91AE8" w14:textId="649DA27F" w:rsidR="001638BD" w:rsidRDefault="005E58BB" w:rsidP="00DC7BF3">
      <w:pPr>
        <w:spacing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Assuming that a permit was granted, t</w:t>
      </w:r>
      <w:r w:rsidR="001638BD">
        <w:rPr>
          <w:rFonts w:ascii="Times New Roman" w:eastAsia="Calibri" w:hAnsi="Times New Roman" w:cs="Times New Roman"/>
          <w:sz w:val="24"/>
          <w:szCs w:val="24"/>
          <w:lang w:val="en-ZW"/>
        </w:rPr>
        <w:t xml:space="preserve">he </w:t>
      </w:r>
      <w:r w:rsidR="00DA6D1C">
        <w:rPr>
          <w:rFonts w:ascii="Times New Roman" w:eastAsia="Calibri" w:hAnsi="Times New Roman" w:cs="Times New Roman"/>
          <w:sz w:val="24"/>
          <w:szCs w:val="24"/>
          <w:lang w:val="en-ZW"/>
        </w:rPr>
        <w:t xml:space="preserve">purported </w:t>
      </w:r>
      <w:r w:rsidR="00637586">
        <w:rPr>
          <w:rFonts w:ascii="Times New Roman" w:eastAsia="Calibri" w:hAnsi="Times New Roman" w:cs="Times New Roman"/>
          <w:sz w:val="24"/>
          <w:szCs w:val="24"/>
          <w:lang w:val="en-ZW"/>
        </w:rPr>
        <w:t>application</w:t>
      </w:r>
      <w:r w:rsidR="001638BD">
        <w:rPr>
          <w:rFonts w:ascii="Times New Roman" w:eastAsia="Calibri" w:hAnsi="Times New Roman" w:cs="Times New Roman"/>
          <w:sz w:val="24"/>
          <w:szCs w:val="24"/>
          <w:lang w:val="en-ZW"/>
        </w:rPr>
        <w:t xml:space="preserve"> for a development </w:t>
      </w:r>
      <w:r w:rsidR="00637586">
        <w:rPr>
          <w:rFonts w:ascii="Times New Roman" w:eastAsia="Calibri" w:hAnsi="Times New Roman" w:cs="Times New Roman"/>
          <w:sz w:val="24"/>
          <w:szCs w:val="24"/>
          <w:lang w:val="en-ZW"/>
        </w:rPr>
        <w:t>permit</w:t>
      </w:r>
      <w:r w:rsidR="001638BD">
        <w:rPr>
          <w:rFonts w:ascii="Times New Roman" w:eastAsia="Calibri" w:hAnsi="Times New Roman" w:cs="Times New Roman"/>
          <w:sz w:val="24"/>
          <w:szCs w:val="24"/>
          <w:lang w:val="en-ZW"/>
        </w:rPr>
        <w:t xml:space="preserve"> did not comply with the peremptory provisions</w:t>
      </w:r>
      <w:r w:rsidR="003F5256">
        <w:rPr>
          <w:rFonts w:ascii="Times New Roman" w:eastAsia="Calibri" w:hAnsi="Times New Roman" w:cs="Times New Roman"/>
          <w:sz w:val="24"/>
          <w:szCs w:val="24"/>
          <w:lang w:val="en-ZW"/>
        </w:rPr>
        <w:t xml:space="preserve"> of the Regional</w:t>
      </w:r>
      <w:r w:rsidR="00403EC3">
        <w:rPr>
          <w:rFonts w:ascii="Times New Roman" w:eastAsia="Calibri" w:hAnsi="Times New Roman" w:cs="Times New Roman"/>
          <w:sz w:val="24"/>
          <w:szCs w:val="24"/>
          <w:lang w:val="en-ZW"/>
        </w:rPr>
        <w:t>,</w:t>
      </w:r>
      <w:r w:rsidR="003F5256">
        <w:rPr>
          <w:rFonts w:ascii="Times New Roman" w:eastAsia="Calibri" w:hAnsi="Times New Roman" w:cs="Times New Roman"/>
          <w:sz w:val="24"/>
          <w:szCs w:val="24"/>
          <w:lang w:val="en-ZW"/>
        </w:rPr>
        <w:t xml:space="preserve"> Town and Country Planning Act</w:t>
      </w:r>
      <w:r w:rsidR="001638BD">
        <w:rPr>
          <w:rFonts w:ascii="Times New Roman" w:eastAsia="Calibri" w:hAnsi="Times New Roman" w:cs="Times New Roman"/>
          <w:sz w:val="24"/>
          <w:szCs w:val="24"/>
          <w:lang w:val="en-ZW"/>
        </w:rPr>
        <w:t>.</w:t>
      </w:r>
      <w:r w:rsidR="0001469C">
        <w:rPr>
          <w:rFonts w:ascii="Times New Roman" w:eastAsia="Calibri" w:hAnsi="Times New Roman" w:cs="Times New Roman"/>
          <w:sz w:val="24"/>
          <w:szCs w:val="24"/>
          <w:lang w:val="en-ZW"/>
        </w:rPr>
        <w:t xml:space="preserve"> </w:t>
      </w:r>
      <w:r w:rsidR="003F5256">
        <w:rPr>
          <w:rFonts w:ascii="Times New Roman" w:eastAsia="Calibri" w:hAnsi="Times New Roman" w:cs="Times New Roman"/>
          <w:sz w:val="24"/>
          <w:szCs w:val="24"/>
          <w:lang w:val="en-ZW"/>
        </w:rPr>
        <w:t>The appellant did not give publi</w:t>
      </w:r>
      <w:r w:rsidR="00DA6D1C">
        <w:rPr>
          <w:rFonts w:ascii="Times New Roman" w:eastAsia="Calibri" w:hAnsi="Times New Roman" w:cs="Times New Roman"/>
          <w:sz w:val="24"/>
          <w:szCs w:val="24"/>
          <w:lang w:val="en-ZW"/>
        </w:rPr>
        <w:t xml:space="preserve">c notice of its intended developments neither did it </w:t>
      </w:r>
      <w:r w:rsidR="003F5256">
        <w:rPr>
          <w:rFonts w:ascii="Times New Roman" w:eastAsia="Calibri" w:hAnsi="Times New Roman" w:cs="Times New Roman"/>
          <w:sz w:val="24"/>
          <w:szCs w:val="24"/>
          <w:lang w:val="en-ZW"/>
        </w:rPr>
        <w:t>notify the interested persons as is required in terms of s 26 (3)</w:t>
      </w:r>
      <w:r w:rsidR="00DA6D1C">
        <w:rPr>
          <w:rFonts w:ascii="Times New Roman" w:eastAsia="Calibri" w:hAnsi="Times New Roman" w:cs="Times New Roman"/>
          <w:sz w:val="24"/>
          <w:szCs w:val="24"/>
          <w:lang w:val="en-ZW"/>
        </w:rPr>
        <w:t xml:space="preserve">. </w:t>
      </w:r>
      <w:r>
        <w:rPr>
          <w:rFonts w:ascii="Times New Roman" w:eastAsia="Calibri" w:hAnsi="Times New Roman" w:cs="Times New Roman"/>
          <w:sz w:val="24"/>
          <w:szCs w:val="24"/>
          <w:lang w:val="en-ZW"/>
        </w:rPr>
        <w:t xml:space="preserve">The appellant did not produce before the court </w:t>
      </w:r>
      <w:r>
        <w:rPr>
          <w:rFonts w:ascii="Times New Roman" w:eastAsia="Calibri" w:hAnsi="Times New Roman" w:cs="Times New Roman"/>
          <w:i/>
          <w:iCs/>
          <w:sz w:val="24"/>
          <w:szCs w:val="24"/>
          <w:lang w:val="en-ZW"/>
        </w:rPr>
        <w:t>a quo</w:t>
      </w:r>
      <w:r>
        <w:rPr>
          <w:rFonts w:ascii="Times New Roman" w:eastAsia="Calibri" w:hAnsi="Times New Roman" w:cs="Times New Roman"/>
          <w:sz w:val="24"/>
          <w:szCs w:val="24"/>
          <w:lang w:val="en-ZW"/>
        </w:rPr>
        <w:t xml:space="preserve"> proof of such </w:t>
      </w:r>
      <w:r w:rsidR="00103B07">
        <w:rPr>
          <w:rFonts w:ascii="Times New Roman" w:eastAsia="Calibri" w:hAnsi="Times New Roman" w:cs="Times New Roman"/>
          <w:sz w:val="24"/>
          <w:szCs w:val="24"/>
          <w:lang w:val="en-ZW"/>
        </w:rPr>
        <w:t xml:space="preserve">public </w:t>
      </w:r>
      <w:r>
        <w:rPr>
          <w:rFonts w:ascii="Times New Roman" w:eastAsia="Calibri" w:hAnsi="Times New Roman" w:cs="Times New Roman"/>
          <w:sz w:val="24"/>
          <w:szCs w:val="24"/>
          <w:lang w:val="en-ZW"/>
        </w:rPr>
        <w:t>notice.</w:t>
      </w:r>
      <w:r w:rsidR="00103B07">
        <w:rPr>
          <w:rFonts w:ascii="Times New Roman" w:eastAsia="Calibri" w:hAnsi="Times New Roman" w:cs="Times New Roman"/>
          <w:sz w:val="24"/>
          <w:szCs w:val="24"/>
          <w:lang w:val="en-ZW"/>
        </w:rPr>
        <w:t xml:space="preserve"> The </w:t>
      </w:r>
      <w:r w:rsidR="008B594C">
        <w:rPr>
          <w:rFonts w:ascii="Times New Roman" w:eastAsia="Calibri" w:hAnsi="Times New Roman" w:cs="Times New Roman"/>
          <w:sz w:val="24"/>
          <w:szCs w:val="24"/>
          <w:lang w:val="en-ZW"/>
        </w:rPr>
        <w:t xml:space="preserve">public </w:t>
      </w:r>
      <w:r w:rsidR="00103B07">
        <w:rPr>
          <w:rFonts w:ascii="Times New Roman" w:eastAsia="Calibri" w:hAnsi="Times New Roman" w:cs="Times New Roman"/>
          <w:sz w:val="24"/>
          <w:szCs w:val="24"/>
          <w:lang w:val="en-ZW"/>
        </w:rPr>
        <w:t xml:space="preserve">notice produced before the court </w:t>
      </w:r>
      <w:r w:rsidR="00103B07" w:rsidRPr="00BA70EF">
        <w:rPr>
          <w:rFonts w:ascii="Times New Roman" w:eastAsia="Calibri" w:hAnsi="Times New Roman" w:cs="Times New Roman"/>
          <w:i/>
          <w:sz w:val="24"/>
          <w:szCs w:val="24"/>
          <w:lang w:val="en-ZW"/>
        </w:rPr>
        <w:t>a quo</w:t>
      </w:r>
      <w:r w:rsidR="00103B07">
        <w:rPr>
          <w:rFonts w:ascii="Times New Roman" w:eastAsia="Calibri" w:hAnsi="Times New Roman" w:cs="Times New Roman"/>
          <w:sz w:val="24"/>
          <w:szCs w:val="24"/>
          <w:lang w:val="en-ZW"/>
        </w:rPr>
        <w:t xml:space="preserve"> related to the change of reservation application and not the development permit application.</w:t>
      </w:r>
    </w:p>
    <w:p w14:paraId="61C0AE09" w14:textId="77777777" w:rsidR="00BA70EF" w:rsidRPr="005E58BB" w:rsidRDefault="00BA70EF" w:rsidP="00BA70EF">
      <w:pPr>
        <w:spacing w:line="240" w:lineRule="auto"/>
        <w:ind w:firstLine="720"/>
        <w:jc w:val="both"/>
        <w:rPr>
          <w:rFonts w:ascii="Times New Roman" w:eastAsia="Calibri" w:hAnsi="Times New Roman" w:cs="Times New Roman"/>
          <w:sz w:val="24"/>
          <w:szCs w:val="24"/>
          <w:lang w:val="en-ZW"/>
        </w:rPr>
      </w:pPr>
    </w:p>
    <w:p w14:paraId="2CBA2A32" w14:textId="4D536C6F" w:rsidR="0001469C" w:rsidRPr="00BA70EF" w:rsidRDefault="001638BD" w:rsidP="00DC7BF3">
      <w:pPr>
        <w:spacing w:after="0"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We furthermore agree </w:t>
      </w:r>
      <w:r w:rsidR="00534AB0">
        <w:rPr>
          <w:rFonts w:ascii="Times New Roman" w:eastAsia="Calibri" w:hAnsi="Times New Roman" w:cs="Times New Roman"/>
          <w:sz w:val="24"/>
          <w:szCs w:val="24"/>
          <w:lang w:val="en-ZW"/>
        </w:rPr>
        <w:t xml:space="preserve">with the first respondent’s submissions </w:t>
      </w:r>
      <w:r>
        <w:rPr>
          <w:rFonts w:ascii="Times New Roman" w:eastAsia="Calibri" w:hAnsi="Times New Roman" w:cs="Times New Roman"/>
          <w:sz w:val="24"/>
          <w:szCs w:val="24"/>
          <w:lang w:val="en-ZW"/>
        </w:rPr>
        <w:t>that</w:t>
      </w:r>
      <w:r w:rsidR="00534AB0">
        <w:rPr>
          <w:rFonts w:ascii="Times New Roman" w:eastAsia="Calibri" w:hAnsi="Times New Roman" w:cs="Times New Roman"/>
          <w:sz w:val="24"/>
          <w:szCs w:val="24"/>
          <w:lang w:val="en-ZW"/>
        </w:rPr>
        <w:t>,</w:t>
      </w:r>
      <w:r>
        <w:rPr>
          <w:rFonts w:ascii="Times New Roman" w:eastAsia="Calibri" w:hAnsi="Times New Roman" w:cs="Times New Roman"/>
          <w:sz w:val="24"/>
          <w:szCs w:val="24"/>
          <w:lang w:val="en-ZW"/>
        </w:rPr>
        <w:t xml:space="preserve"> </w:t>
      </w:r>
      <w:r w:rsidR="00832AEA">
        <w:rPr>
          <w:rFonts w:ascii="Times New Roman" w:eastAsia="Calibri" w:hAnsi="Times New Roman" w:cs="Times New Roman"/>
          <w:sz w:val="24"/>
          <w:szCs w:val="24"/>
          <w:lang w:val="en-ZW"/>
        </w:rPr>
        <w:t xml:space="preserve">assuming that </w:t>
      </w:r>
      <w:r>
        <w:rPr>
          <w:rFonts w:ascii="Times New Roman" w:eastAsia="Calibri" w:hAnsi="Times New Roman" w:cs="Times New Roman"/>
          <w:sz w:val="24"/>
          <w:szCs w:val="24"/>
          <w:lang w:val="en-ZW"/>
        </w:rPr>
        <w:t>there was a proper application</w:t>
      </w:r>
      <w:r w:rsidR="00534AB0">
        <w:rPr>
          <w:rFonts w:ascii="Times New Roman" w:eastAsia="Calibri" w:hAnsi="Times New Roman" w:cs="Times New Roman"/>
          <w:sz w:val="24"/>
          <w:szCs w:val="24"/>
          <w:lang w:val="en-ZW"/>
        </w:rPr>
        <w:t xml:space="preserve"> for a permit before the third respondent</w:t>
      </w:r>
      <w:r>
        <w:rPr>
          <w:rFonts w:ascii="Times New Roman" w:eastAsia="Calibri" w:hAnsi="Times New Roman" w:cs="Times New Roman"/>
          <w:sz w:val="24"/>
          <w:szCs w:val="24"/>
          <w:lang w:val="en-ZW"/>
        </w:rPr>
        <w:t>, it was in any event deemed refused in terms of s</w:t>
      </w:r>
      <w:r w:rsidR="00534AB0">
        <w:rPr>
          <w:rFonts w:ascii="Times New Roman" w:eastAsia="Calibri" w:hAnsi="Times New Roman" w:cs="Times New Roman"/>
          <w:sz w:val="24"/>
          <w:szCs w:val="24"/>
          <w:lang w:val="en-ZW"/>
        </w:rPr>
        <w:t xml:space="preserve"> </w:t>
      </w:r>
      <w:r>
        <w:rPr>
          <w:rFonts w:ascii="Times New Roman" w:eastAsia="Calibri" w:hAnsi="Times New Roman" w:cs="Times New Roman"/>
          <w:sz w:val="24"/>
          <w:szCs w:val="24"/>
          <w:lang w:val="en-ZW"/>
        </w:rPr>
        <w:t>26</w:t>
      </w:r>
      <w:r w:rsidR="0001469C">
        <w:rPr>
          <w:rFonts w:ascii="Times New Roman" w:eastAsia="Calibri" w:hAnsi="Times New Roman" w:cs="Times New Roman"/>
          <w:sz w:val="24"/>
          <w:szCs w:val="24"/>
          <w:lang w:val="en-ZW"/>
        </w:rPr>
        <w:t xml:space="preserve"> (7) </w:t>
      </w:r>
      <w:r>
        <w:rPr>
          <w:rFonts w:ascii="Times New Roman" w:eastAsia="Calibri" w:hAnsi="Times New Roman" w:cs="Times New Roman"/>
          <w:sz w:val="24"/>
          <w:szCs w:val="24"/>
          <w:lang w:val="en-ZW"/>
        </w:rPr>
        <w:t xml:space="preserve">of the </w:t>
      </w:r>
      <w:r w:rsidR="00637586">
        <w:rPr>
          <w:rFonts w:ascii="Times New Roman" w:eastAsia="Calibri" w:hAnsi="Times New Roman" w:cs="Times New Roman"/>
          <w:sz w:val="24"/>
          <w:szCs w:val="24"/>
          <w:lang w:val="en-ZW"/>
        </w:rPr>
        <w:t>Regional</w:t>
      </w:r>
      <w:r w:rsidR="00403EC3">
        <w:rPr>
          <w:rFonts w:ascii="Times New Roman" w:eastAsia="Calibri" w:hAnsi="Times New Roman" w:cs="Times New Roman"/>
          <w:sz w:val="24"/>
          <w:szCs w:val="24"/>
          <w:lang w:val="en-ZW"/>
        </w:rPr>
        <w:t>,</w:t>
      </w:r>
      <w:r w:rsidR="00637586">
        <w:rPr>
          <w:rFonts w:ascii="Times New Roman" w:eastAsia="Calibri" w:hAnsi="Times New Roman" w:cs="Times New Roman"/>
          <w:sz w:val="24"/>
          <w:szCs w:val="24"/>
          <w:lang w:val="en-ZW"/>
        </w:rPr>
        <w:t xml:space="preserve"> Town and</w:t>
      </w:r>
      <w:r>
        <w:rPr>
          <w:rFonts w:ascii="Times New Roman" w:eastAsia="Calibri" w:hAnsi="Times New Roman" w:cs="Times New Roman"/>
          <w:sz w:val="24"/>
          <w:szCs w:val="24"/>
          <w:lang w:val="en-ZW"/>
        </w:rPr>
        <w:t xml:space="preserve"> Country Planning Act.</w:t>
      </w:r>
      <w:r w:rsidR="0001469C">
        <w:rPr>
          <w:rFonts w:ascii="Times New Roman" w:eastAsia="Calibri" w:hAnsi="Times New Roman" w:cs="Times New Roman"/>
          <w:sz w:val="24"/>
          <w:szCs w:val="24"/>
          <w:lang w:val="en-ZW"/>
        </w:rPr>
        <w:t xml:space="preserve"> Section 26 (7) reads:</w:t>
      </w:r>
    </w:p>
    <w:p w14:paraId="7CF19A00" w14:textId="77777777" w:rsidR="0001469C" w:rsidRDefault="0001469C" w:rsidP="00BA70EF">
      <w:pPr>
        <w:autoSpaceDE w:val="0"/>
        <w:autoSpaceDN w:val="0"/>
        <w:adjustRightInd w:val="0"/>
        <w:spacing w:after="0" w:line="240" w:lineRule="auto"/>
        <w:ind w:left="720"/>
        <w:jc w:val="both"/>
        <w:rPr>
          <w:rFonts w:ascii="Times New Roman" w:hAnsi="Times New Roman" w:cs="Times New Roman"/>
          <w:sz w:val="24"/>
          <w:szCs w:val="24"/>
          <w:lang w:val="en-ZW"/>
        </w:rPr>
      </w:pPr>
      <w:r w:rsidRPr="00BA70EF">
        <w:rPr>
          <w:rFonts w:ascii="Times New Roman" w:hAnsi="Times New Roman" w:cs="Times New Roman"/>
          <w:sz w:val="24"/>
          <w:szCs w:val="24"/>
          <w:lang w:val="en-ZW"/>
        </w:rPr>
        <w:t>“If the local planning authority has not determined in terms of subsection (6) an application in terms of subsection (1) within three months of the date of acknowledgement in terms of subsection (2) of the receipt of the application or any extension of that period granted by the applicant in writing, the application shall be deemed to have been refused by the local planning authority.</w:t>
      </w:r>
    </w:p>
    <w:p w14:paraId="236A308F" w14:textId="77777777" w:rsidR="00C93F7B" w:rsidRPr="00BA70EF" w:rsidRDefault="00C93F7B" w:rsidP="00C93F7B">
      <w:pPr>
        <w:autoSpaceDE w:val="0"/>
        <w:autoSpaceDN w:val="0"/>
        <w:adjustRightInd w:val="0"/>
        <w:spacing w:after="0" w:line="276" w:lineRule="auto"/>
        <w:ind w:left="720"/>
        <w:jc w:val="both"/>
        <w:rPr>
          <w:rFonts w:ascii="Times New Roman" w:eastAsia="Calibri" w:hAnsi="Times New Roman" w:cs="Times New Roman"/>
          <w:sz w:val="24"/>
          <w:szCs w:val="24"/>
          <w:lang w:val="en-ZW"/>
        </w:rPr>
      </w:pPr>
    </w:p>
    <w:p w14:paraId="5BADEA09" w14:textId="77777777" w:rsidR="0001469C" w:rsidRDefault="001638BD" w:rsidP="00BA70EF">
      <w:pPr>
        <w:spacing w:after="0" w:line="480" w:lineRule="auto"/>
        <w:ind w:firstLine="720"/>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14:paraId="39F834CF" w14:textId="007822A3" w:rsidR="001638BD" w:rsidRDefault="001638BD" w:rsidP="001C68F0">
      <w:pPr>
        <w:spacing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The application</w:t>
      </w:r>
      <w:r w:rsidR="0001469C">
        <w:rPr>
          <w:rFonts w:ascii="Times New Roman" w:eastAsia="Calibri" w:hAnsi="Times New Roman" w:cs="Times New Roman"/>
          <w:sz w:val="24"/>
          <w:szCs w:val="24"/>
          <w:lang w:val="en-ZW"/>
        </w:rPr>
        <w:t xml:space="preserve"> for a permit being relied on by the appellant </w:t>
      </w:r>
      <w:r>
        <w:rPr>
          <w:rFonts w:ascii="Times New Roman" w:eastAsia="Calibri" w:hAnsi="Times New Roman" w:cs="Times New Roman"/>
          <w:sz w:val="24"/>
          <w:szCs w:val="24"/>
          <w:lang w:val="en-ZW"/>
        </w:rPr>
        <w:t xml:space="preserve">was </w:t>
      </w:r>
      <w:r w:rsidR="00637586">
        <w:rPr>
          <w:rFonts w:ascii="Times New Roman" w:eastAsia="Calibri" w:hAnsi="Times New Roman" w:cs="Times New Roman"/>
          <w:sz w:val="24"/>
          <w:szCs w:val="24"/>
          <w:lang w:val="en-ZW"/>
        </w:rPr>
        <w:t>purportedly</w:t>
      </w:r>
      <w:r>
        <w:rPr>
          <w:rFonts w:ascii="Times New Roman" w:eastAsia="Calibri" w:hAnsi="Times New Roman" w:cs="Times New Roman"/>
          <w:sz w:val="24"/>
          <w:szCs w:val="24"/>
          <w:lang w:val="en-ZW"/>
        </w:rPr>
        <w:t xml:space="preserve"> made on 5 January 2018.</w:t>
      </w:r>
      <w:r w:rsidR="002F7B8D">
        <w:rPr>
          <w:rFonts w:ascii="Times New Roman" w:eastAsia="Calibri" w:hAnsi="Times New Roman" w:cs="Times New Roman"/>
          <w:sz w:val="24"/>
          <w:szCs w:val="24"/>
          <w:lang w:val="en-ZW"/>
        </w:rPr>
        <w:t xml:space="preserve"> The purported grant </w:t>
      </w:r>
      <w:r w:rsidR="00797815">
        <w:rPr>
          <w:rFonts w:ascii="Times New Roman" w:eastAsia="Calibri" w:hAnsi="Times New Roman" w:cs="Times New Roman"/>
          <w:sz w:val="24"/>
          <w:szCs w:val="24"/>
          <w:lang w:val="en-ZW"/>
        </w:rPr>
        <w:t xml:space="preserve">of the permit </w:t>
      </w:r>
      <w:r w:rsidR="002F7B8D">
        <w:rPr>
          <w:rFonts w:ascii="Times New Roman" w:eastAsia="Calibri" w:hAnsi="Times New Roman" w:cs="Times New Roman"/>
          <w:sz w:val="24"/>
          <w:szCs w:val="24"/>
          <w:lang w:val="en-ZW"/>
        </w:rPr>
        <w:t xml:space="preserve">was on 5 </w:t>
      </w:r>
      <w:r w:rsidR="00637586">
        <w:rPr>
          <w:rFonts w:ascii="Times New Roman" w:eastAsia="Calibri" w:hAnsi="Times New Roman" w:cs="Times New Roman"/>
          <w:sz w:val="24"/>
          <w:szCs w:val="24"/>
          <w:lang w:val="en-ZW"/>
        </w:rPr>
        <w:t>December</w:t>
      </w:r>
      <w:r w:rsidR="002F7B8D">
        <w:rPr>
          <w:rFonts w:ascii="Times New Roman" w:eastAsia="Calibri" w:hAnsi="Times New Roman" w:cs="Times New Roman"/>
          <w:sz w:val="24"/>
          <w:szCs w:val="24"/>
          <w:lang w:val="en-ZW"/>
        </w:rPr>
        <w:t xml:space="preserve"> 2019. This was clearly in excess</w:t>
      </w:r>
      <w:r w:rsidR="00797815">
        <w:rPr>
          <w:rFonts w:ascii="Times New Roman" w:eastAsia="Calibri" w:hAnsi="Times New Roman" w:cs="Times New Roman"/>
          <w:sz w:val="24"/>
          <w:szCs w:val="24"/>
          <w:lang w:val="en-ZW"/>
        </w:rPr>
        <w:t>, by almost two years,</w:t>
      </w:r>
      <w:r w:rsidR="002F7B8D">
        <w:rPr>
          <w:rFonts w:ascii="Times New Roman" w:eastAsia="Calibri" w:hAnsi="Times New Roman" w:cs="Times New Roman"/>
          <w:sz w:val="24"/>
          <w:szCs w:val="24"/>
          <w:lang w:val="en-ZW"/>
        </w:rPr>
        <w:t xml:space="preserve"> of the 3 </w:t>
      </w:r>
      <w:r w:rsidR="00637586">
        <w:rPr>
          <w:rFonts w:ascii="Times New Roman" w:eastAsia="Calibri" w:hAnsi="Times New Roman" w:cs="Times New Roman"/>
          <w:sz w:val="24"/>
          <w:szCs w:val="24"/>
          <w:lang w:val="en-ZW"/>
        </w:rPr>
        <w:t>months’</w:t>
      </w:r>
      <w:r w:rsidR="002F7B8D">
        <w:rPr>
          <w:rFonts w:ascii="Times New Roman" w:eastAsia="Calibri" w:hAnsi="Times New Roman" w:cs="Times New Roman"/>
          <w:sz w:val="24"/>
          <w:szCs w:val="24"/>
          <w:lang w:val="en-ZW"/>
        </w:rPr>
        <w:t xml:space="preserve"> period within which the application ought to have been considered.</w:t>
      </w:r>
      <w:r w:rsidR="00103B07">
        <w:rPr>
          <w:rFonts w:ascii="Times New Roman" w:eastAsia="Calibri" w:hAnsi="Times New Roman" w:cs="Times New Roman"/>
          <w:sz w:val="24"/>
          <w:szCs w:val="24"/>
          <w:lang w:val="en-ZW"/>
        </w:rPr>
        <w:t xml:space="preserve"> The application had therefore been deemed refused by operation of law.</w:t>
      </w:r>
    </w:p>
    <w:p w14:paraId="78A385E0" w14:textId="77777777" w:rsidR="004E7FCF" w:rsidRDefault="004E7FCF" w:rsidP="00D134B0">
      <w:pPr>
        <w:spacing w:line="276" w:lineRule="auto"/>
        <w:ind w:firstLine="1276"/>
        <w:jc w:val="both"/>
        <w:rPr>
          <w:rFonts w:ascii="Times New Roman" w:eastAsia="Calibri" w:hAnsi="Times New Roman" w:cs="Times New Roman"/>
          <w:sz w:val="24"/>
          <w:szCs w:val="24"/>
          <w:lang w:val="en-ZW"/>
        </w:rPr>
      </w:pPr>
    </w:p>
    <w:p w14:paraId="020EC55D" w14:textId="5B3D3997" w:rsidR="002F7B8D" w:rsidRDefault="005E58BB" w:rsidP="004E7FCF">
      <w:pPr>
        <w:spacing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Under the circumstances, the court </w:t>
      </w:r>
      <w:r w:rsidRPr="005E58BB">
        <w:rPr>
          <w:rFonts w:ascii="Times New Roman" w:eastAsia="Calibri" w:hAnsi="Times New Roman" w:cs="Times New Roman"/>
          <w:i/>
          <w:iCs/>
          <w:sz w:val="24"/>
          <w:szCs w:val="24"/>
          <w:lang w:val="en-ZW"/>
        </w:rPr>
        <w:t>a quo</w:t>
      </w:r>
      <w:r>
        <w:rPr>
          <w:rFonts w:ascii="Times New Roman" w:eastAsia="Calibri" w:hAnsi="Times New Roman" w:cs="Times New Roman"/>
          <w:i/>
          <w:iCs/>
          <w:sz w:val="24"/>
          <w:szCs w:val="24"/>
          <w:lang w:val="en-ZW"/>
        </w:rPr>
        <w:t xml:space="preserve"> </w:t>
      </w:r>
      <w:r>
        <w:rPr>
          <w:rFonts w:ascii="Times New Roman" w:eastAsia="Calibri" w:hAnsi="Times New Roman" w:cs="Times New Roman"/>
          <w:sz w:val="24"/>
          <w:szCs w:val="24"/>
          <w:lang w:val="en-ZW"/>
        </w:rPr>
        <w:t xml:space="preserve">cannot be faulted for holding that the appellant did not have a development permit </w:t>
      </w:r>
      <w:r w:rsidR="00546723">
        <w:rPr>
          <w:rFonts w:ascii="Times New Roman" w:eastAsia="Calibri" w:hAnsi="Times New Roman" w:cs="Times New Roman"/>
          <w:sz w:val="24"/>
          <w:szCs w:val="24"/>
          <w:lang w:val="en-ZW"/>
        </w:rPr>
        <w:t xml:space="preserve">and </w:t>
      </w:r>
      <w:r>
        <w:rPr>
          <w:rFonts w:ascii="Times New Roman" w:eastAsia="Calibri" w:hAnsi="Times New Roman" w:cs="Times New Roman"/>
          <w:sz w:val="24"/>
          <w:szCs w:val="24"/>
          <w:lang w:val="en-ZW"/>
        </w:rPr>
        <w:t xml:space="preserve">neither was the purported application for the permit valid. </w:t>
      </w:r>
      <w:r w:rsidR="002F7B8D">
        <w:rPr>
          <w:rFonts w:ascii="Times New Roman" w:eastAsia="Calibri" w:hAnsi="Times New Roman" w:cs="Times New Roman"/>
          <w:sz w:val="24"/>
          <w:szCs w:val="24"/>
          <w:lang w:val="en-ZW"/>
        </w:rPr>
        <w:t>Having found that there was no application before the third respondent, and that if there was one, it had been deemed refused</w:t>
      </w:r>
      <w:r w:rsidR="00103B07">
        <w:rPr>
          <w:rFonts w:ascii="Times New Roman" w:eastAsia="Calibri" w:hAnsi="Times New Roman" w:cs="Times New Roman"/>
          <w:sz w:val="24"/>
          <w:szCs w:val="24"/>
          <w:lang w:val="en-ZW"/>
        </w:rPr>
        <w:t xml:space="preserve"> by operation of law</w:t>
      </w:r>
      <w:r w:rsidR="002F7B8D">
        <w:rPr>
          <w:rFonts w:ascii="Times New Roman" w:eastAsia="Calibri" w:hAnsi="Times New Roman" w:cs="Times New Roman"/>
          <w:sz w:val="24"/>
          <w:szCs w:val="24"/>
          <w:lang w:val="en-ZW"/>
        </w:rPr>
        <w:t xml:space="preserve">, it is in our view not necessary to determine the </w:t>
      </w:r>
      <w:r w:rsidR="00637586">
        <w:rPr>
          <w:rFonts w:ascii="Times New Roman" w:eastAsia="Calibri" w:hAnsi="Times New Roman" w:cs="Times New Roman"/>
          <w:sz w:val="24"/>
          <w:szCs w:val="24"/>
          <w:lang w:val="en-ZW"/>
        </w:rPr>
        <w:t>issue</w:t>
      </w:r>
      <w:r w:rsidR="002F7B8D">
        <w:rPr>
          <w:rFonts w:ascii="Times New Roman" w:eastAsia="Calibri" w:hAnsi="Times New Roman" w:cs="Times New Roman"/>
          <w:sz w:val="24"/>
          <w:szCs w:val="24"/>
          <w:lang w:val="en-ZW"/>
        </w:rPr>
        <w:t xml:space="preserve"> of the contradiction between the certificate and the permit.</w:t>
      </w:r>
    </w:p>
    <w:p w14:paraId="3453E846" w14:textId="77777777" w:rsidR="004E7FCF" w:rsidRDefault="004E7FCF" w:rsidP="004E7FCF">
      <w:pPr>
        <w:spacing w:line="240" w:lineRule="auto"/>
        <w:ind w:firstLine="1134"/>
        <w:jc w:val="both"/>
        <w:rPr>
          <w:rFonts w:ascii="Times New Roman" w:eastAsia="Calibri" w:hAnsi="Times New Roman" w:cs="Times New Roman"/>
          <w:sz w:val="24"/>
          <w:szCs w:val="24"/>
          <w:lang w:val="en-ZW"/>
        </w:rPr>
      </w:pPr>
    </w:p>
    <w:p w14:paraId="0BB6444D" w14:textId="1ED15625" w:rsidR="002F7B8D" w:rsidRDefault="00637586" w:rsidP="00C01B3E">
      <w:pPr>
        <w:spacing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I</w:t>
      </w:r>
      <w:r w:rsidR="008B594C">
        <w:rPr>
          <w:rFonts w:ascii="Times New Roman" w:eastAsia="Calibri" w:hAnsi="Times New Roman" w:cs="Times New Roman"/>
          <w:sz w:val="24"/>
          <w:szCs w:val="24"/>
          <w:lang w:val="en-ZW"/>
        </w:rPr>
        <w:t>t was on this basis that it was the finding of the court that the</w:t>
      </w:r>
      <w:r w:rsidR="002F7B8D">
        <w:rPr>
          <w:rFonts w:ascii="Times New Roman" w:eastAsia="Calibri" w:hAnsi="Times New Roman" w:cs="Times New Roman"/>
          <w:sz w:val="24"/>
          <w:szCs w:val="24"/>
          <w:lang w:val="en-ZW"/>
        </w:rPr>
        <w:t xml:space="preserve"> appeal ha</w:t>
      </w:r>
      <w:r w:rsidR="008B594C">
        <w:rPr>
          <w:rFonts w:ascii="Times New Roman" w:eastAsia="Calibri" w:hAnsi="Times New Roman" w:cs="Times New Roman"/>
          <w:sz w:val="24"/>
          <w:szCs w:val="24"/>
          <w:lang w:val="en-ZW"/>
        </w:rPr>
        <w:t>d</w:t>
      </w:r>
      <w:r w:rsidR="002F7B8D">
        <w:rPr>
          <w:rFonts w:ascii="Times New Roman" w:eastAsia="Calibri" w:hAnsi="Times New Roman" w:cs="Times New Roman"/>
          <w:sz w:val="24"/>
          <w:szCs w:val="24"/>
          <w:lang w:val="en-ZW"/>
        </w:rPr>
        <w:t xml:space="preserve"> no merit.</w:t>
      </w:r>
    </w:p>
    <w:p w14:paraId="7DBE81CA" w14:textId="77777777" w:rsidR="004E7FCF" w:rsidRDefault="004E7FCF" w:rsidP="004E7FCF">
      <w:pPr>
        <w:spacing w:line="240" w:lineRule="auto"/>
        <w:ind w:firstLine="720"/>
        <w:jc w:val="both"/>
        <w:rPr>
          <w:rFonts w:ascii="Times New Roman" w:eastAsia="Calibri" w:hAnsi="Times New Roman" w:cs="Times New Roman"/>
          <w:sz w:val="24"/>
          <w:szCs w:val="24"/>
          <w:lang w:val="en-ZW"/>
        </w:rPr>
      </w:pPr>
    </w:p>
    <w:p w14:paraId="6A66E456" w14:textId="1168E860" w:rsidR="002F7B8D" w:rsidRDefault="00534AB0" w:rsidP="00C01B3E">
      <w:pPr>
        <w:spacing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Regarding the issue of costs, </w:t>
      </w:r>
      <w:r w:rsidR="002F7B8D">
        <w:rPr>
          <w:rFonts w:ascii="Times New Roman" w:eastAsia="Calibri" w:hAnsi="Times New Roman" w:cs="Times New Roman"/>
          <w:sz w:val="24"/>
          <w:szCs w:val="24"/>
          <w:lang w:val="en-ZW"/>
        </w:rPr>
        <w:t xml:space="preserve">it is our view that costs on a higher scale are warranted. The appellant belatedly raised the issue of </w:t>
      </w:r>
      <w:r w:rsidR="002F7B8D" w:rsidRPr="00534AB0">
        <w:rPr>
          <w:rFonts w:ascii="Times New Roman" w:eastAsia="Calibri" w:hAnsi="Times New Roman" w:cs="Times New Roman"/>
          <w:i/>
          <w:sz w:val="24"/>
          <w:szCs w:val="24"/>
          <w:lang w:val="en-ZW"/>
        </w:rPr>
        <w:t>locus standi</w:t>
      </w:r>
      <w:r w:rsidR="002F7B8D">
        <w:rPr>
          <w:rFonts w:ascii="Times New Roman" w:eastAsia="Calibri" w:hAnsi="Times New Roman" w:cs="Times New Roman"/>
          <w:sz w:val="24"/>
          <w:szCs w:val="24"/>
          <w:lang w:val="en-ZW"/>
        </w:rPr>
        <w:t xml:space="preserve"> which had already been determined in a </w:t>
      </w:r>
      <w:r w:rsidR="002F7B8D">
        <w:rPr>
          <w:rFonts w:ascii="Times New Roman" w:eastAsia="Calibri" w:hAnsi="Times New Roman" w:cs="Times New Roman"/>
          <w:sz w:val="24"/>
          <w:szCs w:val="24"/>
          <w:lang w:val="en-ZW"/>
        </w:rPr>
        <w:lastRenderedPageBreak/>
        <w:t xml:space="preserve">judgment that </w:t>
      </w:r>
      <w:r>
        <w:rPr>
          <w:rFonts w:ascii="Times New Roman" w:eastAsia="Calibri" w:hAnsi="Times New Roman" w:cs="Times New Roman"/>
          <w:sz w:val="24"/>
          <w:szCs w:val="24"/>
          <w:lang w:val="en-ZW"/>
        </w:rPr>
        <w:t>it</w:t>
      </w:r>
      <w:r w:rsidR="002F7B8D">
        <w:rPr>
          <w:rFonts w:ascii="Times New Roman" w:eastAsia="Calibri" w:hAnsi="Times New Roman" w:cs="Times New Roman"/>
          <w:sz w:val="24"/>
          <w:szCs w:val="24"/>
          <w:lang w:val="en-ZW"/>
        </w:rPr>
        <w:t xml:space="preserve"> has, to date, not appealed against. In addition, that issue was not raised before the court </w:t>
      </w:r>
      <w:r w:rsidR="0060202F" w:rsidRPr="0060202F">
        <w:rPr>
          <w:rFonts w:ascii="Times New Roman" w:eastAsia="Calibri" w:hAnsi="Times New Roman" w:cs="Times New Roman"/>
          <w:i/>
          <w:sz w:val="24"/>
          <w:szCs w:val="24"/>
          <w:lang w:val="en-ZW"/>
        </w:rPr>
        <w:t>a quo</w:t>
      </w:r>
      <w:r w:rsidR="002F7B8D">
        <w:rPr>
          <w:rFonts w:ascii="Times New Roman" w:eastAsia="Calibri" w:hAnsi="Times New Roman" w:cs="Times New Roman"/>
          <w:sz w:val="24"/>
          <w:szCs w:val="24"/>
          <w:lang w:val="en-ZW"/>
        </w:rPr>
        <w:t>.</w:t>
      </w:r>
      <w:r>
        <w:rPr>
          <w:rFonts w:ascii="Times New Roman" w:eastAsia="Calibri" w:hAnsi="Times New Roman" w:cs="Times New Roman"/>
          <w:sz w:val="24"/>
          <w:szCs w:val="24"/>
          <w:lang w:val="en-ZW"/>
        </w:rPr>
        <w:t xml:space="preserve"> </w:t>
      </w:r>
      <w:r w:rsidR="0060202F">
        <w:rPr>
          <w:rFonts w:ascii="Times New Roman" w:eastAsia="Calibri" w:hAnsi="Times New Roman" w:cs="Times New Roman"/>
          <w:sz w:val="24"/>
          <w:szCs w:val="24"/>
          <w:lang w:val="en-ZW"/>
        </w:rPr>
        <w:t xml:space="preserve">The </w:t>
      </w:r>
      <w:r w:rsidR="00103B07">
        <w:rPr>
          <w:rFonts w:ascii="Times New Roman" w:eastAsia="Calibri" w:hAnsi="Times New Roman" w:cs="Times New Roman"/>
          <w:sz w:val="24"/>
          <w:szCs w:val="24"/>
          <w:lang w:val="en-ZW"/>
        </w:rPr>
        <w:t>first</w:t>
      </w:r>
      <w:r w:rsidR="002F7B8D">
        <w:rPr>
          <w:rFonts w:ascii="Times New Roman" w:eastAsia="Calibri" w:hAnsi="Times New Roman" w:cs="Times New Roman"/>
          <w:sz w:val="24"/>
          <w:szCs w:val="24"/>
          <w:lang w:val="en-ZW"/>
        </w:rPr>
        <w:t xml:space="preserve"> respondent was unnecessarily put out of pocket</w:t>
      </w:r>
      <w:r w:rsidR="002F589E">
        <w:rPr>
          <w:rFonts w:ascii="Times New Roman" w:eastAsia="Calibri" w:hAnsi="Times New Roman" w:cs="Times New Roman"/>
          <w:sz w:val="24"/>
          <w:szCs w:val="24"/>
          <w:lang w:val="en-ZW"/>
        </w:rPr>
        <w:t xml:space="preserve"> and thus unnecessarily prejudiced</w:t>
      </w:r>
      <w:r w:rsidR="002F7B8D">
        <w:rPr>
          <w:rFonts w:ascii="Times New Roman" w:eastAsia="Calibri" w:hAnsi="Times New Roman" w:cs="Times New Roman"/>
          <w:sz w:val="24"/>
          <w:szCs w:val="24"/>
          <w:lang w:val="en-ZW"/>
        </w:rPr>
        <w:t>.</w:t>
      </w:r>
    </w:p>
    <w:p w14:paraId="698FB757" w14:textId="77777777" w:rsidR="004E7FCF" w:rsidRDefault="004E7FCF" w:rsidP="004E7FCF">
      <w:pPr>
        <w:spacing w:line="240" w:lineRule="auto"/>
        <w:ind w:firstLine="720"/>
        <w:jc w:val="both"/>
        <w:rPr>
          <w:rFonts w:ascii="Times New Roman" w:eastAsia="Calibri" w:hAnsi="Times New Roman" w:cs="Times New Roman"/>
          <w:sz w:val="24"/>
          <w:szCs w:val="24"/>
          <w:lang w:val="en-ZW"/>
        </w:rPr>
      </w:pPr>
    </w:p>
    <w:p w14:paraId="6606C095" w14:textId="2E1FB6E7" w:rsidR="002F7B8D" w:rsidRDefault="00797815" w:rsidP="009D7CBB">
      <w:pPr>
        <w:spacing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It </w:t>
      </w:r>
      <w:r w:rsidR="008B594C">
        <w:rPr>
          <w:rFonts w:ascii="Times New Roman" w:eastAsia="Calibri" w:hAnsi="Times New Roman" w:cs="Times New Roman"/>
          <w:sz w:val="24"/>
          <w:szCs w:val="24"/>
          <w:lang w:val="en-ZW"/>
        </w:rPr>
        <w:t>was</w:t>
      </w:r>
      <w:r>
        <w:rPr>
          <w:rFonts w:ascii="Times New Roman" w:eastAsia="Calibri" w:hAnsi="Times New Roman" w:cs="Times New Roman"/>
          <w:sz w:val="24"/>
          <w:szCs w:val="24"/>
          <w:lang w:val="en-ZW"/>
        </w:rPr>
        <w:t xml:space="preserve"> for the above reasons that the appeal was dismissed with costs on a legal practitioner and client scale</w:t>
      </w:r>
      <w:r w:rsidR="002F7B8D">
        <w:rPr>
          <w:rFonts w:ascii="Times New Roman" w:eastAsia="Calibri" w:hAnsi="Times New Roman" w:cs="Times New Roman"/>
          <w:sz w:val="24"/>
          <w:szCs w:val="24"/>
          <w:lang w:val="en-ZW"/>
        </w:rPr>
        <w:t>.</w:t>
      </w:r>
    </w:p>
    <w:p w14:paraId="2C17129C" w14:textId="11B88307" w:rsidR="002F7B8D" w:rsidRDefault="002F7B8D" w:rsidP="002076EF">
      <w:pPr>
        <w:spacing w:line="480" w:lineRule="auto"/>
        <w:jc w:val="both"/>
        <w:rPr>
          <w:rFonts w:ascii="Times New Roman" w:eastAsia="Calibri" w:hAnsi="Times New Roman" w:cs="Times New Roman"/>
          <w:sz w:val="24"/>
          <w:szCs w:val="24"/>
          <w:lang w:val="en-ZW"/>
        </w:rPr>
      </w:pPr>
    </w:p>
    <w:p w14:paraId="6E87657A" w14:textId="77777777" w:rsidR="008B594C" w:rsidRDefault="008B594C" w:rsidP="002076EF">
      <w:pPr>
        <w:spacing w:line="480" w:lineRule="auto"/>
        <w:jc w:val="both"/>
        <w:rPr>
          <w:rFonts w:ascii="Times New Roman" w:eastAsia="Calibri" w:hAnsi="Times New Roman" w:cs="Times New Roman"/>
          <w:sz w:val="24"/>
          <w:szCs w:val="24"/>
          <w:lang w:val="en-ZW"/>
        </w:rPr>
      </w:pPr>
    </w:p>
    <w:p w14:paraId="0C31B587" w14:textId="77777777" w:rsidR="002F7B8D" w:rsidRPr="002F7B8D" w:rsidRDefault="002F7B8D" w:rsidP="002076EF">
      <w:pPr>
        <w:spacing w:line="240" w:lineRule="auto"/>
        <w:jc w:val="both"/>
        <w:rPr>
          <w:rFonts w:ascii="Times New Roman" w:eastAsia="Calibri" w:hAnsi="Times New Roman" w:cs="Times New Roman"/>
          <w:i/>
          <w:sz w:val="24"/>
          <w:szCs w:val="24"/>
          <w:lang w:val="en-ZW"/>
        </w:rPr>
      </w:pPr>
      <w:r w:rsidRPr="002F7B8D">
        <w:rPr>
          <w:rFonts w:ascii="Times New Roman" w:eastAsia="Calibri" w:hAnsi="Times New Roman" w:cs="Times New Roman"/>
          <w:i/>
          <w:sz w:val="24"/>
          <w:szCs w:val="24"/>
          <w:lang w:val="en-ZW"/>
        </w:rPr>
        <w:t xml:space="preserve">Gill </w:t>
      </w:r>
      <w:proofErr w:type="spellStart"/>
      <w:r w:rsidRPr="002F7B8D">
        <w:rPr>
          <w:rFonts w:ascii="Times New Roman" w:eastAsia="Calibri" w:hAnsi="Times New Roman" w:cs="Times New Roman"/>
          <w:i/>
          <w:sz w:val="24"/>
          <w:szCs w:val="24"/>
          <w:lang w:val="en-ZW"/>
        </w:rPr>
        <w:t>Godlonton</w:t>
      </w:r>
      <w:proofErr w:type="spellEnd"/>
      <w:r w:rsidRPr="002F7B8D">
        <w:rPr>
          <w:rFonts w:ascii="Times New Roman" w:eastAsia="Calibri" w:hAnsi="Times New Roman" w:cs="Times New Roman"/>
          <w:i/>
          <w:sz w:val="24"/>
          <w:szCs w:val="24"/>
          <w:lang w:val="en-ZW"/>
        </w:rPr>
        <w:t xml:space="preserve"> &amp; </w:t>
      </w:r>
      <w:proofErr w:type="spellStart"/>
      <w:r w:rsidRPr="002F7B8D">
        <w:rPr>
          <w:rFonts w:ascii="Times New Roman" w:eastAsia="Calibri" w:hAnsi="Times New Roman" w:cs="Times New Roman"/>
          <w:i/>
          <w:sz w:val="24"/>
          <w:szCs w:val="24"/>
          <w:lang w:val="en-ZW"/>
        </w:rPr>
        <w:t>Gerrans</w:t>
      </w:r>
      <w:proofErr w:type="spellEnd"/>
      <w:r w:rsidRPr="002F7B8D">
        <w:rPr>
          <w:rFonts w:ascii="Times New Roman" w:eastAsia="Calibri" w:hAnsi="Times New Roman" w:cs="Times New Roman"/>
          <w:i/>
          <w:sz w:val="24"/>
          <w:szCs w:val="24"/>
          <w:lang w:val="en-ZW"/>
        </w:rPr>
        <w:t xml:space="preserve">, </w:t>
      </w:r>
      <w:r w:rsidRPr="002139ED">
        <w:rPr>
          <w:rFonts w:ascii="Times New Roman" w:eastAsia="Calibri" w:hAnsi="Times New Roman" w:cs="Times New Roman"/>
          <w:sz w:val="24"/>
          <w:szCs w:val="24"/>
          <w:lang w:val="en-ZW"/>
        </w:rPr>
        <w:t>appellant’s legal practitioners</w:t>
      </w:r>
    </w:p>
    <w:p w14:paraId="6A0DC120" w14:textId="68D5050F" w:rsidR="002F7B8D" w:rsidRPr="002139ED" w:rsidRDefault="002F7B8D" w:rsidP="002076EF">
      <w:pPr>
        <w:spacing w:line="240" w:lineRule="auto"/>
        <w:jc w:val="both"/>
        <w:rPr>
          <w:rFonts w:ascii="Times New Roman" w:eastAsia="Calibri" w:hAnsi="Times New Roman" w:cs="Times New Roman"/>
          <w:sz w:val="24"/>
          <w:szCs w:val="24"/>
          <w:lang w:val="en-ZW"/>
        </w:rPr>
      </w:pPr>
      <w:r w:rsidRPr="002F7B8D">
        <w:rPr>
          <w:rFonts w:ascii="Times New Roman" w:eastAsia="Calibri" w:hAnsi="Times New Roman" w:cs="Times New Roman"/>
          <w:i/>
          <w:sz w:val="24"/>
          <w:szCs w:val="24"/>
          <w:lang w:val="en-ZW"/>
        </w:rPr>
        <w:t>Zimbabwe Lawyers fo</w:t>
      </w:r>
      <w:r>
        <w:rPr>
          <w:rFonts w:ascii="Times New Roman" w:eastAsia="Calibri" w:hAnsi="Times New Roman" w:cs="Times New Roman"/>
          <w:i/>
          <w:sz w:val="24"/>
          <w:szCs w:val="24"/>
          <w:lang w:val="en-ZW"/>
        </w:rPr>
        <w:t xml:space="preserve">r Human Rights, </w:t>
      </w:r>
      <w:r w:rsidRPr="002139ED">
        <w:rPr>
          <w:rFonts w:ascii="Times New Roman" w:eastAsia="Calibri" w:hAnsi="Times New Roman" w:cs="Times New Roman"/>
          <w:sz w:val="24"/>
          <w:szCs w:val="24"/>
          <w:lang w:val="en-ZW"/>
        </w:rPr>
        <w:t>first respondent’s legal practitioners</w:t>
      </w:r>
    </w:p>
    <w:p w14:paraId="4F2FFBF9" w14:textId="7EE24C08" w:rsidR="009E4ADC" w:rsidRDefault="009E4ADC" w:rsidP="002076EF">
      <w:pPr>
        <w:spacing w:line="240" w:lineRule="auto"/>
        <w:jc w:val="both"/>
        <w:rPr>
          <w:rFonts w:ascii="Times New Roman" w:eastAsia="Calibri" w:hAnsi="Times New Roman" w:cs="Times New Roman"/>
          <w:i/>
          <w:sz w:val="24"/>
          <w:szCs w:val="24"/>
          <w:lang w:val="en-ZW"/>
        </w:rPr>
      </w:pPr>
    </w:p>
    <w:p w14:paraId="4A8BC12C" w14:textId="77777777" w:rsidR="009E4ADC" w:rsidRDefault="009E4ADC" w:rsidP="002076EF">
      <w:pPr>
        <w:spacing w:line="240" w:lineRule="auto"/>
        <w:jc w:val="both"/>
        <w:rPr>
          <w:rFonts w:ascii="Times New Roman" w:eastAsia="Calibri" w:hAnsi="Times New Roman" w:cs="Times New Roman"/>
          <w:i/>
          <w:sz w:val="24"/>
          <w:szCs w:val="24"/>
          <w:lang w:val="en-ZW"/>
        </w:rPr>
      </w:pPr>
    </w:p>
    <w:sectPr w:rsidR="009E4AD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086E9" w14:textId="77777777" w:rsidR="00C651BD" w:rsidRDefault="00C651BD" w:rsidP="00704B4F">
      <w:pPr>
        <w:spacing w:after="0" w:line="240" w:lineRule="auto"/>
      </w:pPr>
      <w:r>
        <w:separator/>
      </w:r>
    </w:p>
  </w:endnote>
  <w:endnote w:type="continuationSeparator" w:id="0">
    <w:p w14:paraId="767AF825" w14:textId="77777777" w:rsidR="00C651BD" w:rsidRDefault="00C651BD" w:rsidP="0070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FC64E" w14:textId="77777777" w:rsidR="00C651BD" w:rsidRDefault="00C651BD" w:rsidP="00704B4F">
      <w:pPr>
        <w:spacing w:after="0" w:line="240" w:lineRule="auto"/>
      </w:pPr>
      <w:r>
        <w:separator/>
      </w:r>
    </w:p>
  </w:footnote>
  <w:footnote w:type="continuationSeparator" w:id="0">
    <w:p w14:paraId="04CD1E99" w14:textId="77777777" w:rsidR="00C651BD" w:rsidRDefault="00C651BD" w:rsidP="00704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21329142"/>
      <w:docPartObj>
        <w:docPartGallery w:val="Page Numbers (Top of Page)"/>
        <w:docPartUnique/>
      </w:docPartObj>
    </w:sdtPr>
    <w:sdtEndPr>
      <w:rPr>
        <w:noProof/>
      </w:rPr>
    </w:sdtEndPr>
    <w:sdtContent>
      <w:p w14:paraId="12E41870" w14:textId="77777777" w:rsidR="0058211E" w:rsidRPr="003E450C" w:rsidRDefault="0058211E">
        <w:pPr>
          <w:pStyle w:val="Header"/>
          <w:jc w:val="right"/>
          <w:rPr>
            <w:rFonts w:ascii="Times New Roman" w:hAnsi="Times New Roman" w:cs="Times New Roman"/>
            <w:noProof/>
          </w:rPr>
        </w:pPr>
        <w:r w:rsidRPr="003E450C">
          <w:rPr>
            <w:rFonts w:ascii="Times New Roman" w:hAnsi="Times New Roman" w:cs="Times New Roman"/>
          </w:rPr>
          <w:fldChar w:fldCharType="begin"/>
        </w:r>
        <w:r w:rsidRPr="003E450C">
          <w:rPr>
            <w:rFonts w:ascii="Times New Roman" w:hAnsi="Times New Roman" w:cs="Times New Roman"/>
          </w:rPr>
          <w:instrText xml:space="preserve"> PAGE   \* MERGEFORMAT </w:instrText>
        </w:r>
        <w:r w:rsidRPr="003E450C">
          <w:rPr>
            <w:rFonts w:ascii="Times New Roman" w:hAnsi="Times New Roman" w:cs="Times New Roman"/>
          </w:rPr>
          <w:fldChar w:fldCharType="separate"/>
        </w:r>
        <w:r w:rsidR="001E0F9C">
          <w:rPr>
            <w:rFonts w:ascii="Times New Roman" w:hAnsi="Times New Roman" w:cs="Times New Roman"/>
            <w:noProof/>
          </w:rPr>
          <w:t>1</w:t>
        </w:r>
        <w:r w:rsidRPr="003E450C">
          <w:rPr>
            <w:rFonts w:ascii="Times New Roman" w:hAnsi="Times New Roman" w:cs="Times New Roman"/>
            <w:noProof/>
          </w:rPr>
          <w:fldChar w:fldCharType="end"/>
        </w:r>
      </w:p>
      <w:p w14:paraId="538A47B8" w14:textId="19FA8087" w:rsidR="0058211E" w:rsidRPr="003E450C" w:rsidRDefault="003E450C">
        <w:pPr>
          <w:pStyle w:val="Header"/>
          <w:jc w:val="right"/>
          <w:rPr>
            <w:rFonts w:ascii="Times New Roman" w:hAnsi="Times New Roman" w:cs="Times New Roman"/>
            <w:noProof/>
          </w:rPr>
        </w:pPr>
        <w:r>
          <w:rPr>
            <w:rFonts w:ascii="Times New Roman" w:hAnsi="Times New Roman" w:cs="Times New Roman"/>
            <w:noProof/>
          </w:rPr>
          <w:t>Judgment No. SC 74</w:t>
        </w:r>
        <w:r w:rsidR="0058211E" w:rsidRPr="003E450C">
          <w:rPr>
            <w:rFonts w:ascii="Times New Roman" w:hAnsi="Times New Roman" w:cs="Times New Roman"/>
            <w:noProof/>
          </w:rPr>
          <w:t>/22</w:t>
        </w:r>
      </w:p>
      <w:p w14:paraId="7AEE3F2C" w14:textId="77777777" w:rsidR="0058211E" w:rsidRPr="003E450C" w:rsidRDefault="0058211E">
        <w:pPr>
          <w:pStyle w:val="Header"/>
          <w:jc w:val="right"/>
          <w:rPr>
            <w:rFonts w:ascii="Times New Roman" w:hAnsi="Times New Roman" w:cs="Times New Roman"/>
          </w:rPr>
        </w:pPr>
        <w:r w:rsidRPr="003E450C">
          <w:rPr>
            <w:rFonts w:ascii="Times New Roman" w:hAnsi="Times New Roman" w:cs="Times New Roman"/>
            <w:noProof/>
          </w:rPr>
          <w:t>Civil Appeal No.SC 401/20</w:t>
        </w:r>
      </w:p>
    </w:sdtContent>
  </w:sdt>
  <w:p w14:paraId="20FA7951" w14:textId="3BCA08AC" w:rsidR="0058211E" w:rsidRDefault="00582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6278E"/>
    <w:multiLevelType w:val="hybridMultilevel"/>
    <w:tmpl w:val="4D4496A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5FE931BC"/>
    <w:multiLevelType w:val="hybridMultilevel"/>
    <w:tmpl w:val="6EECC18C"/>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4B"/>
    <w:rsid w:val="000001E7"/>
    <w:rsid w:val="00005274"/>
    <w:rsid w:val="000145B1"/>
    <w:rsid w:val="0001469C"/>
    <w:rsid w:val="000518C4"/>
    <w:rsid w:val="00103B07"/>
    <w:rsid w:val="00107AC2"/>
    <w:rsid w:val="00132DDC"/>
    <w:rsid w:val="00134649"/>
    <w:rsid w:val="001638BD"/>
    <w:rsid w:val="001C68F0"/>
    <w:rsid w:val="001E0F9C"/>
    <w:rsid w:val="001E3D42"/>
    <w:rsid w:val="001F612D"/>
    <w:rsid w:val="002076EF"/>
    <w:rsid w:val="002139ED"/>
    <w:rsid w:val="00254C87"/>
    <w:rsid w:val="00261EE4"/>
    <w:rsid w:val="00271BDC"/>
    <w:rsid w:val="002918E5"/>
    <w:rsid w:val="002A7D3C"/>
    <w:rsid w:val="002B678B"/>
    <w:rsid w:val="002E144A"/>
    <w:rsid w:val="002F589E"/>
    <w:rsid w:val="002F7B8D"/>
    <w:rsid w:val="00331B17"/>
    <w:rsid w:val="003D0296"/>
    <w:rsid w:val="003D628E"/>
    <w:rsid w:val="003E450C"/>
    <w:rsid w:val="003F5256"/>
    <w:rsid w:val="00403EC3"/>
    <w:rsid w:val="00404889"/>
    <w:rsid w:val="00460EBD"/>
    <w:rsid w:val="004E1AFD"/>
    <w:rsid w:val="004E7FCF"/>
    <w:rsid w:val="00510106"/>
    <w:rsid w:val="00534AB0"/>
    <w:rsid w:val="00546723"/>
    <w:rsid w:val="00557EFB"/>
    <w:rsid w:val="00570E07"/>
    <w:rsid w:val="0058211E"/>
    <w:rsid w:val="0059709C"/>
    <w:rsid w:val="005C556E"/>
    <w:rsid w:val="005D38BE"/>
    <w:rsid w:val="005E58BB"/>
    <w:rsid w:val="0060202F"/>
    <w:rsid w:val="0063464F"/>
    <w:rsid w:val="00637586"/>
    <w:rsid w:val="006443A6"/>
    <w:rsid w:val="00657FFC"/>
    <w:rsid w:val="0066499C"/>
    <w:rsid w:val="00704B4F"/>
    <w:rsid w:val="007474B0"/>
    <w:rsid w:val="00755B8A"/>
    <w:rsid w:val="00760BF3"/>
    <w:rsid w:val="00797815"/>
    <w:rsid w:val="007A5382"/>
    <w:rsid w:val="007D1015"/>
    <w:rsid w:val="007D5D7D"/>
    <w:rsid w:val="007E6616"/>
    <w:rsid w:val="007F110C"/>
    <w:rsid w:val="008139BB"/>
    <w:rsid w:val="00832AEA"/>
    <w:rsid w:val="00836691"/>
    <w:rsid w:val="00840C2B"/>
    <w:rsid w:val="008B594C"/>
    <w:rsid w:val="008D0B0B"/>
    <w:rsid w:val="008E59AE"/>
    <w:rsid w:val="00910675"/>
    <w:rsid w:val="009145FD"/>
    <w:rsid w:val="009B576F"/>
    <w:rsid w:val="009D23C6"/>
    <w:rsid w:val="009D7CBB"/>
    <w:rsid w:val="009E4ADC"/>
    <w:rsid w:val="00AD0051"/>
    <w:rsid w:val="00AE2D4E"/>
    <w:rsid w:val="00B21751"/>
    <w:rsid w:val="00B73998"/>
    <w:rsid w:val="00BA3026"/>
    <w:rsid w:val="00BA70EF"/>
    <w:rsid w:val="00BC39DD"/>
    <w:rsid w:val="00C01B3E"/>
    <w:rsid w:val="00C0464B"/>
    <w:rsid w:val="00C12FE6"/>
    <w:rsid w:val="00C345B3"/>
    <w:rsid w:val="00C62E80"/>
    <w:rsid w:val="00C651BD"/>
    <w:rsid w:val="00C820A9"/>
    <w:rsid w:val="00C93F7B"/>
    <w:rsid w:val="00C94CDC"/>
    <w:rsid w:val="00D134B0"/>
    <w:rsid w:val="00D23AA4"/>
    <w:rsid w:val="00D25672"/>
    <w:rsid w:val="00D56914"/>
    <w:rsid w:val="00DA6D1C"/>
    <w:rsid w:val="00DC7BF3"/>
    <w:rsid w:val="00E61F8E"/>
    <w:rsid w:val="00E93711"/>
    <w:rsid w:val="00E94804"/>
    <w:rsid w:val="00E961F0"/>
    <w:rsid w:val="00ED394C"/>
    <w:rsid w:val="00F121CA"/>
    <w:rsid w:val="00F21AC8"/>
    <w:rsid w:val="00F35EEA"/>
    <w:rsid w:val="00F70950"/>
    <w:rsid w:val="00F745FC"/>
    <w:rsid w:val="00FB0558"/>
    <w:rsid w:val="00FC2F92"/>
    <w:rsid w:val="00FF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71F1C"/>
  <w15:docId w15:val="{20973CC2-DD71-448D-A530-8AA4950C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Text1">
    <w:name w:val="Footnote Text1"/>
    <w:basedOn w:val="Normal"/>
    <w:next w:val="FootnoteText"/>
    <w:link w:val="FootnoteTextChar"/>
    <w:uiPriority w:val="99"/>
    <w:semiHidden/>
    <w:unhideWhenUsed/>
    <w:rsid w:val="00704B4F"/>
    <w:pPr>
      <w:spacing w:after="0" w:line="240" w:lineRule="auto"/>
    </w:pPr>
    <w:rPr>
      <w:sz w:val="20"/>
      <w:szCs w:val="20"/>
    </w:rPr>
  </w:style>
  <w:style w:type="character" w:customStyle="1" w:styleId="FootnoteTextChar">
    <w:name w:val="Footnote Text Char"/>
    <w:basedOn w:val="DefaultParagraphFont"/>
    <w:link w:val="FootnoteText1"/>
    <w:uiPriority w:val="99"/>
    <w:semiHidden/>
    <w:rsid w:val="00704B4F"/>
    <w:rPr>
      <w:sz w:val="20"/>
      <w:szCs w:val="20"/>
    </w:rPr>
  </w:style>
  <w:style w:type="character" w:styleId="FootnoteReference">
    <w:name w:val="footnote reference"/>
    <w:basedOn w:val="DefaultParagraphFont"/>
    <w:uiPriority w:val="99"/>
    <w:semiHidden/>
    <w:unhideWhenUsed/>
    <w:rsid w:val="00704B4F"/>
    <w:rPr>
      <w:vertAlign w:val="superscript"/>
    </w:rPr>
  </w:style>
  <w:style w:type="paragraph" w:styleId="FootnoteText">
    <w:name w:val="footnote text"/>
    <w:basedOn w:val="Normal"/>
    <w:link w:val="FootnoteTextChar1"/>
    <w:uiPriority w:val="99"/>
    <w:semiHidden/>
    <w:unhideWhenUsed/>
    <w:rsid w:val="00704B4F"/>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04B4F"/>
    <w:rPr>
      <w:sz w:val="20"/>
      <w:szCs w:val="20"/>
    </w:rPr>
  </w:style>
  <w:style w:type="paragraph" w:styleId="Header">
    <w:name w:val="header"/>
    <w:basedOn w:val="Normal"/>
    <w:link w:val="HeaderChar"/>
    <w:uiPriority w:val="99"/>
    <w:unhideWhenUsed/>
    <w:rsid w:val="00FF7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A37"/>
  </w:style>
  <w:style w:type="paragraph" w:styleId="Footer">
    <w:name w:val="footer"/>
    <w:basedOn w:val="Normal"/>
    <w:link w:val="FooterChar"/>
    <w:uiPriority w:val="99"/>
    <w:unhideWhenUsed/>
    <w:rsid w:val="00FF7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A37"/>
  </w:style>
  <w:style w:type="paragraph" w:styleId="BalloonText">
    <w:name w:val="Balloon Text"/>
    <w:basedOn w:val="Normal"/>
    <w:link w:val="BalloonTextChar"/>
    <w:uiPriority w:val="99"/>
    <w:semiHidden/>
    <w:unhideWhenUsed/>
    <w:rsid w:val="008E59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9AE"/>
    <w:rPr>
      <w:rFonts w:ascii="Segoe UI" w:hAnsi="Segoe UI" w:cs="Segoe UI"/>
      <w:sz w:val="18"/>
      <w:szCs w:val="18"/>
    </w:rPr>
  </w:style>
  <w:style w:type="paragraph" w:styleId="NormalWeb">
    <w:name w:val="Normal (Web)"/>
    <w:basedOn w:val="Normal"/>
    <w:uiPriority w:val="99"/>
    <w:unhideWhenUsed/>
    <w:rsid w:val="00F745FC"/>
    <w:pPr>
      <w:spacing w:before="100" w:beforeAutospacing="1" w:after="100" w:afterAutospacing="1" w:line="240" w:lineRule="auto"/>
    </w:pPr>
    <w:rPr>
      <w:rFonts w:ascii="Times New Roman" w:eastAsia="Times New Roman" w:hAnsi="Times New Roman" w:cs="Times New Roman"/>
      <w:sz w:val="24"/>
      <w:szCs w:val="24"/>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5DF97-3F61-4221-B9D9-72B861906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Mamvura</dc:creator>
  <cp:lastModifiedBy>Rufaro Deshe</cp:lastModifiedBy>
  <cp:revision>2</cp:revision>
  <cp:lastPrinted>2022-06-22T10:31:00Z</cp:lastPrinted>
  <dcterms:created xsi:type="dcterms:W3CDTF">2022-10-12T07:16:00Z</dcterms:created>
  <dcterms:modified xsi:type="dcterms:W3CDTF">2022-10-12T07:16:00Z</dcterms:modified>
</cp:coreProperties>
</file>