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839" w:rsidRDefault="00DB2839">
      <w:bookmarkStart w:id="0" w:name="_GoBack"/>
      <w:bookmarkEnd w:id="0"/>
    </w:p>
    <w:p w:rsidR="00C9276D" w:rsidRPr="005C6C84" w:rsidRDefault="00C9276D"/>
    <w:p w:rsidR="00192677" w:rsidRPr="005C6C84" w:rsidRDefault="00192677">
      <w:r w:rsidRPr="005C6C84">
        <w:rPr>
          <w:b/>
          <w:u w:val="single"/>
        </w:rPr>
        <w:t>DISTRIBUTABLE</w:t>
      </w:r>
      <w:r w:rsidRPr="005C6C84">
        <w:rPr>
          <w:b/>
        </w:rPr>
        <w:t xml:space="preserve"> (</w:t>
      </w:r>
      <w:r w:rsidR="00C9276D">
        <w:rPr>
          <w:b/>
        </w:rPr>
        <w:t>38</w:t>
      </w:r>
      <w:r w:rsidR="00C9276D" w:rsidRPr="005C6C84">
        <w:rPr>
          <w:b/>
        </w:rPr>
        <w:t>)</w:t>
      </w:r>
    </w:p>
    <w:p w:rsidR="00DB2839" w:rsidRPr="005C6C84" w:rsidRDefault="00DB2839"/>
    <w:p w:rsidR="00DB2839" w:rsidRPr="005C6C84" w:rsidRDefault="00DB2839"/>
    <w:p w:rsidR="00DB2839" w:rsidRPr="00C9276D" w:rsidRDefault="00C9276D" w:rsidP="00C9276D">
      <w:pPr>
        <w:pStyle w:val="ListParagraph"/>
        <w:numPr>
          <w:ilvl w:val="0"/>
          <w:numId w:val="3"/>
        </w:numPr>
        <w:jc w:val="center"/>
        <w:rPr>
          <w:b/>
        </w:rPr>
      </w:pPr>
      <w:r>
        <w:rPr>
          <w:b/>
        </w:rPr>
        <w:t xml:space="preserve">    </w:t>
      </w:r>
      <w:r w:rsidR="009A249B" w:rsidRPr="00C9276D">
        <w:rPr>
          <w:b/>
        </w:rPr>
        <w:t xml:space="preserve">PROFESSOR </w:t>
      </w:r>
      <w:r>
        <w:rPr>
          <w:b/>
        </w:rPr>
        <w:t xml:space="preserve">    </w:t>
      </w:r>
      <w:r w:rsidR="009A249B" w:rsidRPr="00C9276D">
        <w:rPr>
          <w:b/>
        </w:rPr>
        <w:t>CHETSANGA</w:t>
      </w:r>
    </w:p>
    <w:p w:rsidR="009A249B" w:rsidRPr="00C9276D" w:rsidRDefault="00C9276D" w:rsidP="00C9276D">
      <w:pPr>
        <w:pStyle w:val="ListParagraph"/>
        <w:numPr>
          <w:ilvl w:val="0"/>
          <w:numId w:val="3"/>
        </w:numPr>
        <w:jc w:val="center"/>
        <w:rPr>
          <w:b/>
        </w:rPr>
      </w:pPr>
      <w:r>
        <w:rPr>
          <w:b/>
        </w:rPr>
        <w:t xml:space="preserve">    </w:t>
      </w:r>
      <w:r w:rsidR="009A249B" w:rsidRPr="00C9276D">
        <w:rPr>
          <w:b/>
        </w:rPr>
        <w:t xml:space="preserve">COLLIN </w:t>
      </w:r>
      <w:r>
        <w:rPr>
          <w:b/>
        </w:rPr>
        <w:t xml:space="preserve">    </w:t>
      </w:r>
      <w:r w:rsidR="009A249B" w:rsidRPr="00C9276D">
        <w:rPr>
          <w:b/>
        </w:rPr>
        <w:t>KUHUNI</w:t>
      </w:r>
    </w:p>
    <w:p w:rsidR="009A249B" w:rsidRPr="00C9276D" w:rsidRDefault="00C9276D" w:rsidP="00C9276D">
      <w:pPr>
        <w:pStyle w:val="ListParagraph"/>
        <w:numPr>
          <w:ilvl w:val="0"/>
          <w:numId w:val="3"/>
        </w:numPr>
        <w:jc w:val="center"/>
        <w:rPr>
          <w:b/>
        </w:rPr>
      </w:pPr>
      <w:r>
        <w:rPr>
          <w:b/>
        </w:rPr>
        <w:t xml:space="preserve">    </w:t>
      </w:r>
      <w:r w:rsidR="009A249B" w:rsidRPr="00C9276D">
        <w:rPr>
          <w:b/>
        </w:rPr>
        <w:t xml:space="preserve">MONICA </w:t>
      </w:r>
      <w:r>
        <w:rPr>
          <w:b/>
        </w:rPr>
        <w:t xml:space="preserve">    </w:t>
      </w:r>
      <w:r w:rsidR="009A249B" w:rsidRPr="00C9276D">
        <w:rPr>
          <w:b/>
        </w:rPr>
        <w:t>MUKONOWESHURO</w:t>
      </w:r>
    </w:p>
    <w:p w:rsidR="00383032" w:rsidRPr="00C9276D" w:rsidRDefault="00383032" w:rsidP="00DB2839">
      <w:pPr>
        <w:jc w:val="center"/>
      </w:pPr>
      <w:r w:rsidRPr="00C9276D">
        <w:t>v</w:t>
      </w:r>
    </w:p>
    <w:p w:rsidR="00383032" w:rsidRPr="00C9276D" w:rsidRDefault="00C9276D" w:rsidP="00C9276D">
      <w:pPr>
        <w:pStyle w:val="ListParagraph"/>
        <w:numPr>
          <w:ilvl w:val="0"/>
          <w:numId w:val="4"/>
        </w:numPr>
        <w:jc w:val="center"/>
        <w:rPr>
          <w:b/>
        </w:rPr>
      </w:pPr>
      <w:r>
        <w:rPr>
          <w:b/>
        </w:rPr>
        <w:t xml:space="preserve">    </w:t>
      </w:r>
      <w:r w:rsidR="009A249B" w:rsidRPr="00C9276D">
        <w:rPr>
          <w:b/>
        </w:rPr>
        <w:t xml:space="preserve">PATTERSON </w:t>
      </w:r>
      <w:r>
        <w:rPr>
          <w:b/>
        </w:rPr>
        <w:t xml:space="preserve">    </w:t>
      </w:r>
      <w:r w:rsidR="009A249B" w:rsidRPr="00C9276D">
        <w:rPr>
          <w:b/>
        </w:rPr>
        <w:t>TIMBA</w:t>
      </w:r>
    </w:p>
    <w:p w:rsidR="009A249B" w:rsidRPr="00C9276D" w:rsidRDefault="00C9276D" w:rsidP="00C9276D">
      <w:pPr>
        <w:pStyle w:val="ListParagraph"/>
        <w:numPr>
          <w:ilvl w:val="0"/>
          <w:numId w:val="4"/>
        </w:numPr>
        <w:jc w:val="center"/>
        <w:rPr>
          <w:b/>
        </w:rPr>
      </w:pPr>
      <w:r>
        <w:rPr>
          <w:b/>
        </w:rPr>
        <w:t xml:space="preserve">    </w:t>
      </w:r>
      <w:r w:rsidR="009A249B" w:rsidRPr="00C9276D">
        <w:rPr>
          <w:b/>
        </w:rPr>
        <w:t xml:space="preserve">RENAISSANCE </w:t>
      </w:r>
      <w:r>
        <w:rPr>
          <w:b/>
        </w:rPr>
        <w:t xml:space="preserve">    </w:t>
      </w:r>
      <w:r w:rsidR="009A249B" w:rsidRPr="00C9276D">
        <w:rPr>
          <w:b/>
        </w:rPr>
        <w:t xml:space="preserve">FINANCIAL </w:t>
      </w:r>
      <w:r>
        <w:rPr>
          <w:b/>
        </w:rPr>
        <w:t xml:space="preserve">    </w:t>
      </w:r>
      <w:r w:rsidR="009A249B" w:rsidRPr="00C9276D">
        <w:rPr>
          <w:b/>
        </w:rPr>
        <w:t xml:space="preserve">HOLDINGS </w:t>
      </w:r>
      <w:r>
        <w:rPr>
          <w:b/>
        </w:rPr>
        <w:t xml:space="preserve">    </w:t>
      </w:r>
      <w:r w:rsidR="009A249B" w:rsidRPr="00C9276D">
        <w:rPr>
          <w:b/>
        </w:rPr>
        <w:t xml:space="preserve">(PRIVATE) </w:t>
      </w:r>
      <w:r>
        <w:rPr>
          <w:b/>
        </w:rPr>
        <w:t xml:space="preserve">   </w:t>
      </w:r>
      <w:r w:rsidR="009A249B" w:rsidRPr="00C9276D">
        <w:rPr>
          <w:b/>
        </w:rPr>
        <w:t>LIMITED</w:t>
      </w:r>
    </w:p>
    <w:p w:rsidR="006E0951" w:rsidRPr="005C6C84" w:rsidRDefault="006E0951" w:rsidP="006E0951">
      <w:pPr>
        <w:jc w:val="both"/>
        <w:rPr>
          <w:b/>
        </w:rPr>
      </w:pPr>
    </w:p>
    <w:p w:rsidR="00E404FC" w:rsidRPr="005C6C84" w:rsidRDefault="00E404FC" w:rsidP="006E0951">
      <w:pPr>
        <w:jc w:val="both"/>
        <w:rPr>
          <w:b/>
        </w:rPr>
      </w:pPr>
    </w:p>
    <w:p w:rsidR="00E404FC" w:rsidRPr="00C9276D" w:rsidRDefault="00E404FC" w:rsidP="006E0951">
      <w:pPr>
        <w:jc w:val="both"/>
        <w:rPr>
          <w:b/>
        </w:rPr>
      </w:pPr>
      <w:r w:rsidRPr="00C9276D">
        <w:rPr>
          <w:b/>
        </w:rPr>
        <w:t>SUPREME COURT OF ZIMBABWE</w:t>
      </w:r>
    </w:p>
    <w:p w:rsidR="00E404FC" w:rsidRPr="00C9276D" w:rsidRDefault="009A249B" w:rsidP="006E0951">
      <w:pPr>
        <w:jc w:val="both"/>
        <w:rPr>
          <w:b/>
        </w:rPr>
      </w:pPr>
      <w:r w:rsidRPr="00C9276D">
        <w:rPr>
          <w:b/>
        </w:rPr>
        <w:t>GWAUNZA JA, PATEL JA</w:t>
      </w:r>
      <w:r w:rsidR="00AF48D9" w:rsidRPr="00C9276D">
        <w:rPr>
          <w:b/>
        </w:rPr>
        <w:t xml:space="preserve"> &amp; </w:t>
      </w:r>
      <w:r w:rsidRPr="00C9276D">
        <w:rPr>
          <w:b/>
        </w:rPr>
        <w:t>MAVANGIRA JA</w:t>
      </w:r>
    </w:p>
    <w:p w:rsidR="00AF48D9" w:rsidRPr="005C6C84" w:rsidRDefault="00AF48D9" w:rsidP="006E0951">
      <w:pPr>
        <w:jc w:val="both"/>
      </w:pPr>
      <w:r w:rsidRPr="00C9276D">
        <w:rPr>
          <w:b/>
        </w:rPr>
        <w:t>HARARE,</w:t>
      </w:r>
      <w:r w:rsidRPr="005C6C84">
        <w:rPr>
          <w:b/>
        </w:rPr>
        <w:t xml:space="preserve"> </w:t>
      </w:r>
      <w:r w:rsidR="009A249B" w:rsidRPr="00C9276D">
        <w:t>OCTOBER</w:t>
      </w:r>
      <w:r w:rsidR="00C9276D">
        <w:t xml:space="preserve"> 13,</w:t>
      </w:r>
      <w:r w:rsidR="009A249B" w:rsidRPr="00C9276D">
        <w:t xml:space="preserve"> 2016</w:t>
      </w:r>
    </w:p>
    <w:p w:rsidR="008E3E30" w:rsidRPr="005C6C84" w:rsidRDefault="008E3E30" w:rsidP="00412229">
      <w:pPr>
        <w:spacing w:line="360" w:lineRule="auto"/>
        <w:jc w:val="both"/>
      </w:pPr>
    </w:p>
    <w:p w:rsidR="00B763ED" w:rsidRPr="005C6C84" w:rsidRDefault="00B763ED" w:rsidP="00412229">
      <w:pPr>
        <w:spacing w:line="360" w:lineRule="auto"/>
        <w:jc w:val="both"/>
      </w:pPr>
    </w:p>
    <w:p w:rsidR="008E3E30" w:rsidRPr="005C6C84" w:rsidRDefault="004B3341" w:rsidP="004D7AD8">
      <w:pPr>
        <w:jc w:val="both"/>
      </w:pPr>
      <w:r w:rsidRPr="005C6C84">
        <w:rPr>
          <w:i/>
        </w:rPr>
        <w:t>L. Mazonde</w:t>
      </w:r>
      <w:r w:rsidR="002D0DAD" w:rsidRPr="005C6C84">
        <w:t xml:space="preserve">, for the </w:t>
      </w:r>
      <w:r w:rsidRPr="005C6C84">
        <w:t>1</w:t>
      </w:r>
      <w:r w:rsidRPr="005C6C84">
        <w:rPr>
          <w:vertAlign w:val="superscript"/>
        </w:rPr>
        <w:t>st</w:t>
      </w:r>
      <w:r w:rsidRPr="005C6C84">
        <w:t xml:space="preserve"> and 3</w:t>
      </w:r>
      <w:r w:rsidRPr="005C6C84">
        <w:rPr>
          <w:vertAlign w:val="superscript"/>
        </w:rPr>
        <w:t>rd</w:t>
      </w:r>
      <w:r w:rsidRPr="005C6C84">
        <w:t xml:space="preserve"> </w:t>
      </w:r>
      <w:r w:rsidR="002D0DAD" w:rsidRPr="005C6C84">
        <w:t>appellant</w:t>
      </w:r>
      <w:r w:rsidRPr="005C6C84">
        <w:t>s</w:t>
      </w:r>
    </w:p>
    <w:p w:rsidR="004B3341" w:rsidRPr="005C6C84" w:rsidRDefault="004B3341" w:rsidP="004D7AD8">
      <w:pPr>
        <w:jc w:val="both"/>
      </w:pPr>
      <w:r w:rsidRPr="005C6C84">
        <w:rPr>
          <w:i/>
        </w:rPr>
        <w:t>A. Mugandiwa</w:t>
      </w:r>
      <w:r w:rsidRPr="005C6C84">
        <w:t>, for the 2</w:t>
      </w:r>
      <w:r w:rsidRPr="005C6C84">
        <w:rPr>
          <w:vertAlign w:val="superscript"/>
        </w:rPr>
        <w:t>nd</w:t>
      </w:r>
      <w:r w:rsidRPr="005C6C84">
        <w:t xml:space="preserve"> appellant</w:t>
      </w:r>
    </w:p>
    <w:p w:rsidR="002D0DAD" w:rsidRPr="005C6C84" w:rsidRDefault="004B3341" w:rsidP="004D7AD8">
      <w:pPr>
        <w:jc w:val="both"/>
      </w:pPr>
      <w:r w:rsidRPr="005C6C84">
        <w:rPr>
          <w:i/>
        </w:rPr>
        <w:t>T. Mpofu</w:t>
      </w:r>
      <w:r w:rsidR="002D0DAD" w:rsidRPr="005C6C84">
        <w:t xml:space="preserve">, for the </w:t>
      </w:r>
      <w:r w:rsidR="00F57887" w:rsidRPr="005C6C84">
        <w:t>1</w:t>
      </w:r>
      <w:r w:rsidR="00F57887" w:rsidRPr="005C6C84">
        <w:rPr>
          <w:vertAlign w:val="superscript"/>
        </w:rPr>
        <w:t>st</w:t>
      </w:r>
      <w:r w:rsidR="00F57887" w:rsidRPr="005C6C84">
        <w:t xml:space="preserve"> and 2</w:t>
      </w:r>
      <w:r w:rsidR="00F57887" w:rsidRPr="005C6C84">
        <w:rPr>
          <w:vertAlign w:val="superscript"/>
        </w:rPr>
        <w:t>nd</w:t>
      </w:r>
      <w:r w:rsidR="00F57887" w:rsidRPr="005C6C84">
        <w:t xml:space="preserve"> </w:t>
      </w:r>
      <w:r w:rsidR="002D0DAD" w:rsidRPr="005C6C84">
        <w:t>respondent</w:t>
      </w:r>
      <w:r w:rsidRPr="005C6C84">
        <w:t>s</w:t>
      </w:r>
    </w:p>
    <w:p w:rsidR="00222F74" w:rsidRPr="005C6C84" w:rsidRDefault="00222F74" w:rsidP="00412229">
      <w:pPr>
        <w:spacing w:line="360" w:lineRule="auto"/>
        <w:jc w:val="both"/>
      </w:pPr>
    </w:p>
    <w:p w:rsidR="00B763ED" w:rsidRPr="005C6C84" w:rsidRDefault="00B763ED" w:rsidP="00412229">
      <w:pPr>
        <w:spacing w:line="360" w:lineRule="auto"/>
        <w:jc w:val="both"/>
      </w:pPr>
    </w:p>
    <w:p w:rsidR="00222F74" w:rsidRPr="005C6C84" w:rsidRDefault="0002331C" w:rsidP="005C6C84">
      <w:pPr>
        <w:spacing w:line="480" w:lineRule="auto"/>
        <w:jc w:val="both"/>
      </w:pPr>
      <w:r w:rsidRPr="005C6C84">
        <w:tab/>
      </w:r>
      <w:r w:rsidRPr="005C6C84">
        <w:rPr>
          <w:b/>
        </w:rPr>
        <w:t xml:space="preserve">PATEL </w:t>
      </w:r>
      <w:r w:rsidR="00F7784D" w:rsidRPr="005C6C84">
        <w:rPr>
          <w:b/>
        </w:rPr>
        <w:t>JA:</w:t>
      </w:r>
      <w:r w:rsidRPr="005C6C84">
        <w:tab/>
      </w:r>
      <w:r w:rsidRPr="005C6C84">
        <w:tab/>
      </w:r>
      <w:r w:rsidR="00F57887" w:rsidRPr="005C6C84">
        <w:t xml:space="preserve">This is a matter in which </w:t>
      </w:r>
      <w:r w:rsidR="008F13FE" w:rsidRPr="005C6C84">
        <w:t xml:space="preserve">two separate appeals, involving the same parties and the same judgement appealed against, were consolidated for hearing and disposition. The appeals </w:t>
      </w:r>
      <w:r w:rsidR="00541B43" w:rsidRPr="005C6C84">
        <w:t xml:space="preserve">in question </w:t>
      </w:r>
      <w:r w:rsidR="008F13FE" w:rsidRPr="005C6C84">
        <w:t>are under</w:t>
      </w:r>
      <w:r w:rsidR="00786A56" w:rsidRPr="005C6C84">
        <w:t xml:space="preserve"> Case Nos. SC 66/16 and SC 80/16</w:t>
      </w:r>
      <w:r w:rsidR="008F13FE" w:rsidRPr="005C6C84">
        <w:t xml:space="preserve">. After hearing counsel in the matter, the Court delivered a unanimous </w:t>
      </w:r>
      <w:r w:rsidR="008F13FE" w:rsidRPr="005C6C84">
        <w:rPr>
          <w:i/>
        </w:rPr>
        <w:t>ex tempore</w:t>
      </w:r>
      <w:r w:rsidR="008F13FE" w:rsidRPr="005C6C84">
        <w:t xml:space="preserve"> judgment disposing of both appeals. That judgment is set out hereunder for the guidance of the court </w:t>
      </w:r>
      <w:r w:rsidR="008F13FE" w:rsidRPr="005C6C84">
        <w:rPr>
          <w:i/>
        </w:rPr>
        <w:t>a quo</w:t>
      </w:r>
      <w:r w:rsidR="008F13FE" w:rsidRPr="005C6C84">
        <w:t xml:space="preserve"> when dealing with the matter on remittal.</w:t>
      </w:r>
    </w:p>
    <w:p w:rsidR="00036F89" w:rsidRPr="005C6C84" w:rsidRDefault="00036F89" w:rsidP="00C9276D">
      <w:pPr>
        <w:jc w:val="both"/>
      </w:pPr>
    </w:p>
    <w:p w:rsidR="00036F89" w:rsidRPr="005C6C84" w:rsidRDefault="00036F89" w:rsidP="005C6C84">
      <w:pPr>
        <w:spacing w:line="480" w:lineRule="auto"/>
        <w:jc w:val="both"/>
      </w:pPr>
      <w:r w:rsidRPr="005C6C84">
        <w:tab/>
        <w:t xml:space="preserve">The relevant background to the appeals herein may be summarised as follows. The dispute between the parties in both appeals commenced in the High Court by way of civil action. </w:t>
      </w:r>
      <w:r w:rsidR="00C749C6" w:rsidRPr="005C6C84">
        <w:t xml:space="preserve">After all the parties had filed their pleadings, it was agreed at the pre-trial conference stage that a specific point of law be determined by the High Court by way of </w:t>
      </w:r>
      <w:r w:rsidR="00C749C6" w:rsidRPr="005C6C84">
        <w:lastRenderedPageBreak/>
        <w:t>special case procedure.</w:t>
      </w:r>
      <w:r w:rsidR="004918F8" w:rsidRPr="005C6C84">
        <w:t xml:space="preserve"> The point of law to be determined was the legal effect of s 54 of the Banking Act [</w:t>
      </w:r>
      <w:r w:rsidR="004918F8" w:rsidRPr="005C6C84">
        <w:rPr>
          <w:i/>
        </w:rPr>
        <w:t>Chapter 24:20</w:t>
      </w:r>
      <w:r w:rsidR="004918F8" w:rsidRPr="005C6C84">
        <w:t>] on any shareholder of a banking institution placed under curatorship.</w:t>
      </w:r>
    </w:p>
    <w:p w:rsidR="00087496" w:rsidRPr="005C6C84" w:rsidRDefault="00087496" w:rsidP="00C9276D">
      <w:pPr>
        <w:jc w:val="both"/>
      </w:pPr>
    </w:p>
    <w:p w:rsidR="00073CD4" w:rsidRPr="005C6C84" w:rsidRDefault="00087496" w:rsidP="005C6C84">
      <w:pPr>
        <w:spacing w:line="480" w:lineRule="auto"/>
        <w:jc w:val="both"/>
      </w:pPr>
      <w:r w:rsidRPr="005C6C84">
        <w:tab/>
        <w:t xml:space="preserve">According to the judgment of the court </w:t>
      </w:r>
      <w:r w:rsidRPr="005C6C84">
        <w:rPr>
          <w:i/>
        </w:rPr>
        <w:t>a quo</w:t>
      </w:r>
      <w:r w:rsidRPr="005C6C84">
        <w:t>, it purported to proceed in terms of a joint pre-trial conference minute dated 11 March 2015.</w:t>
      </w:r>
      <w:r w:rsidR="00340C7B" w:rsidRPr="005C6C84">
        <w:t xml:space="preserve"> More importantly, the learned judge stated that he was dealing with the special case agreed by the parties in a document that was signed by all the parties</w:t>
      </w:r>
      <w:r w:rsidR="00E36881" w:rsidRPr="005C6C84">
        <w:t>. The document</w:t>
      </w:r>
      <w:r w:rsidR="00340C7B" w:rsidRPr="005C6C84">
        <w:t xml:space="preserve"> was dated 11 March 2015 but date-stamped 19 October 2015.</w:t>
      </w:r>
      <w:r w:rsidR="00073CD4" w:rsidRPr="005C6C84">
        <w:t xml:space="preserve"> </w:t>
      </w:r>
      <w:r w:rsidR="00CD7FD3" w:rsidRPr="005C6C84">
        <w:t xml:space="preserve">The learned judge </w:t>
      </w:r>
      <w:r w:rsidR="00073CD4" w:rsidRPr="005C6C84">
        <w:t xml:space="preserve">then set out the specific point of law to be determined and proceeded to expound his interpretation of the import of ss 53, 54 and 55 of the Banking Act. However, it is apparent from the judgment of the court </w:t>
      </w:r>
      <w:r w:rsidR="00073CD4" w:rsidRPr="005C6C84">
        <w:rPr>
          <w:i/>
        </w:rPr>
        <w:t>a quo</w:t>
      </w:r>
      <w:r w:rsidR="00073CD4" w:rsidRPr="005C6C84">
        <w:t xml:space="preserve"> that it failed to determine the question stated by the parties in the following respects. Firstly, it did not articulate the answer to the question in the operative part of its judgment. </w:t>
      </w:r>
      <w:r w:rsidR="00192677" w:rsidRPr="005C6C84">
        <w:t xml:space="preserve">Secondly, it delved into </w:t>
      </w:r>
      <w:r w:rsidR="00645136" w:rsidRPr="005C6C84">
        <w:t>questions</w:t>
      </w:r>
      <w:r w:rsidR="00192677" w:rsidRPr="005C6C84">
        <w:t xml:space="preserve"> that were not properly before it and determined them in its operative order without indicating the procedural or jurisdictional basis upon which it was empowered to do so. In our view, the court </w:t>
      </w:r>
      <w:r w:rsidR="003B3867" w:rsidRPr="005C6C84">
        <w:rPr>
          <w:i/>
        </w:rPr>
        <w:t>a quo</w:t>
      </w:r>
      <w:r w:rsidR="003B3867" w:rsidRPr="005C6C84">
        <w:t xml:space="preserve"> </w:t>
      </w:r>
      <w:r w:rsidR="00192677" w:rsidRPr="005C6C84">
        <w:t>did not confine itself to the specific issue before it and thereby misdirected itself.</w:t>
      </w:r>
    </w:p>
    <w:p w:rsidR="00BF248A" w:rsidRPr="005C6C84" w:rsidRDefault="00BF248A" w:rsidP="00C9276D">
      <w:pPr>
        <w:jc w:val="both"/>
      </w:pPr>
    </w:p>
    <w:p w:rsidR="00BF248A" w:rsidRPr="005C6C84" w:rsidRDefault="00BF248A" w:rsidP="005C6C84">
      <w:pPr>
        <w:spacing w:line="480" w:lineRule="auto"/>
        <w:jc w:val="both"/>
        <w:rPr>
          <w:lang w:val="en-ZW"/>
        </w:rPr>
      </w:pPr>
      <w:r w:rsidRPr="005C6C84">
        <w:tab/>
      </w:r>
      <w:r w:rsidR="00757C39" w:rsidRPr="005C6C84">
        <w:t xml:space="preserve">We note in passing that the joint pre-trial conference minute referred to in the judgment of the court </w:t>
      </w:r>
      <w:r w:rsidR="00757C39" w:rsidRPr="005C6C84">
        <w:rPr>
          <w:i/>
        </w:rPr>
        <w:t>a quo</w:t>
      </w:r>
      <w:r w:rsidR="00757C39" w:rsidRPr="005C6C84">
        <w:rPr>
          <w:lang w:val="en-ZW"/>
        </w:rPr>
        <w:t xml:space="preserve"> does not form part of the record before us. None of the counsel who appeared in this matter was able to shed any light on the existence or otherwise of this supposed minute. In our view, the absence of </w:t>
      </w:r>
      <w:r w:rsidR="0071535D" w:rsidRPr="005C6C84">
        <w:rPr>
          <w:lang w:val="en-ZW"/>
        </w:rPr>
        <w:t>the</w:t>
      </w:r>
      <w:r w:rsidR="00757C39" w:rsidRPr="005C6C84">
        <w:rPr>
          <w:lang w:val="en-ZW"/>
        </w:rPr>
        <w:t xml:space="preserve"> minute is a fundamental irregularity that should be rectified in due course so as to ensure substantial compliance with the procedure prescribed in civil trials.</w:t>
      </w:r>
    </w:p>
    <w:p w:rsidR="0006579C" w:rsidRPr="005C6C84" w:rsidRDefault="0006579C" w:rsidP="00C9276D">
      <w:pPr>
        <w:jc w:val="both"/>
        <w:rPr>
          <w:lang w:val="en-ZW"/>
        </w:rPr>
      </w:pPr>
    </w:p>
    <w:p w:rsidR="0006579C" w:rsidRPr="005C6C84" w:rsidRDefault="0006579C" w:rsidP="005C6C84">
      <w:pPr>
        <w:spacing w:line="480" w:lineRule="auto"/>
        <w:jc w:val="both"/>
        <w:rPr>
          <w:lang w:val="en-ZW"/>
        </w:rPr>
      </w:pPr>
      <w:r w:rsidRPr="005C6C84">
        <w:rPr>
          <w:lang w:val="en-ZW"/>
        </w:rPr>
        <w:tab/>
        <w:t>In the result, the appeal</w:t>
      </w:r>
      <w:r w:rsidR="00933EAE" w:rsidRPr="005C6C84">
        <w:rPr>
          <w:lang w:val="en-ZW"/>
        </w:rPr>
        <w:t>s</w:t>
      </w:r>
      <w:r w:rsidRPr="005C6C84">
        <w:rPr>
          <w:lang w:val="en-ZW"/>
        </w:rPr>
        <w:t xml:space="preserve"> </w:t>
      </w:r>
      <w:r w:rsidR="00933EAE" w:rsidRPr="005C6C84">
        <w:rPr>
          <w:lang w:val="en-ZW"/>
        </w:rPr>
        <w:t>are</w:t>
      </w:r>
      <w:r w:rsidRPr="005C6C84">
        <w:rPr>
          <w:lang w:val="en-ZW"/>
        </w:rPr>
        <w:t xml:space="preserve"> part</w:t>
      </w:r>
      <w:r w:rsidR="00933EAE" w:rsidRPr="005C6C84">
        <w:rPr>
          <w:lang w:val="en-ZW"/>
        </w:rPr>
        <w:t>ial</w:t>
      </w:r>
      <w:r w:rsidRPr="005C6C84">
        <w:rPr>
          <w:lang w:val="en-ZW"/>
        </w:rPr>
        <w:t>ly allowed on the basis that:</w:t>
      </w:r>
    </w:p>
    <w:p w:rsidR="0006579C" w:rsidRPr="005C6C84" w:rsidRDefault="00933EAE" w:rsidP="005C6C84">
      <w:pPr>
        <w:pStyle w:val="ListParagraph"/>
        <w:numPr>
          <w:ilvl w:val="0"/>
          <w:numId w:val="1"/>
        </w:numPr>
        <w:spacing w:line="480" w:lineRule="auto"/>
        <w:jc w:val="both"/>
        <w:rPr>
          <w:lang w:val="en-ZW"/>
        </w:rPr>
      </w:pPr>
      <w:r w:rsidRPr="005C6C84">
        <w:rPr>
          <w:lang w:val="en-ZW"/>
        </w:rPr>
        <w:t>t</w:t>
      </w:r>
      <w:r w:rsidR="0006579C" w:rsidRPr="005C6C84">
        <w:rPr>
          <w:lang w:val="en-ZW"/>
        </w:rPr>
        <w:t xml:space="preserve">he court </w:t>
      </w:r>
      <w:r w:rsidR="0006579C" w:rsidRPr="005C6C84">
        <w:rPr>
          <w:i/>
          <w:lang w:val="en-ZW"/>
        </w:rPr>
        <w:t>a quo</w:t>
      </w:r>
      <w:r w:rsidR="0006579C" w:rsidRPr="005C6C84">
        <w:rPr>
          <w:lang w:val="en-ZW"/>
        </w:rPr>
        <w:t xml:space="preserve"> did not clearly and definitively </w:t>
      </w:r>
      <w:r w:rsidRPr="005C6C84">
        <w:rPr>
          <w:lang w:val="en-ZW"/>
        </w:rPr>
        <w:t xml:space="preserve">determine the specific legal issue </w:t>
      </w:r>
      <w:r w:rsidR="00094A38" w:rsidRPr="005C6C84">
        <w:rPr>
          <w:lang w:val="en-ZW"/>
        </w:rPr>
        <w:t>that was</w:t>
      </w:r>
      <w:r w:rsidR="00B3534A" w:rsidRPr="005C6C84">
        <w:rPr>
          <w:lang w:val="en-ZW"/>
        </w:rPr>
        <w:t xml:space="preserve"> </w:t>
      </w:r>
      <w:r w:rsidRPr="005C6C84">
        <w:rPr>
          <w:lang w:val="en-ZW"/>
        </w:rPr>
        <w:t>referred to it for determination; and</w:t>
      </w:r>
    </w:p>
    <w:p w:rsidR="00933EAE" w:rsidRPr="005C6C84" w:rsidRDefault="00933EAE" w:rsidP="005C6C84">
      <w:pPr>
        <w:pStyle w:val="ListParagraph"/>
        <w:numPr>
          <w:ilvl w:val="0"/>
          <w:numId w:val="1"/>
        </w:numPr>
        <w:spacing w:line="480" w:lineRule="auto"/>
        <w:jc w:val="both"/>
        <w:rPr>
          <w:lang w:val="en-ZW"/>
        </w:rPr>
      </w:pPr>
      <w:r w:rsidRPr="005C6C84">
        <w:rPr>
          <w:lang w:val="en-ZW"/>
        </w:rPr>
        <w:t>it proceeded to grant relief that was not specifically sought in the special case referred to it.</w:t>
      </w:r>
    </w:p>
    <w:p w:rsidR="00933EAE" w:rsidRPr="005C6C84" w:rsidRDefault="00933EAE" w:rsidP="00C9276D">
      <w:pPr>
        <w:jc w:val="both"/>
        <w:rPr>
          <w:lang w:val="en-ZW"/>
        </w:rPr>
      </w:pPr>
    </w:p>
    <w:p w:rsidR="00933EAE" w:rsidRPr="005C6C84" w:rsidRDefault="00933EAE" w:rsidP="005C6C84">
      <w:pPr>
        <w:spacing w:line="480" w:lineRule="auto"/>
        <w:ind w:left="720"/>
        <w:jc w:val="both"/>
        <w:rPr>
          <w:lang w:val="en-ZW"/>
        </w:rPr>
      </w:pPr>
      <w:r w:rsidRPr="005C6C84">
        <w:rPr>
          <w:lang w:val="en-ZW"/>
        </w:rPr>
        <w:t>Accordingly, it is ordered that:</w:t>
      </w:r>
    </w:p>
    <w:p w:rsidR="00933EAE" w:rsidRPr="005C6C84" w:rsidRDefault="00933EAE" w:rsidP="005C6C84">
      <w:pPr>
        <w:pStyle w:val="ListParagraph"/>
        <w:numPr>
          <w:ilvl w:val="0"/>
          <w:numId w:val="2"/>
        </w:numPr>
        <w:spacing w:line="480" w:lineRule="auto"/>
        <w:jc w:val="both"/>
        <w:rPr>
          <w:lang w:val="en-ZW"/>
        </w:rPr>
      </w:pPr>
      <w:r w:rsidRPr="005C6C84">
        <w:rPr>
          <w:lang w:val="en-ZW"/>
        </w:rPr>
        <w:t>The appeals herein be and are hereby partially allowed.</w:t>
      </w:r>
    </w:p>
    <w:p w:rsidR="00CF64FC" w:rsidRPr="005C6C84" w:rsidRDefault="00CF64FC" w:rsidP="005C6C84">
      <w:pPr>
        <w:pStyle w:val="ListParagraph"/>
        <w:numPr>
          <w:ilvl w:val="0"/>
          <w:numId w:val="2"/>
        </w:numPr>
        <w:spacing w:line="480" w:lineRule="auto"/>
        <w:jc w:val="both"/>
        <w:rPr>
          <w:lang w:val="en-ZW"/>
        </w:rPr>
      </w:pPr>
      <w:r w:rsidRPr="005C6C84">
        <w:rPr>
          <w:lang w:val="en-ZW"/>
        </w:rPr>
        <w:t xml:space="preserve">The judgment of the court </w:t>
      </w:r>
      <w:r w:rsidRPr="005C6C84">
        <w:rPr>
          <w:i/>
          <w:lang w:val="en-ZW"/>
        </w:rPr>
        <w:t>a quo</w:t>
      </w:r>
      <w:r w:rsidRPr="005C6C84">
        <w:rPr>
          <w:lang w:val="en-ZW"/>
        </w:rPr>
        <w:t xml:space="preserve"> be and is hereby set aside.</w:t>
      </w:r>
    </w:p>
    <w:p w:rsidR="00CF64FC" w:rsidRPr="005C6C84" w:rsidRDefault="00CF64FC" w:rsidP="005C6C84">
      <w:pPr>
        <w:pStyle w:val="ListParagraph"/>
        <w:numPr>
          <w:ilvl w:val="0"/>
          <w:numId w:val="2"/>
        </w:numPr>
        <w:spacing w:line="480" w:lineRule="auto"/>
        <w:jc w:val="both"/>
        <w:rPr>
          <w:lang w:val="en-ZW"/>
        </w:rPr>
      </w:pPr>
      <w:r w:rsidRPr="005C6C84">
        <w:rPr>
          <w:lang w:val="en-ZW"/>
        </w:rPr>
        <w:t xml:space="preserve">The matter be and is hereby remitted to the court </w:t>
      </w:r>
      <w:r w:rsidRPr="005C6C84">
        <w:rPr>
          <w:i/>
          <w:lang w:val="en-ZW"/>
        </w:rPr>
        <w:t>a quo</w:t>
      </w:r>
      <w:r w:rsidRPr="005C6C84">
        <w:rPr>
          <w:lang w:val="en-ZW"/>
        </w:rPr>
        <w:t xml:space="preserve"> for a proper determination of the special case before it.</w:t>
      </w:r>
    </w:p>
    <w:p w:rsidR="00786A56" w:rsidRPr="005C6C84" w:rsidRDefault="00CF64FC" w:rsidP="005C6C84">
      <w:pPr>
        <w:pStyle w:val="ListParagraph"/>
        <w:numPr>
          <w:ilvl w:val="0"/>
          <w:numId w:val="2"/>
        </w:numPr>
        <w:spacing w:line="480" w:lineRule="auto"/>
        <w:jc w:val="both"/>
        <w:rPr>
          <w:lang w:val="en-ZW"/>
        </w:rPr>
      </w:pPr>
      <w:r w:rsidRPr="005C6C84">
        <w:rPr>
          <w:lang w:val="en-ZW"/>
        </w:rPr>
        <w:t>Each party shall bear its own costs.</w:t>
      </w:r>
    </w:p>
    <w:p w:rsidR="0002331C" w:rsidRDefault="0002331C" w:rsidP="005C6C84">
      <w:pPr>
        <w:spacing w:line="480" w:lineRule="auto"/>
        <w:jc w:val="both"/>
      </w:pPr>
    </w:p>
    <w:p w:rsidR="005C6C84" w:rsidRDefault="005C6C84" w:rsidP="005C6C84">
      <w:pPr>
        <w:spacing w:line="480" w:lineRule="auto"/>
        <w:jc w:val="both"/>
      </w:pPr>
    </w:p>
    <w:p w:rsidR="0050064D" w:rsidRPr="005C6C84" w:rsidRDefault="0050064D" w:rsidP="005C6C84">
      <w:pPr>
        <w:spacing w:line="480" w:lineRule="auto"/>
        <w:jc w:val="both"/>
      </w:pPr>
      <w:r w:rsidRPr="005C6C84">
        <w:tab/>
      </w:r>
      <w:r w:rsidR="000A45B3" w:rsidRPr="00C9276D">
        <w:rPr>
          <w:b/>
        </w:rPr>
        <w:t>GWAUNZA JA</w:t>
      </w:r>
      <w:r w:rsidR="00E91792" w:rsidRPr="00C9276D">
        <w:rPr>
          <w:b/>
        </w:rPr>
        <w:t>:</w:t>
      </w:r>
      <w:r w:rsidR="00F47370" w:rsidRPr="005C6C84">
        <w:tab/>
      </w:r>
      <w:r w:rsidR="00E91792" w:rsidRPr="005C6C84">
        <w:tab/>
        <w:t>I agree.</w:t>
      </w:r>
    </w:p>
    <w:p w:rsidR="00C9276D" w:rsidRDefault="00D46F42" w:rsidP="005C6C84">
      <w:pPr>
        <w:spacing w:line="480" w:lineRule="auto"/>
        <w:jc w:val="both"/>
      </w:pPr>
      <w:r w:rsidRPr="005C6C84">
        <w:tab/>
      </w:r>
    </w:p>
    <w:p w:rsidR="00C9276D" w:rsidRDefault="00C9276D" w:rsidP="005C6C84">
      <w:pPr>
        <w:spacing w:line="480" w:lineRule="auto"/>
        <w:jc w:val="both"/>
      </w:pPr>
    </w:p>
    <w:p w:rsidR="00D46F42" w:rsidRPr="005C6C84" w:rsidRDefault="000A45B3" w:rsidP="00C9276D">
      <w:pPr>
        <w:spacing w:line="480" w:lineRule="auto"/>
        <w:ind w:firstLine="720"/>
        <w:jc w:val="both"/>
      </w:pPr>
      <w:r w:rsidRPr="00C9276D">
        <w:rPr>
          <w:b/>
        </w:rPr>
        <w:t>MAVANGIRA JA</w:t>
      </w:r>
      <w:r w:rsidR="00D46F42" w:rsidRPr="00C9276D">
        <w:rPr>
          <w:b/>
        </w:rPr>
        <w:t>:</w:t>
      </w:r>
      <w:r w:rsidR="00F47370" w:rsidRPr="005C6C84">
        <w:tab/>
      </w:r>
      <w:r w:rsidR="00D46F42" w:rsidRPr="005C6C84">
        <w:tab/>
        <w:t>I agree.</w:t>
      </w:r>
    </w:p>
    <w:p w:rsidR="00412229" w:rsidRDefault="00412229" w:rsidP="00412229">
      <w:pPr>
        <w:spacing w:line="360" w:lineRule="auto"/>
        <w:jc w:val="both"/>
      </w:pPr>
    </w:p>
    <w:p w:rsidR="005C6C84" w:rsidRDefault="005C6C84" w:rsidP="00412229">
      <w:pPr>
        <w:spacing w:line="360" w:lineRule="auto"/>
        <w:jc w:val="both"/>
      </w:pPr>
    </w:p>
    <w:p w:rsidR="00C9276D" w:rsidRDefault="00C9276D" w:rsidP="00412229">
      <w:pPr>
        <w:spacing w:line="360" w:lineRule="auto"/>
        <w:jc w:val="both"/>
      </w:pPr>
    </w:p>
    <w:p w:rsidR="005C6C84" w:rsidRPr="005C6C84" w:rsidRDefault="005C6C84" w:rsidP="00412229">
      <w:pPr>
        <w:spacing w:line="360" w:lineRule="auto"/>
        <w:jc w:val="both"/>
      </w:pPr>
    </w:p>
    <w:p w:rsidR="003E0F83" w:rsidRPr="005C6C84" w:rsidRDefault="000A45B3" w:rsidP="004D7AD8">
      <w:pPr>
        <w:jc w:val="both"/>
      </w:pPr>
      <w:r w:rsidRPr="005C6C84">
        <w:rPr>
          <w:i/>
        </w:rPr>
        <w:t>Kantor &amp; Immerman</w:t>
      </w:r>
      <w:r w:rsidR="00F1235E" w:rsidRPr="005C6C84">
        <w:t xml:space="preserve">, </w:t>
      </w:r>
      <w:r w:rsidRPr="005C6C84">
        <w:t>1</w:t>
      </w:r>
      <w:r w:rsidRPr="005C6C84">
        <w:rPr>
          <w:vertAlign w:val="superscript"/>
        </w:rPr>
        <w:t>st</w:t>
      </w:r>
      <w:r w:rsidRPr="005C6C84">
        <w:t xml:space="preserve"> and 3</w:t>
      </w:r>
      <w:r w:rsidRPr="005C6C84">
        <w:rPr>
          <w:vertAlign w:val="superscript"/>
        </w:rPr>
        <w:t>rd</w:t>
      </w:r>
      <w:r w:rsidRPr="005C6C84">
        <w:t xml:space="preserve"> </w:t>
      </w:r>
      <w:r w:rsidR="00F1235E" w:rsidRPr="005C6C84">
        <w:t>appellants</w:t>
      </w:r>
      <w:r w:rsidRPr="005C6C84">
        <w:t>’</w:t>
      </w:r>
      <w:r w:rsidR="00F1235E" w:rsidRPr="005C6C84">
        <w:t xml:space="preserve"> </w:t>
      </w:r>
      <w:r w:rsidR="00F7784D" w:rsidRPr="005C6C84">
        <w:t>l</w:t>
      </w:r>
      <w:r w:rsidR="00F1235E" w:rsidRPr="005C6C84">
        <w:t xml:space="preserve">egal </w:t>
      </w:r>
      <w:r w:rsidR="00F7784D" w:rsidRPr="005C6C84">
        <w:t>p</w:t>
      </w:r>
      <w:r w:rsidR="00F1235E" w:rsidRPr="005C6C84">
        <w:t>ractitioners</w:t>
      </w:r>
    </w:p>
    <w:p w:rsidR="00F57887" w:rsidRPr="005C6C84" w:rsidRDefault="00F57887" w:rsidP="004D7AD8">
      <w:pPr>
        <w:jc w:val="both"/>
      </w:pPr>
      <w:r w:rsidRPr="005C6C84">
        <w:rPr>
          <w:i/>
        </w:rPr>
        <w:t>Wintertons</w:t>
      </w:r>
      <w:r w:rsidRPr="005C6C84">
        <w:t>, 2</w:t>
      </w:r>
      <w:r w:rsidRPr="005C6C84">
        <w:rPr>
          <w:vertAlign w:val="superscript"/>
        </w:rPr>
        <w:t>nd</w:t>
      </w:r>
      <w:r w:rsidRPr="005C6C84">
        <w:t xml:space="preserve"> appellant’s legal practitioners</w:t>
      </w:r>
    </w:p>
    <w:p w:rsidR="003E0F83" w:rsidRPr="005C6C84" w:rsidRDefault="00F57887" w:rsidP="004D7AD8">
      <w:pPr>
        <w:jc w:val="both"/>
      </w:pPr>
      <w:r w:rsidRPr="005C6C84">
        <w:rPr>
          <w:i/>
        </w:rPr>
        <w:t>Mambosasa &amp; Associates</w:t>
      </w:r>
      <w:r w:rsidR="00E81D67" w:rsidRPr="005C6C84">
        <w:t xml:space="preserve">, </w:t>
      </w:r>
      <w:r w:rsidRPr="005C6C84">
        <w:t>1</w:t>
      </w:r>
      <w:r w:rsidRPr="005C6C84">
        <w:rPr>
          <w:vertAlign w:val="superscript"/>
        </w:rPr>
        <w:t>st</w:t>
      </w:r>
      <w:r w:rsidRPr="005C6C84">
        <w:t xml:space="preserve"> and 2</w:t>
      </w:r>
      <w:r w:rsidRPr="005C6C84">
        <w:rPr>
          <w:vertAlign w:val="superscript"/>
        </w:rPr>
        <w:t>nd</w:t>
      </w:r>
      <w:r w:rsidRPr="005C6C84">
        <w:t xml:space="preserve"> </w:t>
      </w:r>
      <w:r w:rsidR="00E81D67" w:rsidRPr="005C6C84">
        <w:t>respondents</w:t>
      </w:r>
      <w:r w:rsidRPr="005C6C84">
        <w:t>’</w:t>
      </w:r>
      <w:r w:rsidR="00E81D67" w:rsidRPr="005C6C84">
        <w:t xml:space="preserve"> </w:t>
      </w:r>
      <w:r w:rsidR="00F7784D" w:rsidRPr="005C6C84">
        <w:t>l</w:t>
      </w:r>
      <w:r w:rsidR="00E81D67" w:rsidRPr="005C6C84">
        <w:t xml:space="preserve">egal </w:t>
      </w:r>
      <w:r w:rsidR="00F7784D" w:rsidRPr="005C6C84">
        <w:t>p</w:t>
      </w:r>
      <w:r w:rsidR="00E81D67" w:rsidRPr="005C6C84">
        <w:t>ractitioners</w:t>
      </w:r>
      <w:r w:rsidR="008D0932">
        <w:t xml:space="preserve"> </w:t>
      </w:r>
    </w:p>
    <w:sectPr w:rsidR="003E0F83" w:rsidRPr="005C6C84">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3EC" w:rsidRDefault="004A23EC">
      <w:r>
        <w:separator/>
      </w:r>
    </w:p>
  </w:endnote>
  <w:endnote w:type="continuationSeparator" w:id="0">
    <w:p w:rsidR="004A23EC" w:rsidRDefault="004A2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3EC" w:rsidRDefault="004A23EC">
      <w:r>
        <w:separator/>
      </w:r>
    </w:p>
  </w:footnote>
  <w:footnote w:type="continuationSeparator" w:id="0">
    <w:p w:rsidR="004A23EC" w:rsidRDefault="004A23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FC" w:rsidRDefault="00CF64FC" w:rsidP="001F6C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F64FC" w:rsidRDefault="00CF64FC" w:rsidP="007777D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C9276D">
      <w:tc>
        <w:tcPr>
          <w:tcW w:w="0" w:type="auto"/>
          <w:tcBorders>
            <w:right w:val="single" w:sz="6" w:space="0" w:color="000000" w:themeColor="text1"/>
          </w:tcBorders>
        </w:tcPr>
        <w:sdt>
          <w:sdtPr>
            <w:alias w:val="Company"/>
            <w:id w:val="78735422"/>
            <w:placeholder>
              <w:docPart w:val="509EBE24945F49628DAA8B5C85BEA473"/>
            </w:placeholder>
            <w:dataBinding w:prefixMappings="xmlns:ns0='http://schemas.openxmlformats.org/officeDocument/2006/extended-properties'" w:xpath="/ns0:Properties[1]/ns0:Company[1]" w:storeItemID="{6668398D-A668-4E3E-A5EB-62B293D839F1}"/>
            <w:text/>
          </w:sdtPr>
          <w:sdtEndPr/>
          <w:sdtContent>
            <w:p w:rsidR="00C9276D" w:rsidRDefault="00C9276D">
              <w:pPr>
                <w:pStyle w:val="Header"/>
                <w:jc w:val="right"/>
              </w:pPr>
              <w:r>
                <w:t>Judgment No. SC 47/2016</w:t>
              </w:r>
            </w:p>
          </w:sdtContent>
        </w:sdt>
        <w:sdt>
          <w:sdtPr>
            <w:rPr>
              <w:b/>
              <w:bCs/>
            </w:rPr>
            <w:alias w:val="Title"/>
            <w:id w:val="78735415"/>
            <w:placeholder>
              <w:docPart w:val="DC5D46D0ECAC4BA5A6319D5ED942A767"/>
            </w:placeholder>
            <w:dataBinding w:prefixMappings="xmlns:ns0='http://schemas.openxmlformats.org/package/2006/metadata/core-properties' xmlns:ns1='http://purl.org/dc/elements/1.1/'" w:xpath="/ns0:coreProperties[1]/ns1:title[1]" w:storeItemID="{6C3C8BC8-F283-45AE-878A-BAB7291924A1}"/>
            <w:text/>
          </w:sdtPr>
          <w:sdtEndPr/>
          <w:sdtContent>
            <w:p w:rsidR="00C9276D" w:rsidRDefault="00C9276D" w:rsidP="00C9276D">
              <w:pPr>
                <w:pStyle w:val="Header"/>
                <w:jc w:val="right"/>
                <w:rPr>
                  <w:b/>
                  <w:bCs/>
                </w:rPr>
              </w:pPr>
              <w:r>
                <w:rPr>
                  <w:b/>
                  <w:bCs/>
                </w:rPr>
                <w:t>Civil Appeal No. SC 66/16 &amp; SC 80/16</w:t>
              </w:r>
            </w:p>
          </w:sdtContent>
        </w:sdt>
      </w:tc>
      <w:tc>
        <w:tcPr>
          <w:tcW w:w="1152" w:type="dxa"/>
          <w:tcBorders>
            <w:left w:val="single" w:sz="6" w:space="0" w:color="000000" w:themeColor="text1"/>
          </w:tcBorders>
        </w:tcPr>
        <w:p w:rsidR="00C9276D" w:rsidRDefault="00C9276D">
          <w:pPr>
            <w:pStyle w:val="Header"/>
            <w:rPr>
              <w:b/>
              <w:bCs/>
            </w:rPr>
          </w:pPr>
          <w:r>
            <w:fldChar w:fldCharType="begin"/>
          </w:r>
          <w:r>
            <w:instrText xml:space="preserve"> PAGE   \* MERGEFORMAT </w:instrText>
          </w:r>
          <w:r>
            <w:fldChar w:fldCharType="separate"/>
          </w:r>
          <w:r w:rsidR="00BA0FEB">
            <w:rPr>
              <w:noProof/>
            </w:rPr>
            <w:t>1</w:t>
          </w:r>
          <w:r>
            <w:rPr>
              <w:noProof/>
            </w:rPr>
            <w:fldChar w:fldCharType="end"/>
          </w:r>
        </w:p>
      </w:tc>
    </w:tr>
  </w:tbl>
  <w:p w:rsidR="00CF64FC" w:rsidRPr="00272765" w:rsidRDefault="00CF64FC" w:rsidP="00386038">
    <w:pPr>
      <w:pStyle w:val="Header"/>
      <w:jc w:val="right"/>
      <w:rPr>
        <w:rFonts w:ascii="Book Antiqua" w:hAnsi="Book Antiq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4D0F"/>
    <w:multiLevelType w:val="hybridMultilevel"/>
    <w:tmpl w:val="F140B7D6"/>
    <w:lvl w:ilvl="0" w:tplc="148EFF54">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13607AB6"/>
    <w:multiLevelType w:val="hybridMultilevel"/>
    <w:tmpl w:val="91F62A4A"/>
    <w:lvl w:ilvl="0" w:tplc="E46E01B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19AB729F"/>
    <w:multiLevelType w:val="hybridMultilevel"/>
    <w:tmpl w:val="70EA5F4C"/>
    <w:lvl w:ilvl="0" w:tplc="687CBBB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2BCD1650"/>
    <w:multiLevelType w:val="hybridMultilevel"/>
    <w:tmpl w:val="E65AB6CA"/>
    <w:lvl w:ilvl="0" w:tplc="16DEC5D4">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49B"/>
    <w:rsid w:val="00002850"/>
    <w:rsid w:val="0002331C"/>
    <w:rsid w:val="00036F89"/>
    <w:rsid w:val="0006579C"/>
    <w:rsid w:val="000731C4"/>
    <w:rsid w:val="00073CD4"/>
    <w:rsid w:val="00087496"/>
    <w:rsid w:val="00094A38"/>
    <w:rsid w:val="000A45B3"/>
    <w:rsid w:val="000F0109"/>
    <w:rsid w:val="00135615"/>
    <w:rsid w:val="00141378"/>
    <w:rsid w:val="001436F8"/>
    <w:rsid w:val="00192677"/>
    <w:rsid w:val="001E245B"/>
    <w:rsid w:val="001F6C7E"/>
    <w:rsid w:val="00222F74"/>
    <w:rsid w:val="00250283"/>
    <w:rsid w:val="00272765"/>
    <w:rsid w:val="00273E40"/>
    <w:rsid w:val="002C737A"/>
    <w:rsid w:val="002D0DAD"/>
    <w:rsid w:val="003235C5"/>
    <w:rsid w:val="00340C7B"/>
    <w:rsid w:val="00383032"/>
    <w:rsid w:val="00386038"/>
    <w:rsid w:val="003B3867"/>
    <w:rsid w:val="003B7E4F"/>
    <w:rsid w:val="003E0F83"/>
    <w:rsid w:val="00412229"/>
    <w:rsid w:val="00416D42"/>
    <w:rsid w:val="004918F8"/>
    <w:rsid w:val="004A0853"/>
    <w:rsid w:val="004A23EC"/>
    <w:rsid w:val="004B026E"/>
    <w:rsid w:val="004B3341"/>
    <w:rsid w:val="004D17B7"/>
    <w:rsid w:val="004D7AD8"/>
    <w:rsid w:val="004F020F"/>
    <w:rsid w:val="0050064D"/>
    <w:rsid w:val="00541B43"/>
    <w:rsid w:val="005A10B0"/>
    <w:rsid w:val="005C6C84"/>
    <w:rsid w:val="005C6D91"/>
    <w:rsid w:val="005E4C64"/>
    <w:rsid w:val="00645136"/>
    <w:rsid w:val="00657433"/>
    <w:rsid w:val="006B7B5C"/>
    <w:rsid w:val="006C4E70"/>
    <w:rsid w:val="006E0951"/>
    <w:rsid w:val="006F26A7"/>
    <w:rsid w:val="0071535D"/>
    <w:rsid w:val="00741128"/>
    <w:rsid w:val="00757C39"/>
    <w:rsid w:val="007777DD"/>
    <w:rsid w:val="00786A56"/>
    <w:rsid w:val="00815096"/>
    <w:rsid w:val="00837726"/>
    <w:rsid w:val="00896678"/>
    <w:rsid w:val="008A53DD"/>
    <w:rsid w:val="008D0932"/>
    <w:rsid w:val="008E3E30"/>
    <w:rsid w:val="008F13FE"/>
    <w:rsid w:val="008F6856"/>
    <w:rsid w:val="00912E63"/>
    <w:rsid w:val="00933EAE"/>
    <w:rsid w:val="009570E4"/>
    <w:rsid w:val="0098475C"/>
    <w:rsid w:val="009A249B"/>
    <w:rsid w:val="009C7FA3"/>
    <w:rsid w:val="009D728C"/>
    <w:rsid w:val="00A00250"/>
    <w:rsid w:val="00AF48D9"/>
    <w:rsid w:val="00B30AE0"/>
    <w:rsid w:val="00B3534A"/>
    <w:rsid w:val="00B52BA6"/>
    <w:rsid w:val="00B74196"/>
    <w:rsid w:val="00B763ED"/>
    <w:rsid w:val="00BA0FEB"/>
    <w:rsid w:val="00BA4270"/>
    <w:rsid w:val="00BF248A"/>
    <w:rsid w:val="00C076D2"/>
    <w:rsid w:val="00C749C6"/>
    <w:rsid w:val="00C9276D"/>
    <w:rsid w:val="00CD7FD3"/>
    <w:rsid w:val="00CF64FC"/>
    <w:rsid w:val="00D46F42"/>
    <w:rsid w:val="00D60394"/>
    <w:rsid w:val="00D7375A"/>
    <w:rsid w:val="00DB2839"/>
    <w:rsid w:val="00E36881"/>
    <w:rsid w:val="00E404FC"/>
    <w:rsid w:val="00E74FEB"/>
    <w:rsid w:val="00E81D67"/>
    <w:rsid w:val="00E829E0"/>
    <w:rsid w:val="00E91792"/>
    <w:rsid w:val="00EF410C"/>
    <w:rsid w:val="00F1235E"/>
    <w:rsid w:val="00F47370"/>
    <w:rsid w:val="00F57887"/>
    <w:rsid w:val="00F7784D"/>
    <w:rsid w:val="00F905A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141378"/>
    <w:rPr>
      <w:sz w:val="24"/>
      <w:szCs w:val="24"/>
      <w:lang w:val="en-GB" w:eastAsia="en-US"/>
    </w:rPr>
  </w:style>
  <w:style w:type="paragraph" w:styleId="ListParagraph">
    <w:name w:val="List Paragraph"/>
    <w:basedOn w:val="Normal"/>
    <w:uiPriority w:val="34"/>
    <w:qFormat/>
    <w:rsid w:val="0006579C"/>
    <w:pPr>
      <w:ind w:left="720"/>
      <w:contextualSpacing/>
    </w:pPr>
  </w:style>
  <w:style w:type="paragraph" w:styleId="BalloonText">
    <w:name w:val="Balloon Text"/>
    <w:basedOn w:val="Normal"/>
    <w:link w:val="BalloonTextChar"/>
    <w:rsid w:val="00C9276D"/>
    <w:rPr>
      <w:rFonts w:ascii="Tahoma" w:hAnsi="Tahoma" w:cs="Tahoma"/>
      <w:sz w:val="16"/>
      <w:szCs w:val="16"/>
    </w:rPr>
  </w:style>
  <w:style w:type="character" w:customStyle="1" w:styleId="BalloonTextChar">
    <w:name w:val="Balloon Text Char"/>
    <w:basedOn w:val="DefaultParagraphFont"/>
    <w:link w:val="BalloonText"/>
    <w:rsid w:val="00C9276D"/>
    <w:rPr>
      <w:rFonts w:ascii="Tahoma" w:hAnsi="Tahoma" w:cs="Tahoma"/>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141378"/>
    <w:rPr>
      <w:sz w:val="24"/>
      <w:szCs w:val="24"/>
      <w:lang w:val="en-GB" w:eastAsia="en-US"/>
    </w:rPr>
  </w:style>
  <w:style w:type="paragraph" w:styleId="ListParagraph">
    <w:name w:val="List Paragraph"/>
    <w:basedOn w:val="Normal"/>
    <w:uiPriority w:val="34"/>
    <w:qFormat/>
    <w:rsid w:val="0006579C"/>
    <w:pPr>
      <w:ind w:left="720"/>
      <w:contextualSpacing/>
    </w:pPr>
  </w:style>
  <w:style w:type="paragraph" w:styleId="BalloonText">
    <w:name w:val="Balloon Text"/>
    <w:basedOn w:val="Normal"/>
    <w:link w:val="BalloonTextChar"/>
    <w:rsid w:val="00C9276D"/>
    <w:rPr>
      <w:rFonts w:ascii="Tahoma" w:hAnsi="Tahoma" w:cs="Tahoma"/>
      <w:sz w:val="16"/>
      <w:szCs w:val="16"/>
    </w:rPr>
  </w:style>
  <w:style w:type="character" w:customStyle="1" w:styleId="BalloonTextChar">
    <w:name w:val="Balloon Text Char"/>
    <w:basedOn w:val="DefaultParagraphFont"/>
    <w:link w:val="BalloonText"/>
    <w:rsid w:val="00C9276D"/>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el\Documents\BP\ZSC%202016\ZZ%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9EBE24945F49628DAA8B5C85BEA473"/>
        <w:category>
          <w:name w:val="General"/>
          <w:gallery w:val="placeholder"/>
        </w:category>
        <w:types>
          <w:type w:val="bbPlcHdr"/>
        </w:types>
        <w:behaviors>
          <w:behavior w:val="content"/>
        </w:behaviors>
        <w:guid w:val="{12B69C81-0D93-422D-9A74-ADC87B18B2A7}"/>
      </w:docPartPr>
      <w:docPartBody>
        <w:p w:rsidR="00ED4EA6" w:rsidRDefault="00302E14" w:rsidP="00302E14">
          <w:pPr>
            <w:pStyle w:val="509EBE24945F49628DAA8B5C85BEA473"/>
          </w:pPr>
          <w:r>
            <w:t>[Type the company name]</w:t>
          </w:r>
        </w:p>
      </w:docPartBody>
    </w:docPart>
    <w:docPart>
      <w:docPartPr>
        <w:name w:val="DC5D46D0ECAC4BA5A6319D5ED942A767"/>
        <w:category>
          <w:name w:val="General"/>
          <w:gallery w:val="placeholder"/>
        </w:category>
        <w:types>
          <w:type w:val="bbPlcHdr"/>
        </w:types>
        <w:behaviors>
          <w:behavior w:val="content"/>
        </w:behaviors>
        <w:guid w:val="{7030BD68-FFB7-4C88-9FBE-363BC10C04BA}"/>
      </w:docPartPr>
      <w:docPartBody>
        <w:p w:rsidR="00ED4EA6" w:rsidRDefault="00302E14" w:rsidP="00302E14">
          <w:pPr>
            <w:pStyle w:val="DC5D46D0ECAC4BA5A6319D5ED942A767"/>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E14"/>
    <w:rsid w:val="00302E14"/>
    <w:rsid w:val="00907151"/>
    <w:rsid w:val="00ED4EA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9EBE24945F49628DAA8B5C85BEA473">
    <w:name w:val="509EBE24945F49628DAA8B5C85BEA473"/>
    <w:rsid w:val="00302E14"/>
  </w:style>
  <w:style w:type="paragraph" w:customStyle="1" w:styleId="DC5D46D0ECAC4BA5A6319D5ED942A767">
    <w:name w:val="DC5D46D0ECAC4BA5A6319D5ED942A767"/>
    <w:rsid w:val="00302E1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9EBE24945F49628DAA8B5C85BEA473">
    <w:name w:val="509EBE24945F49628DAA8B5C85BEA473"/>
    <w:rsid w:val="00302E14"/>
  </w:style>
  <w:style w:type="paragraph" w:customStyle="1" w:styleId="DC5D46D0ECAC4BA5A6319D5ED942A767">
    <w:name w:val="DC5D46D0ECAC4BA5A6319D5ED942A767"/>
    <w:rsid w:val="00302E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ZZ Template</Template>
  <TotalTime>0</TotalTime>
  <Pages>3</Pages>
  <Words>656</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Civil Appeal No. SC 66/16 &amp; SC 80/16</vt:lpstr>
    </vt:vector>
  </TitlesOfParts>
  <Company>Judgment No. SC 47/2016</Company>
  <LinksUpToDate>false</LinksUpToDate>
  <CharactersWithSpaces>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66/16 &amp; SC 80/16</dc:title>
  <dc:creator>Patel</dc:creator>
  <cp:lastModifiedBy>judge</cp:lastModifiedBy>
  <cp:revision>2</cp:revision>
  <cp:lastPrinted>2016-10-14T16:04:00Z</cp:lastPrinted>
  <dcterms:created xsi:type="dcterms:W3CDTF">2016-11-08T12:44:00Z</dcterms:created>
  <dcterms:modified xsi:type="dcterms:W3CDTF">2016-11-08T12:44:00Z</dcterms:modified>
</cp:coreProperties>
</file>