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7B3500" w:rsidRDefault="007B3500">
      <w:pPr>
        <w:rPr>
          <w:rFonts w:ascii="Book Antiqua" w:hAnsi="Book Antiqua"/>
          <w:b/>
          <w:u w:val="single"/>
        </w:rPr>
      </w:pPr>
      <w:bookmarkStart w:id="0" w:name="_GoBack"/>
      <w:bookmarkEnd w:id="0"/>
      <w:r w:rsidRPr="007B3500">
        <w:rPr>
          <w:rFonts w:ascii="Book Antiqua" w:hAnsi="Book Antiqua"/>
          <w:b/>
          <w:u w:val="single"/>
        </w:rPr>
        <w:t>REPORTABLE (62)</w:t>
      </w:r>
    </w:p>
    <w:p w:rsidR="00DB2839" w:rsidRPr="00272765" w:rsidRDefault="00DB2839">
      <w:pPr>
        <w:rPr>
          <w:rFonts w:ascii="Book Antiqua" w:hAnsi="Book Antiqua"/>
        </w:rPr>
      </w:pPr>
    </w:p>
    <w:p w:rsidR="00DB2839" w:rsidRPr="00272765" w:rsidRDefault="00DB2839">
      <w:pPr>
        <w:rPr>
          <w:rFonts w:ascii="Book Antiqua" w:hAnsi="Book Antiqua"/>
        </w:rPr>
      </w:pPr>
    </w:p>
    <w:p w:rsidR="00DB2839" w:rsidRPr="00272765" w:rsidRDefault="008566C7" w:rsidP="00DB2839">
      <w:pPr>
        <w:jc w:val="center"/>
        <w:rPr>
          <w:rFonts w:ascii="Book Antiqua" w:hAnsi="Book Antiqua"/>
          <w:b/>
        </w:rPr>
      </w:pPr>
      <w:r>
        <w:rPr>
          <w:rFonts w:ascii="Book Antiqua" w:hAnsi="Book Antiqua"/>
          <w:b/>
        </w:rPr>
        <w:t>ROBERT MARTIN GUMBURA</w:t>
      </w:r>
    </w:p>
    <w:p w:rsidR="00383032" w:rsidRPr="00057588" w:rsidRDefault="00383032" w:rsidP="00DB2839">
      <w:pPr>
        <w:jc w:val="center"/>
        <w:rPr>
          <w:rFonts w:ascii="Book Antiqua" w:hAnsi="Book Antiqua"/>
        </w:rPr>
      </w:pPr>
      <w:proofErr w:type="gramStart"/>
      <w:r w:rsidRPr="00057588">
        <w:rPr>
          <w:rFonts w:ascii="Book Antiqua" w:hAnsi="Book Antiqua"/>
        </w:rPr>
        <w:t>v</w:t>
      </w:r>
      <w:proofErr w:type="gramEnd"/>
    </w:p>
    <w:p w:rsidR="00383032" w:rsidRPr="00272765" w:rsidRDefault="008566C7" w:rsidP="00DB2839">
      <w:pPr>
        <w:jc w:val="center"/>
        <w:rPr>
          <w:rFonts w:ascii="Book Antiqua" w:hAnsi="Book Antiqua"/>
          <w:b/>
        </w:rPr>
      </w:pPr>
      <w:r>
        <w:rPr>
          <w:rFonts w:ascii="Book Antiqua" w:hAnsi="Book Antiqua"/>
          <w:b/>
        </w:rPr>
        <w:t>THE STATE</w:t>
      </w:r>
    </w:p>
    <w:p w:rsidR="006E0951" w:rsidRPr="00272765" w:rsidRDefault="006E0951" w:rsidP="006E0951">
      <w:pPr>
        <w:jc w:val="both"/>
        <w:rPr>
          <w:rFonts w:ascii="Book Antiqua" w:hAnsi="Book Antiqua"/>
          <w:b/>
        </w:rPr>
      </w:pPr>
    </w:p>
    <w:p w:rsidR="00E404FC" w:rsidRPr="00272765" w:rsidRDefault="00E404FC" w:rsidP="006E0951">
      <w:pPr>
        <w:jc w:val="both"/>
        <w:rPr>
          <w:rFonts w:ascii="Book Antiqua" w:hAnsi="Book Antiqua"/>
          <w:b/>
        </w:rPr>
      </w:pPr>
    </w:p>
    <w:p w:rsidR="00E404FC" w:rsidRPr="00272765" w:rsidRDefault="00E404FC" w:rsidP="006E0951">
      <w:pPr>
        <w:jc w:val="both"/>
        <w:rPr>
          <w:rFonts w:ascii="Book Antiqua" w:hAnsi="Book Antiqua"/>
          <w:b/>
        </w:rPr>
      </w:pPr>
      <w:r w:rsidRPr="00272765">
        <w:rPr>
          <w:rFonts w:ascii="Book Antiqua" w:hAnsi="Book Antiqua"/>
          <w:b/>
        </w:rPr>
        <w:t xml:space="preserve">SUPREME COURT OF </w:t>
      </w:r>
      <w:smartTag w:uri="urn:schemas-microsoft-com:office:smarttags" w:element="country-region">
        <w:smartTag w:uri="urn:schemas-microsoft-com:office:smarttags" w:element="place">
          <w:r w:rsidRPr="00272765">
            <w:rPr>
              <w:rFonts w:ascii="Book Antiqua" w:hAnsi="Book Antiqua"/>
              <w:b/>
            </w:rPr>
            <w:t>ZIMBABWE</w:t>
          </w:r>
        </w:smartTag>
      </w:smartTag>
    </w:p>
    <w:p w:rsidR="00AF48D9" w:rsidRPr="00272765" w:rsidRDefault="00057588" w:rsidP="006E0951">
      <w:pPr>
        <w:jc w:val="both"/>
        <w:rPr>
          <w:rFonts w:ascii="Book Antiqua" w:hAnsi="Book Antiqua"/>
        </w:rPr>
      </w:pPr>
      <w:r>
        <w:rPr>
          <w:rFonts w:ascii="Book Antiqua" w:hAnsi="Book Antiqua"/>
          <w:b/>
        </w:rPr>
        <w:t>HARARE,</w:t>
      </w:r>
      <w:r w:rsidR="00684753">
        <w:rPr>
          <w:rFonts w:ascii="Book Antiqua" w:hAnsi="Book Antiqua"/>
          <w:b/>
        </w:rPr>
        <w:t xml:space="preserve"> JULY</w:t>
      </w:r>
      <w:r>
        <w:rPr>
          <w:rFonts w:ascii="Book Antiqua" w:hAnsi="Book Antiqua"/>
          <w:b/>
        </w:rPr>
        <w:t xml:space="preserve"> 30</w:t>
      </w:r>
      <w:r w:rsidR="00684753">
        <w:rPr>
          <w:rFonts w:ascii="Book Antiqua" w:hAnsi="Book Antiqua"/>
          <w:b/>
        </w:rPr>
        <w:t>, AUGUST</w:t>
      </w:r>
      <w:r>
        <w:rPr>
          <w:rFonts w:ascii="Book Antiqua" w:hAnsi="Book Antiqua"/>
          <w:b/>
        </w:rPr>
        <w:t xml:space="preserve"> 1 &amp; 18 &amp; </w:t>
      </w:r>
      <w:r w:rsidR="00E90D92">
        <w:rPr>
          <w:rFonts w:ascii="Book Antiqua" w:hAnsi="Book Antiqua"/>
          <w:b/>
        </w:rPr>
        <w:t>OCTOBER</w:t>
      </w:r>
      <w:r>
        <w:rPr>
          <w:rFonts w:ascii="Book Antiqua" w:hAnsi="Book Antiqua"/>
          <w:b/>
        </w:rPr>
        <w:t xml:space="preserve"> 16,</w:t>
      </w:r>
      <w:r w:rsidR="00684753">
        <w:rPr>
          <w:rFonts w:ascii="Book Antiqua" w:hAnsi="Book Antiqua"/>
          <w:b/>
        </w:rPr>
        <w:t xml:space="preserve"> 2014</w:t>
      </w:r>
    </w:p>
    <w:p w:rsidR="008E3E30" w:rsidRPr="00272765" w:rsidRDefault="008E3E30" w:rsidP="00412229">
      <w:pPr>
        <w:spacing w:line="360" w:lineRule="auto"/>
        <w:jc w:val="both"/>
        <w:rPr>
          <w:rFonts w:ascii="Book Antiqua" w:hAnsi="Book Antiqua"/>
        </w:rPr>
      </w:pPr>
    </w:p>
    <w:p w:rsidR="008E3E30" w:rsidRPr="00272765" w:rsidRDefault="00684753" w:rsidP="00412229">
      <w:pPr>
        <w:spacing w:line="360" w:lineRule="auto"/>
        <w:jc w:val="both"/>
        <w:rPr>
          <w:rFonts w:ascii="Book Antiqua" w:hAnsi="Book Antiqua"/>
        </w:rPr>
      </w:pPr>
      <w:r>
        <w:rPr>
          <w:rFonts w:ascii="Book Antiqua" w:hAnsi="Book Antiqua"/>
          <w:i/>
        </w:rPr>
        <w:t xml:space="preserve">T. </w:t>
      </w:r>
      <w:proofErr w:type="spellStart"/>
      <w:r>
        <w:rPr>
          <w:rFonts w:ascii="Book Antiqua" w:hAnsi="Book Antiqua"/>
          <w:i/>
        </w:rPr>
        <w:t>Magwaliba</w:t>
      </w:r>
      <w:proofErr w:type="spellEnd"/>
      <w:r w:rsidR="002D0DAD" w:rsidRPr="00272765">
        <w:rPr>
          <w:rFonts w:ascii="Book Antiqua" w:hAnsi="Book Antiqua"/>
        </w:rPr>
        <w:t>, for the appellant</w:t>
      </w:r>
    </w:p>
    <w:p w:rsidR="002D0DAD" w:rsidRPr="00272765" w:rsidRDefault="00684753" w:rsidP="00412229">
      <w:pPr>
        <w:spacing w:line="360" w:lineRule="auto"/>
        <w:jc w:val="both"/>
        <w:rPr>
          <w:rFonts w:ascii="Book Antiqua" w:hAnsi="Book Antiqua"/>
        </w:rPr>
      </w:pPr>
      <w:r>
        <w:rPr>
          <w:rFonts w:ascii="Book Antiqua" w:hAnsi="Book Antiqua"/>
          <w:i/>
        </w:rPr>
        <w:t xml:space="preserve">E. </w:t>
      </w:r>
      <w:proofErr w:type="spellStart"/>
      <w:r>
        <w:rPr>
          <w:rFonts w:ascii="Book Antiqua" w:hAnsi="Book Antiqua"/>
          <w:i/>
        </w:rPr>
        <w:t>Mavuto</w:t>
      </w:r>
      <w:proofErr w:type="spellEnd"/>
      <w:r w:rsidR="002D0DAD" w:rsidRPr="00272765">
        <w:rPr>
          <w:rFonts w:ascii="Book Antiqua" w:hAnsi="Book Antiqua"/>
        </w:rPr>
        <w:t>, for the respondent</w:t>
      </w:r>
    </w:p>
    <w:p w:rsidR="00222F74" w:rsidRDefault="00222F74" w:rsidP="00412229">
      <w:pPr>
        <w:spacing w:line="360" w:lineRule="auto"/>
        <w:jc w:val="both"/>
        <w:rPr>
          <w:rFonts w:ascii="Book Antiqua" w:hAnsi="Book Antiqua"/>
        </w:rPr>
      </w:pPr>
    </w:p>
    <w:p w:rsidR="00BF1B80" w:rsidRPr="00684753" w:rsidRDefault="00BF1B80" w:rsidP="00BF1B80">
      <w:pPr>
        <w:spacing w:line="360" w:lineRule="auto"/>
        <w:jc w:val="both"/>
        <w:rPr>
          <w:rFonts w:ascii="Book Antiqua" w:hAnsi="Book Antiqua"/>
          <w:b/>
        </w:rPr>
      </w:pPr>
      <w:r w:rsidRPr="00684753">
        <w:rPr>
          <w:rFonts w:ascii="Book Antiqua" w:hAnsi="Book Antiqua"/>
          <w:b/>
        </w:rPr>
        <w:t>BAIL APPEAL (In Chambers)</w:t>
      </w:r>
    </w:p>
    <w:p w:rsidR="00BF1B80" w:rsidRPr="00272765" w:rsidRDefault="00BF1B80" w:rsidP="00412229">
      <w:pPr>
        <w:spacing w:line="360" w:lineRule="auto"/>
        <w:jc w:val="both"/>
        <w:rPr>
          <w:rFonts w:ascii="Book Antiqua" w:hAnsi="Book Antiqua"/>
        </w:rPr>
      </w:pPr>
    </w:p>
    <w:p w:rsidR="00B763ED" w:rsidRPr="00272765" w:rsidRDefault="00B763ED" w:rsidP="00BF1B80">
      <w:pPr>
        <w:jc w:val="both"/>
        <w:rPr>
          <w:rFonts w:ascii="Book Antiqua" w:hAnsi="Book Antiqua"/>
        </w:rPr>
      </w:pPr>
    </w:p>
    <w:p w:rsidR="00CB31B4" w:rsidRDefault="0002331C" w:rsidP="007F4B36">
      <w:pPr>
        <w:spacing w:line="480" w:lineRule="auto"/>
        <w:jc w:val="both"/>
        <w:rPr>
          <w:rFonts w:ascii="Book Antiqua" w:hAnsi="Book Antiqua"/>
        </w:rPr>
      </w:pPr>
      <w:r w:rsidRPr="00272765">
        <w:rPr>
          <w:rFonts w:ascii="Book Antiqua" w:hAnsi="Book Antiqua"/>
        </w:rPr>
        <w:tab/>
      </w:r>
      <w:r w:rsidRPr="00272765">
        <w:rPr>
          <w:rFonts w:ascii="Book Antiqua" w:hAnsi="Book Antiqua"/>
          <w:b/>
        </w:rPr>
        <w:t xml:space="preserve">PATEL </w:t>
      </w:r>
      <w:r w:rsidR="00F7784D" w:rsidRPr="00272765">
        <w:rPr>
          <w:rFonts w:ascii="Book Antiqua" w:hAnsi="Book Antiqua"/>
          <w:b/>
        </w:rPr>
        <w:t>JA:</w:t>
      </w:r>
      <w:r w:rsidRPr="00272765">
        <w:rPr>
          <w:rFonts w:ascii="Book Antiqua" w:hAnsi="Book Antiqua"/>
        </w:rPr>
        <w:tab/>
      </w:r>
      <w:r w:rsidRPr="00272765">
        <w:rPr>
          <w:rFonts w:ascii="Book Antiqua" w:hAnsi="Book Antiqua"/>
        </w:rPr>
        <w:tab/>
      </w:r>
      <w:r w:rsidR="0024100B">
        <w:rPr>
          <w:rFonts w:ascii="Book Antiqua" w:hAnsi="Book Antiqua"/>
        </w:rPr>
        <w:t xml:space="preserve">The appellant is </w:t>
      </w:r>
      <w:r w:rsidR="00704136">
        <w:rPr>
          <w:rFonts w:ascii="Book Antiqua" w:hAnsi="Book Antiqua"/>
        </w:rPr>
        <w:t xml:space="preserve">the pastor of his own church based in Marlborough, Harare. He was convicted by the Harare Magistrates Court on 3 February 2014 </w:t>
      </w:r>
      <w:r w:rsidR="00D25422">
        <w:rPr>
          <w:rFonts w:ascii="Book Antiqua" w:hAnsi="Book Antiqua"/>
        </w:rPr>
        <w:t>of</w:t>
      </w:r>
      <w:r w:rsidR="00704136">
        <w:rPr>
          <w:rFonts w:ascii="Book Antiqua" w:hAnsi="Book Antiqua"/>
        </w:rPr>
        <w:t xml:space="preserve"> four counts of rape and </w:t>
      </w:r>
      <w:r w:rsidR="00FE348C">
        <w:rPr>
          <w:rFonts w:ascii="Book Antiqua" w:hAnsi="Book Antiqua"/>
        </w:rPr>
        <w:t>one count of contravening s</w:t>
      </w:r>
      <w:r w:rsidR="00704136">
        <w:rPr>
          <w:rFonts w:ascii="Book Antiqua" w:hAnsi="Book Antiqua"/>
        </w:rPr>
        <w:t xml:space="preserve"> 26 of the Cen</w:t>
      </w:r>
      <w:r w:rsidR="00E86F99">
        <w:rPr>
          <w:rFonts w:ascii="Book Antiqua" w:hAnsi="Book Antiqua"/>
        </w:rPr>
        <w:t>s</w:t>
      </w:r>
      <w:r w:rsidR="00704136">
        <w:rPr>
          <w:rFonts w:ascii="Book Antiqua" w:hAnsi="Book Antiqua"/>
        </w:rPr>
        <w:t>orship and Entertainment Control Act [</w:t>
      </w:r>
      <w:r w:rsidR="00057588">
        <w:rPr>
          <w:rFonts w:ascii="Book Antiqua" w:hAnsi="Book Antiqua"/>
          <w:i/>
        </w:rPr>
        <w:t>Cap</w:t>
      </w:r>
      <w:r w:rsidR="00704136">
        <w:rPr>
          <w:rFonts w:ascii="Book Antiqua" w:hAnsi="Book Antiqua"/>
          <w:i/>
        </w:rPr>
        <w:t xml:space="preserve"> 10:04</w:t>
      </w:r>
      <w:r w:rsidR="00E86F99">
        <w:rPr>
          <w:rFonts w:ascii="Book Antiqua" w:hAnsi="Book Antiqua"/>
        </w:rPr>
        <w:t xml:space="preserve">] </w:t>
      </w:r>
      <w:r w:rsidR="00E86F99">
        <w:rPr>
          <w:rFonts w:ascii="Book Antiqua" w:hAnsi="Book Antiqua"/>
          <w:i/>
        </w:rPr>
        <w:t>i.e.</w:t>
      </w:r>
      <w:r w:rsidR="00E86F99">
        <w:rPr>
          <w:rFonts w:ascii="Book Antiqua" w:hAnsi="Book Antiqua"/>
        </w:rPr>
        <w:t xml:space="preserve"> possession of pornographic material.</w:t>
      </w:r>
      <w:r w:rsidR="00CB31B4">
        <w:rPr>
          <w:rFonts w:ascii="Book Antiqua" w:hAnsi="Book Antiqua"/>
        </w:rPr>
        <w:t xml:space="preserve"> He was sentenced to a term of 50 years imprisonment with 10 years suspended on condition of good behaviour. He has since appealed to the High Court against his conviction and sentence. That appeal is pending.</w:t>
      </w:r>
    </w:p>
    <w:p w:rsidR="00CB31B4" w:rsidRDefault="00CB31B4" w:rsidP="007F4B36">
      <w:pPr>
        <w:spacing w:line="480" w:lineRule="auto"/>
        <w:jc w:val="both"/>
        <w:rPr>
          <w:rFonts w:ascii="Book Antiqua" w:hAnsi="Book Antiqua"/>
        </w:rPr>
      </w:pPr>
    </w:p>
    <w:p w:rsidR="00222F74" w:rsidRDefault="00CB31B4" w:rsidP="007F4B36">
      <w:pPr>
        <w:spacing w:line="480" w:lineRule="auto"/>
        <w:jc w:val="both"/>
        <w:rPr>
          <w:rFonts w:ascii="Book Antiqua" w:hAnsi="Book Antiqua"/>
        </w:rPr>
      </w:pPr>
      <w:r>
        <w:rPr>
          <w:rFonts w:ascii="Book Antiqua" w:hAnsi="Book Antiqua"/>
        </w:rPr>
        <w:t xml:space="preserve"> </w:t>
      </w:r>
      <w:r>
        <w:rPr>
          <w:rFonts w:ascii="Book Antiqua" w:hAnsi="Book Antiqua"/>
        </w:rPr>
        <w:tab/>
        <w:t>The appellant also applied to the High Court as a court of first instance for bail pending appeal. His application was dismissed</w:t>
      </w:r>
      <w:r w:rsidR="00371B64">
        <w:rPr>
          <w:rFonts w:ascii="Book Antiqua" w:hAnsi="Book Antiqua"/>
        </w:rPr>
        <w:t xml:space="preserve">. He </w:t>
      </w:r>
      <w:r>
        <w:rPr>
          <w:rFonts w:ascii="Book Antiqua" w:hAnsi="Book Antiqua"/>
        </w:rPr>
        <w:t xml:space="preserve">now appeals against that decision </w:t>
      </w:r>
      <w:r w:rsidR="00404CE1">
        <w:rPr>
          <w:rFonts w:ascii="Book Antiqua" w:hAnsi="Book Antiqua"/>
        </w:rPr>
        <w:t>in terms of s</w:t>
      </w:r>
      <w:r w:rsidR="00371B64">
        <w:rPr>
          <w:rFonts w:ascii="Book Antiqua" w:hAnsi="Book Antiqua"/>
        </w:rPr>
        <w:t xml:space="preserve"> 121 of the Criminal Procedure and Evidence Act [</w:t>
      </w:r>
      <w:r w:rsidR="00057588">
        <w:rPr>
          <w:rFonts w:ascii="Book Antiqua" w:hAnsi="Book Antiqua"/>
          <w:i/>
        </w:rPr>
        <w:t>Cap </w:t>
      </w:r>
      <w:r w:rsidR="00371B64">
        <w:rPr>
          <w:rFonts w:ascii="Book Antiqua" w:hAnsi="Book Antiqua"/>
          <w:i/>
        </w:rPr>
        <w:t>9:07</w:t>
      </w:r>
      <w:r w:rsidR="00371B64">
        <w:rPr>
          <w:rFonts w:ascii="Book Antiqua" w:hAnsi="Book Antiqua"/>
        </w:rPr>
        <w:t>].</w:t>
      </w:r>
    </w:p>
    <w:p w:rsidR="00371B64" w:rsidRPr="00371B64" w:rsidRDefault="00371B64" w:rsidP="007F4B36">
      <w:pPr>
        <w:spacing w:line="480" w:lineRule="auto"/>
        <w:jc w:val="both"/>
        <w:rPr>
          <w:rFonts w:ascii="Book Antiqua" w:hAnsi="Book Antiqua"/>
        </w:rPr>
      </w:pPr>
      <w:r>
        <w:rPr>
          <w:rFonts w:ascii="Book Antiqua" w:hAnsi="Book Antiqua"/>
        </w:rPr>
        <w:lastRenderedPageBreak/>
        <w:tab/>
        <w:t xml:space="preserve">The </w:t>
      </w:r>
      <w:r w:rsidR="007E2EA1">
        <w:rPr>
          <w:rFonts w:ascii="Book Antiqua" w:hAnsi="Book Antiqua"/>
        </w:rPr>
        <w:t xml:space="preserve">court </w:t>
      </w:r>
      <w:r w:rsidR="007E2EA1">
        <w:rPr>
          <w:rFonts w:ascii="Book Antiqua" w:hAnsi="Book Antiqua"/>
          <w:i/>
        </w:rPr>
        <w:t>a quo</w:t>
      </w:r>
      <w:r>
        <w:rPr>
          <w:rFonts w:ascii="Book Antiqua" w:hAnsi="Book Antiqua"/>
        </w:rPr>
        <w:t xml:space="preserve"> found that the evidence of the complainants in relation to three of the four counts of rape was credible in material respects. The </w:t>
      </w:r>
      <w:r w:rsidR="007E2EA1">
        <w:rPr>
          <w:rFonts w:ascii="Book Antiqua" w:hAnsi="Book Antiqua"/>
        </w:rPr>
        <w:t>court also found that the complainants’ reports of the alleged rapes were voluntarily made and that, although the delays in making those reports were lengthy, the reasons given for those delays were plausible.</w:t>
      </w:r>
      <w:r w:rsidR="00096C5C">
        <w:rPr>
          <w:rFonts w:ascii="Book Antiqua" w:hAnsi="Book Antiqua"/>
        </w:rPr>
        <w:t xml:space="preserve"> Moreover, the sentences imposed by the magistrate in respect of the rape counts were appropriate.</w:t>
      </w:r>
    </w:p>
    <w:p w:rsidR="00096C5C" w:rsidRDefault="00096C5C" w:rsidP="007F4B36">
      <w:pPr>
        <w:spacing w:line="480" w:lineRule="auto"/>
        <w:jc w:val="both"/>
        <w:rPr>
          <w:rFonts w:ascii="Book Antiqua" w:hAnsi="Book Antiqua"/>
        </w:rPr>
      </w:pPr>
    </w:p>
    <w:p w:rsidR="0002331C" w:rsidRPr="00096C5C" w:rsidRDefault="00096C5C" w:rsidP="007F4B36">
      <w:pPr>
        <w:spacing w:line="480" w:lineRule="auto"/>
        <w:jc w:val="both"/>
        <w:rPr>
          <w:rFonts w:ascii="Book Antiqua" w:hAnsi="Book Antiqua"/>
        </w:rPr>
      </w:pPr>
      <w:r>
        <w:rPr>
          <w:rFonts w:ascii="Book Antiqua" w:hAnsi="Book Antiqua"/>
        </w:rPr>
        <w:tab/>
        <w:t>A</w:t>
      </w:r>
      <w:r w:rsidR="00A011F0">
        <w:rPr>
          <w:rFonts w:ascii="Book Antiqua" w:hAnsi="Book Antiqua"/>
        </w:rPr>
        <w:t>s</w:t>
      </w:r>
      <w:r>
        <w:rPr>
          <w:rFonts w:ascii="Book Antiqua" w:hAnsi="Book Antiqua"/>
        </w:rPr>
        <w:t xml:space="preserve"> regards the censorship offence, the court </w:t>
      </w:r>
      <w:r>
        <w:rPr>
          <w:rFonts w:ascii="Book Antiqua" w:hAnsi="Book Antiqua"/>
          <w:i/>
        </w:rPr>
        <w:t>a quo</w:t>
      </w:r>
      <w:r>
        <w:rPr>
          <w:rFonts w:ascii="Book Antiqua" w:hAnsi="Book Antiqua"/>
        </w:rPr>
        <w:t xml:space="preserve"> found that the evidence adduced as to the possession of obscene material was sound and that the appellant had no lawful excuse for his possession of that material. However, the sentence imposed for that offence was probably defective as the magistrate had advanced no reasons for sentence</w:t>
      </w:r>
      <w:r w:rsidR="0055792A">
        <w:rPr>
          <w:rFonts w:ascii="Book Antiqua" w:hAnsi="Book Antiqua"/>
        </w:rPr>
        <w:t xml:space="preserve"> on that count.</w:t>
      </w:r>
    </w:p>
    <w:p w:rsidR="0002331C" w:rsidRPr="00272765" w:rsidRDefault="0002331C" w:rsidP="007F4B36">
      <w:pPr>
        <w:spacing w:line="480" w:lineRule="auto"/>
        <w:jc w:val="both"/>
        <w:rPr>
          <w:rFonts w:ascii="Book Antiqua" w:hAnsi="Book Antiqua"/>
        </w:rPr>
      </w:pPr>
    </w:p>
    <w:p w:rsidR="0002331C" w:rsidRPr="00FB6D09" w:rsidRDefault="00FB6D09" w:rsidP="007F4B36">
      <w:pPr>
        <w:spacing w:line="480" w:lineRule="auto"/>
        <w:jc w:val="both"/>
        <w:rPr>
          <w:rFonts w:ascii="Book Antiqua" w:hAnsi="Book Antiqua"/>
        </w:rPr>
      </w:pPr>
      <w:r>
        <w:rPr>
          <w:rFonts w:ascii="Book Antiqua" w:hAnsi="Book Antiqua"/>
        </w:rPr>
        <w:tab/>
        <w:t xml:space="preserve">In the event, the court </w:t>
      </w:r>
      <w:r>
        <w:rPr>
          <w:rFonts w:ascii="Book Antiqua" w:hAnsi="Book Antiqua"/>
          <w:i/>
        </w:rPr>
        <w:t>a quo</w:t>
      </w:r>
      <w:r>
        <w:rPr>
          <w:rFonts w:ascii="Book Antiqua" w:hAnsi="Book Antiqua"/>
        </w:rPr>
        <w:t xml:space="preserve"> held that the appellant </w:t>
      </w:r>
      <w:r w:rsidR="00263755">
        <w:rPr>
          <w:rFonts w:ascii="Book Antiqua" w:hAnsi="Book Antiqua"/>
        </w:rPr>
        <w:t xml:space="preserve">generally </w:t>
      </w:r>
      <w:r>
        <w:rPr>
          <w:rFonts w:ascii="Book Antiqua" w:hAnsi="Book Antiqua"/>
        </w:rPr>
        <w:t>had no prospects of success on appeal and dismissed his application for bail. The court also held that there had been no violation of his constitutional rights to liberty and a fair trial.</w:t>
      </w:r>
    </w:p>
    <w:p w:rsidR="0002331C" w:rsidRPr="00272765" w:rsidRDefault="0002331C" w:rsidP="007F4B36">
      <w:pPr>
        <w:spacing w:line="480" w:lineRule="auto"/>
        <w:jc w:val="both"/>
        <w:rPr>
          <w:rFonts w:ascii="Book Antiqua" w:hAnsi="Book Antiqua"/>
        </w:rPr>
      </w:pPr>
    </w:p>
    <w:p w:rsidR="0002331C" w:rsidRPr="00272765" w:rsidRDefault="00AD63A7" w:rsidP="007F4B36">
      <w:pPr>
        <w:spacing w:line="480" w:lineRule="auto"/>
        <w:jc w:val="both"/>
        <w:rPr>
          <w:rFonts w:ascii="Book Antiqua" w:hAnsi="Book Antiqua"/>
        </w:rPr>
      </w:pPr>
      <w:r>
        <w:rPr>
          <w:rFonts w:ascii="Book Antiqua" w:hAnsi="Book Antiqua"/>
        </w:rPr>
        <w:tab/>
        <w:t>The principal ground of appeal herein is that the Magistrates Court did not properly analyse the evidence before it and</w:t>
      </w:r>
      <w:r w:rsidR="00955CD7">
        <w:rPr>
          <w:rFonts w:ascii="Book Antiqua" w:hAnsi="Book Antiqua"/>
        </w:rPr>
        <w:t xml:space="preserve"> that,</w:t>
      </w:r>
      <w:r>
        <w:rPr>
          <w:rFonts w:ascii="Book Antiqua" w:hAnsi="Book Antiqua"/>
        </w:rPr>
        <w:t xml:space="preserve"> therefore, the case on appeal was arguable. Moreover, this cursory analysis of </w:t>
      </w:r>
      <w:r w:rsidR="00E90D92">
        <w:rPr>
          <w:rFonts w:ascii="Book Antiqua" w:hAnsi="Book Antiqua"/>
        </w:rPr>
        <w:t xml:space="preserve">the </w:t>
      </w:r>
      <w:r>
        <w:rPr>
          <w:rFonts w:ascii="Book Antiqua" w:hAnsi="Book Antiqua"/>
        </w:rPr>
        <w:t xml:space="preserve">evidence violated the appellant’s </w:t>
      </w:r>
      <w:r w:rsidR="005331D2">
        <w:rPr>
          <w:rFonts w:ascii="Book Antiqua" w:hAnsi="Book Antiqua"/>
        </w:rPr>
        <w:t xml:space="preserve">constitutional rights. Additionally, the High Court erred in </w:t>
      </w:r>
      <w:r w:rsidR="005331D2">
        <w:rPr>
          <w:rFonts w:ascii="Book Antiqua" w:hAnsi="Book Antiqua"/>
        </w:rPr>
        <w:lastRenderedPageBreak/>
        <w:t>disregarding the effect of the magistrate’s mistaken references to cases dealing with mentally defective victims of rape. The High Court also erred in finding plausible explanations for the inordinate delays in reporting the alleged offences.</w:t>
      </w:r>
      <w:r w:rsidR="00B11325">
        <w:rPr>
          <w:rFonts w:ascii="Book Antiqua" w:hAnsi="Book Antiqua"/>
        </w:rPr>
        <w:t xml:space="preserve"> Again, the reports were made in circumstances showing a likelihood of their having been made in response to leading, inducing or intimidating questions.</w:t>
      </w:r>
    </w:p>
    <w:p w:rsidR="0002331C" w:rsidRPr="00272765" w:rsidRDefault="0002331C" w:rsidP="007F4B36">
      <w:pPr>
        <w:spacing w:line="480" w:lineRule="auto"/>
        <w:jc w:val="both"/>
        <w:rPr>
          <w:rFonts w:ascii="Book Antiqua" w:hAnsi="Book Antiqua"/>
        </w:rPr>
      </w:pPr>
    </w:p>
    <w:p w:rsidR="00412229" w:rsidRDefault="00D25422" w:rsidP="007F4B36">
      <w:pPr>
        <w:spacing w:line="480" w:lineRule="auto"/>
        <w:jc w:val="both"/>
        <w:rPr>
          <w:rFonts w:ascii="Book Antiqua" w:hAnsi="Book Antiqua"/>
        </w:rPr>
      </w:pPr>
      <w:r>
        <w:rPr>
          <w:rFonts w:ascii="Book Antiqua" w:hAnsi="Book Antiqua"/>
        </w:rPr>
        <w:tab/>
        <w:t xml:space="preserve">Having regard to all of the foregoing, the central issue for determination in this matter is whether the court </w:t>
      </w:r>
      <w:r>
        <w:rPr>
          <w:rFonts w:ascii="Book Antiqua" w:hAnsi="Book Antiqua"/>
          <w:i/>
        </w:rPr>
        <w:t>a quo</w:t>
      </w:r>
      <w:r>
        <w:rPr>
          <w:rFonts w:ascii="Book Antiqua" w:hAnsi="Book Antiqua"/>
        </w:rPr>
        <w:t xml:space="preserve"> erred or misdirected itself in finding that </w:t>
      </w:r>
      <w:r w:rsidR="003A7A56">
        <w:rPr>
          <w:rFonts w:ascii="Book Antiqua" w:hAnsi="Book Antiqua"/>
        </w:rPr>
        <w:t xml:space="preserve">there were no prospects of success on appeal from the decision of the Magistrates Court. The test to be applied in this regard is relatively uncomplicated: Is the appeal “reasonably arguable and not manifestly doomed to failure”? </w:t>
      </w:r>
      <w:proofErr w:type="gramStart"/>
      <w:r w:rsidR="003A7A56">
        <w:rPr>
          <w:rFonts w:ascii="Book Antiqua" w:hAnsi="Book Antiqua"/>
        </w:rPr>
        <w:t xml:space="preserve">See </w:t>
      </w:r>
      <w:r w:rsidR="003A7A56">
        <w:rPr>
          <w:rFonts w:ascii="Book Antiqua" w:hAnsi="Book Antiqua"/>
          <w:i/>
        </w:rPr>
        <w:t>State</w:t>
      </w:r>
      <w:r w:rsidR="003A7A56">
        <w:rPr>
          <w:rFonts w:ascii="Book Antiqua" w:hAnsi="Book Antiqua"/>
        </w:rPr>
        <w:t xml:space="preserve"> v </w:t>
      </w:r>
      <w:r w:rsidR="003A7A56">
        <w:rPr>
          <w:rFonts w:ascii="Book Antiqua" w:hAnsi="Book Antiqua"/>
          <w:i/>
        </w:rPr>
        <w:t>Hudson</w:t>
      </w:r>
      <w:r w:rsidR="003A7A56">
        <w:rPr>
          <w:rFonts w:ascii="Book Antiqua" w:hAnsi="Book Antiqua"/>
        </w:rPr>
        <w:t xml:space="preserve"> 1996 (1) SACR </w:t>
      </w:r>
      <w:r w:rsidR="001B42FC">
        <w:rPr>
          <w:rFonts w:ascii="Book Antiqua" w:hAnsi="Book Antiqua"/>
        </w:rPr>
        <w:t>431 (W)</w:t>
      </w:r>
      <w:r w:rsidR="003A7A56">
        <w:rPr>
          <w:rFonts w:ascii="Book Antiqua" w:hAnsi="Book Antiqua"/>
        </w:rPr>
        <w:t>.</w:t>
      </w:r>
      <w:proofErr w:type="gramEnd"/>
    </w:p>
    <w:p w:rsidR="002B6FFD" w:rsidRDefault="002B6FFD" w:rsidP="007F4B36">
      <w:pPr>
        <w:spacing w:line="480" w:lineRule="auto"/>
        <w:jc w:val="both"/>
        <w:rPr>
          <w:rFonts w:ascii="Book Antiqua" w:hAnsi="Book Antiqua"/>
        </w:rPr>
      </w:pPr>
    </w:p>
    <w:p w:rsidR="002B6FFD" w:rsidRDefault="002B6FFD" w:rsidP="007F4B36">
      <w:pPr>
        <w:spacing w:line="480" w:lineRule="auto"/>
        <w:jc w:val="both"/>
        <w:rPr>
          <w:rFonts w:ascii="Book Antiqua" w:hAnsi="Book Antiqua"/>
        </w:rPr>
      </w:pPr>
      <w:r>
        <w:rPr>
          <w:rFonts w:ascii="Book Antiqua" w:hAnsi="Book Antiqua"/>
        </w:rPr>
        <w:tab/>
        <w:t xml:space="preserve">The </w:t>
      </w:r>
      <w:r w:rsidR="001B42FC">
        <w:rPr>
          <w:rFonts w:ascii="Book Antiqua" w:hAnsi="Book Antiqua"/>
        </w:rPr>
        <w:t>main</w:t>
      </w:r>
      <w:r>
        <w:rPr>
          <w:rFonts w:ascii="Book Antiqua" w:hAnsi="Book Antiqua"/>
        </w:rPr>
        <w:t xml:space="preserve"> point taken by Mr </w:t>
      </w:r>
      <w:proofErr w:type="spellStart"/>
      <w:r>
        <w:rPr>
          <w:rFonts w:ascii="Book Antiqua" w:hAnsi="Book Antiqua"/>
          <w:i/>
        </w:rPr>
        <w:t>Magwaliba</w:t>
      </w:r>
      <w:proofErr w:type="spellEnd"/>
      <w:r>
        <w:rPr>
          <w:rFonts w:ascii="Book Antiqua" w:hAnsi="Book Antiqua"/>
        </w:rPr>
        <w:t xml:space="preserve"> for the appellant is that the learned magistrate did not evaluate the evidence and assess the credibility of witnesses on the rape charges (counts 3, 7, 8 and 9).</w:t>
      </w:r>
      <w:r w:rsidR="000F6C50">
        <w:rPr>
          <w:rFonts w:ascii="Book Antiqua" w:hAnsi="Book Antiqua"/>
        </w:rPr>
        <w:t xml:space="preserve"> </w:t>
      </w:r>
      <w:r>
        <w:rPr>
          <w:rFonts w:ascii="Book Antiqua" w:hAnsi="Book Antiqua"/>
        </w:rPr>
        <w:t xml:space="preserve">He thereby erred in accepting the evidence of a single witness </w:t>
      </w:r>
      <w:r w:rsidR="000F6C50">
        <w:rPr>
          <w:rFonts w:ascii="Book Antiqua" w:hAnsi="Book Antiqua"/>
        </w:rPr>
        <w:t>without adequate analysis in respect of each count.</w:t>
      </w:r>
    </w:p>
    <w:p w:rsidR="000F6C50" w:rsidRDefault="000F6C50" w:rsidP="007F4B36">
      <w:pPr>
        <w:spacing w:line="480" w:lineRule="auto"/>
        <w:jc w:val="both"/>
        <w:rPr>
          <w:rFonts w:ascii="Book Antiqua" w:hAnsi="Book Antiqua"/>
        </w:rPr>
      </w:pPr>
    </w:p>
    <w:p w:rsidR="000F6C50" w:rsidRDefault="000F6C50" w:rsidP="007F4B36">
      <w:pPr>
        <w:spacing w:line="480" w:lineRule="auto"/>
        <w:jc w:val="both"/>
        <w:rPr>
          <w:rFonts w:ascii="Book Antiqua" w:hAnsi="Book Antiqua"/>
        </w:rPr>
      </w:pPr>
      <w:r>
        <w:rPr>
          <w:rFonts w:ascii="Book Antiqua" w:hAnsi="Book Antiqua"/>
        </w:rPr>
        <w:tab/>
      </w:r>
      <w:r>
        <w:rPr>
          <w:rFonts w:ascii="Book Antiqua" w:hAnsi="Book Antiqua"/>
          <w:b/>
        </w:rPr>
        <w:t>Count 3</w:t>
      </w:r>
      <w:r>
        <w:rPr>
          <w:rFonts w:ascii="Book Antiqua" w:hAnsi="Book Antiqua"/>
        </w:rPr>
        <w:t xml:space="preserve"> relates to Precious </w:t>
      </w:r>
      <w:proofErr w:type="spellStart"/>
      <w:r>
        <w:rPr>
          <w:rFonts w:ascii="Book Antiqua" w:hAnsi="Book Antiqua"/>
        </w:rPr>
        <w:t>Kapfumvuti</w:t>
      </w:r>
      <w:proofErr w:type="spellEnd"/>
      <w:r>
        <w:rPr>
          <w:rFonts w:ascii="Book Antiqua" w:hAnsi="Book Antiqua"/>
        </w:rPr>
        <w:t xml:space="preserve"> (Precious). Her evidence was that she was raped on several occasions during the period stretching from 2007 to 2013, having succumbed to the appellant’s exercise of authority rather than physical force.</w:t>
      </w:r>
      <w:r w:rsidR="003C2FF9">
        <w:rPr>
          <w:rFonts w:ascii="Book Antiqua" w:hAnsi="Book Antiqua"/>
        </w:rPr>
        <w:t xml:space="preserve"> It is submitted for the appellant that her assertion of having been </w:t>
      </w:r>
      <w:r w:rsidR="003C2FF9">
        <w:rPr>
          <w:rFonts w:ascii="Book Antiqua" w:hAnsi="Book Antiqua"/>
        </w:rPr>
        <w:lastRenderedPageBreak/>
        <w:t xml:space="preserve">subjected to indoctrination cannot be sustained. She understood the nature of the sexual acts that she engaged in and the appellant’s influence could not have deprived her of the capacity to give her informed consent. Moreover, her explanation for having reported the alleged rapes at a late stage is totally unreasonable. She could have reported the matter to various people over the years and </w:t>
      </w:r>
      <w:r w:rsidR="001B42FC">
        <w:rPr>
          <w:rFonts w:ascii="Book Antiqua" w:hAnsi="Book Antiqua"/>
        </w:rPr>
        <w:t xml:space="preserve">after she </w:t>
      </w:r>
      <w:r w:rsidR="003C2FF9">
        <w:rPr>
          <w:rFonts w:ascii="Book Antiqua" w:hAnsi="Book Antiqua"/>
        </w:rPr>
        <w:t>left the appellant’s premises in 2013.</w:t>
      </w:r>
      <w:r w:rsidR="007B639F">
        <w:rPr>
          <w:rFonts w:ascii="Book Antiqua" w:hAnsi="Book Antiqua"/>
        </w:rPr>
        <w:t xml:space="preserve"> It is further submitted that her misrepresentation of certain biblical passages that she relied upon while giving evidence in court rendered her veracity questionable. In short, she willingly subjected herself sexually to the appellant as an integral part of worshipping him and then later changed her position after talking to others.</w:t>
      </w:r>
    </w:p>
    <w:p w:rsidR="00636D0C" w:rsidRDefault="00636D0C" w:rsidP="007F4B36">
      <w:pPr>
        <w:spacing w:line="480" w:lineRule="auto"/>
        <w:jc w:val="both"/>
        <w:rPr>
          <w:rFonts w:ascii="Book Antiqua" w:hAnsi="Book Antiqua"/>
        </w:rPr>
      </w:pPr>
    </w:p>
    <w:p w:rsidR="00636D0C" w:rsidRDefault="00636D0C" w:rsidP="007F4B36">
      <w:pPr>
        <w:spacing w:line="480" w:lineRule="auto"/>
        <w:ind w:firstLine="720"/>
        <w:jc w:val="both"/>
        <w:rPr>
          <w:rFonts w:ascii="Book Antiqua" w:hAnsi="Book Antiqua"/>
        </w:rPr>
      </w:pPr>
      <w:r>
        <w:rPr>
          <w:rFonts w:ascii="Book Antiqua" w:hAnsi="Book Antiqua"/>
        </w:rPr>
        <w:t xml:space="preserve">Mr </w:t>
      </w:r>
      <w:proofErr w:type="spellStart"/>
      <w:r w:rsidRPr="00636D0C">
        <w:rPr>
          <w:rFonts w:ascii="Book Antiqua" w:hAnsi="Book Antiqua"/>
          <w:i/>
        </w:rPr>
        <w:t>Mavuto</w:t>
      </w:r>
      <w:proofErr w:type="spellEnd"/>
      <w:r>
        <w:rPr>
          <w:rFonts w:ascii="Book Antiqua" w:hAnsi="Book Antiqua"/>
        </w:rPr>
        <w:t xml:space="preserve"> for the respondent submits that the appellant stood in the position of being </w:t>
      </w:r>
      <w:r w:rsidR="000A49EE">
        <w:rPr>
          <w:rFonts w:ascii="Book Antiqua" w:hAnsi="Book Antiqua"/>
        </w:rPr>
        <w:t xml:space="preserve">a guardian over Precious. She received counselling and religious teachings from him, including the notion that a master could do as he willed with his servant. The subjective effect was that she believed what she was told by the appellant about his authority and that differences between them should not be taken to court </w:t>
      </w:r>
      <w:r w:rsidR="00A011F0">
        <w:rPr>
          <w:rFonts w:ascii="Book Antiqua" w:hAnsi="Book Antiqua"/>
        </w:rPr>
        <w:t>for</w:t>
      </w:r>
      <w:r w:rsidR="000A49EE">
        <w:rPr>
          <w:rFonts w:ascii="Book Antiqua" w:hAnsi="Book Antiqua"/>
        </w:rPr>
        <w:t xml:space="preserve"> fear of her being placed in the hands of Satan.</w:t>
      </w:r>
      <w:r w:rsidR="002A1BFC">
        <w:rPr>
          <w:rFonts w:ascii="Book Antiqua" w:hAnsi="Book Antiqua"/>
        </w:rPr>
        <w:t xml:space="preserve"> It is further pointed out that she did report her first rape to a fellow congregant but no assistance was forthcoming. Thereafter</w:t>
      </w:r>
      <w:r w:rsidR="00D660DB">
        <w:rPr>
          <w:rFonts w:ascii="Book Antiqua" w:hAnsi="Book Antiqua"/>
        </w:rPr>
        <w:t>,</w:t>
      </w:r>
      <w:r w:rsidR="002A1BFC">
        <w:rPr>
          <w:rFonts w:ascii="Book Antiqua" w:hAnsi="Book Antiqua"/>
        </w:rPr>
        <w:t xml:space="preserve"> she was always accompanied or guarded either by the appellant’s principal wife or by his brothers. She therefore remained silent out of fear and eventually escaped after realising that what the appell</w:t>
      </w:r>
      <w:r w:rsidR="00682CB4">
        <w:rPr>
          <w:rFonts w:ascii="Book Antiqua" w:hAnsi="Book Antiqua"/>
        </w:rPr>
        <w:t>ant was doing to her was wrong.</w:t>
      </w:r>
    </w:p>
    <w:p w:rsidR="00682CB4" w:rsidRDefault="00682CB4" w:rsidP="007F4B36">
      <w:pPr>
        <w:spacing w:line="480" w:lineRule="auto"/>
        <w:ind w:firstLine="720"/>
        <w:jc w:val="both"/>
        <w:rPr>
          <w:rFonts w:ascii="Book Antiqua" w:hAnsi="Book Antiqua"/>
        </w:rPr>
      </w:pPr>
      <w:r>
        <w:rPr>
          <w:rFonts w:ascii="Book Antiqua" w:hAnsi="Book Antiqua"/>
          <w:b/>
        </w:rPr>
        <w:lastRenderedPageBreak/>
        <w:t>Count 7</w:t>
      </w:r>
      <w:r>
        <w:rPr>
          <w:rFonts w:ascii="Book Antiqua" w:hAnsi="Book Antiqua"/>
        </w:rPr>
        <w:t xml:space="preserve"> pertains to </w:t>
      </w:r>
      <w:proofErr w:type="spellStart"/>
      <w:r>
        <w:rPr>
          <w:rFonts w:ascii="Book Antiqua" w:hAnsi="Book Antiqua"/>
        </w:rPr>
        <w:t>Winnie</w:t>
      </w:r>
      <w:proofErr w:type="spellEnd"/>
      <w:r>
        <w:rPr>
          <w:rFonts w:ascii="Book Antiqua" w:hAnsi="Book Antiqua"/>
        </w:rPr>
        <w:t xml:space="preserve"> </w:t>
      </w:r>
      <w:proofErr w:type="spellStart"/>
      <w:r>
        <w:rPr>
          <w:rFonts w:ascii="Book Antiqua" w:hAnsi="Book Antiqua"/>
        </w:rPr>
        <w:t>Sakahuhwa</w:t>
      </w:r>
      <w:proofErr w:type="spellEnd"/>
      <w:r>
        <w:rPr>
          <w:rFonts w:ascii="Book Antiqua" w:hAnsi="Book Antiqua"/>
        </w:rPr>
        <w:t xml:space="preserve"> (</w:t>
      </w:r>
      <w:proofErr w:type="spellStart"/>
      <w:r>
        <w:rPr>
          <w:rFonts w:ascii="Book Antiqua" w:hAnsi="Book Antiqua"/>
        </w:rPr>
        <w:t>Winnie</w:t>
      </w:r>
      <w:proofErr w:type="spellEnd"/>
      <w:r>
        <w:rPr>
          <w:rFonts w:ascii="Book Antiqua" w:hAnsi="Book Antiqua"/>
        </w:rPr>
        <w:t xml:space="preserve">). Mr </w:t>
      </w:r>
      <w:proofErr w:type="spellStart"/>
      <w:r>
        <w:rPr>
          <w:rFonts w:ascii="Book Antiqua" w:hAnsi="Book Antiqua"/>
          <w:i/>
        </w:rPr>
        <w:t>Magwaliba</w:t>
      </w:r>
      <w:proofErr w:type="spellEnd"/>
      <w:r>
        <w:rPr>
          <w:rFonts w:ascii="Book Antiqua" w:hAnsi="Book Antiqua"/>
        </w:rPr>
        <w:t xml:space="preserve"> submits that she was aware of the appellant’s reputation before she went to stay with him in December 2011. Nevertheless, she allowed herself to be sexually intimate with him. In effect, she consented to sexual intercourse because of his authority and understood sex with him as being necessary to create a bond between them. Moreover, her account of one of their sexual encounters is physically improbable in terms of their respective bodily positions.</w:t>
      </w:r>
      <w:r w:rsidR="00B775DB">
        <w:rPr>
          <w:rFonts w:ascii="Book Antiqua" w:hAnsi="Book Antiqua"/>
        </w:rPr>
        <w:t xml:space="preserve"> She admits to having denied any sexual assault when queried by at least three other people and did not even confide in her mother after police investigations had commenced. Additionally, her mother’s evidence </w:t>
      </w:r>
      <w:r w:rsidR="00991FF2">
        <w:rPr>
          <w:rFonts w:ascii="Book Antiqua" w:hAnsi="Book Antiqua"/>
        </w:rPr>
        <w:t xml:space="preserve">does not corroborate that of </w:t>
      </w:r>
      <w:proofErr w:type="spellStart"/>
      <w:r w:rsidR="00991FF2">
        <w:rPr>
          <w:rFonts w:ascii="Book Antiqua" w:hAnsi="Book Antiqua"/>
        </w:rPr>
        <w:t>Winnie</w:t>
      </w:r>
      <w:proofErr w:type="spellEnd"/>
      <w:r w:rsidR="00991FF2">
        <w:rPr>
          <w:rFonts w:ascii="Book Antiqua" w:hAnsi="Book Antiqua"/>
        </w:rPr>
        <w:t xml:space="preserve"> and the former could not explain why the latter did </w:t>
      </w:r>
      <w:r w:rsidR="00D660DB">
        <w:rPr>
          <w:rFonts w:ascii="Book Antiqua" w:hAnsi="Book Antiqua"/>
        </w:rPr>
        <w:t xml:space="preserve">not confide in her. Again, </w:t>
      </w:r>
      <w:proofErr w:type="spellStart"/>
      <w:r w:rsidR="00D660DB">
        <w:rPr>
          <w:rFonts w:ascii="Book Antiqua" w:hAnsi="Book Antiqua"/>
        </w:rPr>
        <w:t>Winn</w:t>
      </w:r>
      <w:r w:rsidR="00991FF2">
        <w:rPr>
          <w:rFonts w:ascii="Book Antiqua" w:hAnsi="Book Antiqua"/>
        </w:rPr>
        <w:t>ie</w:t>
      </w:r>
      <w:proofErr w:type="spellEnd"/>
      <w:r w:rsidR="00991FF2">
        <w:rPr>
          <w:rFonts w:ascii="Book Antiqua" w:hAnsi="Book Antiqua"/>
        </w:rPr>
        <w:t xml:space="preserve"> did</w:t>
      </w:r>
      <w:r w:rsidR="00D660DB">
        <w:rPr>
          <w:rFonts w:ascii="Book Antiqua" w:hAnsi="Book Antiqua"/>
        </w:rPr>
        <w:t xml:space="preserve"> not make any report to the rep</w:t>
      </w:r>
      <w:r w:rsidR="00991FF2">
        <w:rPr>
          <w:rFonts w:ascii="Book Antiqua" w:hAnsi="Book Antiqua"/>
        </w:rPr>
        <w:t>resentatives of Child Line who attended her school for counselling.</w:t>
      </w:r>
    </w:p>
    <w:p w:rsidR="00E44E9F" w:rsidRDefault="00E44E9F" w:rsidP="007F4B36">
      <w:pPr>
        <w:spacing w:line="480" w:lineRule="auto"/>
        <w:ind w:firstLine="720"/>
        <w:jc w:val="both"/>
        <w:rPr>
          <w:rFonts w:ascii="Book Antiqua" w:hAnsi="Book Antiqua"/>
        </w:rPr>
      </w:pPr>
    </w:p>
    <w:p w:rsidR="00E44E9F" w:rsidRDefault="00E44E9F" w:rsidP="007F4B36">
      <w:pPr>
        <w:spacing w:line="480" w:lineRule="auto"/>
        <w:ind w:firstLine="720"/>
        <w:jc w:val="both"/>
        <w:rPr>
          <w:rFonts w:ascii="Book Antiqua" w:hAnsi="Book Antiqua"/>
        </w:rPr>
      </w:pPr>
      <w:r>
        <w:rPr>
          <w:rFonts w:ascii="Book Antiqua" w:hAnsi="Book Antiqua"/>
        </w:rPr>
        <w:t xml:space="preserve">For the State, it is submitted that </w:t>
      </w:r>
      <w:proofErr w:type="spellStart"/>
      <w:r>
        <w:rPr>
          <w:rFonts w:ascii="Book Antiqua" w:hAnsi="Book Antiqua"/>
        </w:rPr>
        <w:t>Winnie</w:t>
      </w:r>
      <w:proofErr w:type="spellEnd"/>
      <w:r>
        <w:rPr>
          <w:rFonts w:ascii="Book Antiqua" w:hAnsi="Book Antiqua"/>
        </w:rPr>
        <w:t xml:space="preserve"> was warned by the appellant not to make any report because she would then be placed in the hands of Satan. She genuinely believed his teachings. She did not tell her mother anything about her sexual assaults because her mother suffered from hypertension and she did not want her to be overstressed. Furthermore, she did not report her predicament to anyone else</w:t>
      </w:r>
      <w:r w:rsidR="00DA7A83">
        <w:rPr>
          <w:rFonts w:ascii="Book Antiqua" w:hAnsi="Book Antiqua"/>
        </w:rPr>
        <w:t xml:space="preserve"> because the appellant claimed that the police belonged to him.</w:t>
      </w:r>
      <w:r w:rsidR="0074300F">
        <w:rPr>
          <w:rFonts w:ascii="Book Antiqua" w:hAnsi="Book Antiqua"/>
        </w:rPr>
        <w:t xml:space="preserve"> She only reported the matter to the police after learning of his arrest and realising that he was not invincible.</w:t>
      </w:r>
    </w:p>
    <w:p w:rsidR="00DA1D46" w:rsidRDefault="00DA1D46" w:rsidP="007F4B36">
      <w:pPr>
        <w:spacing w:line="480" w:lineRule="auto"/>
        <w:ind w:firstLine="720"/>
        <w:jc w:val="both"/>
        <w:rPr>
          <w:rFonts w:ascii="Book Antiqua" w:hAnsi="Book Antiqua"/>
        </w:rPr>
      </w:pPr>
      <w:r>
        <w:rPr>
          <w:rFonts w:ascii="Book Antiqua" w:hAnsi="Book Antiqua"/>
          <w:b/>
        </w:rPr>
        <w:lastRenderedPageBreak/>
        <w:t>Counts 8 and 9</w:t>
      </w:r>
      <w:r>
        <w:rPr>
          <w:rFonts w:ascii="Book Antiqua" w:hAnsi="Book Antiqua"/>
        </w:rPr>
        <w:t xml:space="preserve"> relate to </w:t>
      </w:r>
      <w:proofErr w:type="spellStart"/>
      <w:r>
        <w:rPr>
          <w:rFonts w:ascii="Book Antiqua" w:hAnsi="Book Antiqua"/>
        </w:rPr>
        <w:t>Hazvinei</w:t>
      </w:r>
      <w:proofErr w:type="spellEnd"/>
      <w:r>
        <w:rPr>
          <w:rFonts w:ascii="Book Antiqua" w:hAnsi="Book Antiqua"/>
        </w:rPr>
        <w:t xml:space="preserve"> </w:t>
      </w:r>
      <w:proofErr w:type="spellStart"/>
      <w:r>
        <w:rPr>
          <w:rFonts w:ascii="Book Antiqua" w:hAnsi="Book Antiqua"/>
        </w:rPr>
        <w:t>Samanyanga</w:t>
      </w:r>
      <w:proofErr w:type="spellEnd"/>
      <w:r>
        <w:rPr>
          <w:rFonts w:ascii="Book Antiqua" w:hAnsi="Book Antiqua"/>
        </w:rPr>
        <w:t xml:space="preserve"> (</w:t>
      </w:r>
      <w:proofErr w:type="spellStart"/>
      <w:r>
        <w:rPr>
          <w:rFonts w:ascii="Book Antiqua" w:hAnsi="Book Antiqua"/>
        </w:rPr>
        <w:t>Hazvinei</w:t>
      </w:r>
      <w:proofErr w:type="spellEnd"/>
      <w:r>
        <w:rPr>
          <w:rFonts w:ascii="Book Antiqua" w:hAnsi="Book Antiqua"/>
        </w:rPr>
        <w:t xml:space="preserve">). As is correctly pointed out by Mr </w:t>
      </w:r>
      <w:proofErr w:type="spellStart"/>
      <w:r>
        <w:rPr>
          <w:rFonts w:ascii="Book Antiqua" w:hAnsi="Book Antiqua"/>
          <w:i/>
        </w:rPr>
        <w:t>Magwaliba</w:t>
      </w:r>
      <w:proofErr w:type="spellEnd"/>
      <w:r>
        <w:rPr>
          <w:rFonts w:ascii="Book Antiqua" w:hAnsi="Book Antiqua"/>
        </w:rPr>
        <w:t xml:space="preserve">, the court </w:t>
      </w:r>
      <w:r>
        <w:rPr>
          <w:rFonts w:ascii="Book Antiqua" w:hAnsi="Book Antiqua"/>
          <w:i/>
        </w:rPr>
        <w:t>a quo</w:t>
      </w:r>
      <w:r>
        <w:rPr>
          <w:rFonts w:ascii="Book Antiqua" w:hAnsi="Book Antiqua"/>
        </w:rPr>
        <w:t xml:space="preserve"> entertained considerable doubt as to the propriety of the appellant’s conviction on count 9. The learned judge found that it was possible that she may have been raped on the first occasion (count 8) as her evidence was credible on that score. However, she appears to have acquiesced to sexual intercourse on the subsequent occasions (count 9), having voluntarily returned to the appellant’s residence during weekends. Moreove</w:t>
      </w:r>
      <w:r w:rsidR="0005732F">
        <w:rPr>
          <w:rFonts w:ascii="Book Antiqua" w:hAnsi="Book Antiqua"/>
        </w:rPr>
        <w:t>r</w:t>
      </w:r>
      <w:r>
        <w:rPr>
          <w:rFonts w:ascii="Book Antiqua" w:hAnsi="Book Antiqua"/>
        </w:rPr>
        <w:t xml:space="preserve">, she spent several </w:t>
      </w:r>
      <w:r w:rsidR="0005732F">
        <w:rPr>
          <w:rFonts w:ascii="Book Antiqua" w:hAnsi="Book Antiqua"/>
        </w:rPr>
        <w:t>months in South Africa before reporting the matter to the police when they contacted her in connection with Precious.</w:t>
      </w:r>
      <w:r w:rsidR="00C729B8">
        <w:rPr>
          <w:rFonts w:ascii="Book Antiqua" w:hAnsi="Book Antiqua"/>
        </w:rPr>
        <w:t xml:space="preserve"> These are matters that were not adeq</w:t>
      </w:r>
      <w:r w:rsidR="008E4D4E">
        <w:rPr>
          <w:rFonts w:ascii="Book Antiqua" w:hAnsi="Book Antiqua"/>
        </w:rPr>
        <w:t>u</w:t>
      </w:r>
      <w:r w:rsidR="00C729B8">
        <w:rPr>
          <w:rFonts w:ascii="Book Antiqua" w:hAnsi="Book Antiqua"/>
        </w:rPr>
        <w:t>ately interrogated by the Magistrates Court.</w:t>
      </w:r>
    </w:p>
    <w:p w:rsidR="006A11A9" w:rsidRDefault="006A11A9" w:rsidP="007F4B36">
      <w:pPr>
        <w:spacing w:line="480" w:lineRule="auto"/>
        <w:ind w:firstLine="720"/>
        <w:jc w:val="both"/>
        <w:rPr>
          <w:rFonts w:ascii="Book Antiqua" w:hAnsi="Book Antiqua"/>
        </w:rPr>
      </w:pPr>
    </w:p>
    <w:p w:rsidR="006A11A9" w:rsidRDefault="006A11A9" w:rsidP="007F4B36">
      <w:pPr>
        <w:spacing w:line="480" w:lineRule="auto"/>
        <w:ind w:firstLine="720"/>
        <w:jc w:val="both"/>
        <w:rPr>
          <w:rFonts w:ascii="Book Antiqua" w:hAnsi="Book Antiqua"/>
        </w:rPr>
      </w:pPr>
      <w:r>
        <w:rPr>
          <w:rFonts w:ascii="Book Antiqua" w:hAnsi="Book Antiqua"/>
        </w:rPr>
        <w:t xml:space="preserve">Mr </w:t>
      </w:r>
      <w:proofErr w:type="spellStart"/>
      <w:r>
        <w:rPr>
          <w:rFonts w:ascii="Book Antiqua" w:hAnsi="Book Antiqua"/>
          <w:i/>
        </w:rPr>
        <w:t>Mavuto</w:t>
      </w:r>
      <w:proofErr w:type="spellEnd"/>
      <w:r>
        <w:rPr>
          <w:rFonts w:ascii="Book Antiqua" w:hAnsi="Book Antiqua"/>
        </w:rPr>
        <w:t xml:space="preserve"> submits that </w:t>
      </w:r>
      <w:proofErr w:type="spellStart"/>
      <w:r>
        <w:rPr>
          <w:rFonts w:ascii="Book Antiqua" w:hAnsi="Book Antiqua"/>
        </w:rPr>
        <w:t>Hazvinei’s</w:t>
      </w:r>
      <w:proofErr w:type="spellEnd"/>
      <w:r>
        <w:rPr>
          <w:rFonts w:ascii="Book Antiqua" w:hAnsi="Book Antiqua"/>
        </w:rPr>
        <w:t xml:space="preserve"> evidence on count 9 shows that she was forcibly raped on the first occasion and that </w:t>
      </w:r>
      <w:r w:rsidR="00A011F0">
        <w:rPr>
          <w:rFonts w:ascii="Book Antiqua" w:hAnsi="Book Antiqua"/>
        </w:rPr>
        <w:t>the appellant</w:t>
      </w:r>
      <w:r>
        <w:rPr>
          <w:rFonts w:ascii="Book Antiqua" w:hAnsi="Book Antiqua"/>
        </w:rPr>
        <w:t xml:space="preserve"> was </w:t>
      </w:r>
      <w:r w:rsidR="00F673D5">
        <w:rPr>
          <w:rFonts w:ascii="Book Antiqua" w:hAnsi="Book Antiqua"/>
        </w:rPr>
        <w:t>correctly</w:t>
      </w:r>
      <w:r>
        <w:rPr>
          <w:rFonts w:ascii="Book Antiqua" w:hAnsi="Book Antiqua"/>
        </w:rPr>
        <w:t xml:space="preserve"> convicted on that count. He concedes, however, that her conduct in respect of count 9 was inconsistent with the absence of consent, particularly as she continually returned to the appellant’s residence of her own accord.</w:t>
      </w:r>
    </w:p>
    <w:p w:rsidR="006A11A9" w:rsidRDefault="006A11A9" w:rsidP="007F4B36">
      <w:pPr>
        <w:spacing w:line="480" w:lineRule="auto"/>
        <w:ind w:firstLine="720"/>
        <w:jc w:val="both"/>
        <w:rPr>
          <w:rFonts w:ascii="Book Antiqua" w:hAnsi="Book Antiqua"/>
        </w:rPr>
      </w:pPr>
    </w:p>
    <w:p w:rsidR="006A11A9" w:rsidRPr="006A11A9" w:rsidRDefault="006A11A9" w:rsidP="007F4B36">
      <w:pPr>
        <w:spacing w:line="480" w:lineRule="auto"/>
        <w:ind w:firstLine="720"/>
        <w:jc w:val="both"/>
        <w:rPr>
          <w:rFonts w:ascii="Book Antiqua" w:hAnsi="Book Antiqua"/>
        </w:rPr>
      </w:pPr>
      <w:r>
        <w:rPr>
          <w:rFonts w:ascii="Book Antiqua" w:hAnsi="Book Antiqua"/>
          <w:b/>
        </w:rPr>
        <w:t>Count 10</w:t>
      </w:r>
      <w:r>
        <w:rPr>
          <w:rFonts w:ascii="Book Antiqua" w:hAnsi="Book Antiqua"/>
        </w:rPr>
        <w:t xml:space="preserve"> pertains to the appellant’s</w:t>
      </w:r>
      <w:r w:rsidR="00F673D5">
        <w:rPr>
          <w:rFonts w:ascii="Book Antiqua" w:hAnsi="Book Antiqua"/>
        </w:rPr>
        <w:t xml:space="preserve"> unlawful possession of two obscene DVDs. There is no doubt that the appellant was properly convicted on this count. At the hearing of this appeal, Mr </w:t>
      </w:r>
      <w:proofErr w:type="spellStart"/>
      <w:r w:rsidR="00F673D5">
        <w:rPr>
          <w:rFonts w:ascii="Book Antiqua" w:hAnsi="Book Antiqua"/>
          <w:i/>
        </w:rPr>
        <w:t>Magwaliba</w:t>
      </w:r>
      <w:proofErr w:type="spellEnd"/>
      <w:r w:rsidR="00F673D5">
        <w:rPr>
          <w:rFonts w:ascii="Book Antiqua" w:hAnsi="Book Antiqua"/>
        </w:rPr>
        <w:t xml:space="preserve"> quite correctly abandoned the technical point raised in his heads of argument as to the propriety of inspecting the material in question after the appellant was arrested.</w:t>
      </w:r>
      <w:r w:rsidR="00FF6826">
        <w:rPr>
          <w:rFonts w:ascii="Book Antiqua" w:hAnsi="Book Antiqua"/>
        </w:rPr>
        <w:t xml:space="preserve"> </w:t>
      </w:r>
      <w:r w:rsidR="00F673D5">
        <w:rPr>
          <w:rFonts w:ascii="Book Antiqua" w:hAnsi="Book Antiqua"/>
        </w:rPr>
        <w:t xml:space="preserve">As regards the </w:t>
      </w:r>
      <w:r w:rsidR="00F673D5">
        <w:rPr>
          <w:rFonts w:ascii="Book Antiqua" w:hAnsi="Book Antiqua"/>
        </w:rPr>
        <w:lastRenderedPageBreak/>
        <w:t xml:space="preserve">concurrent sentence of 4 months imprisonment imposed by the learned magistrate, the court </w:t>
      </w:r>
      <w:r w:rsidR="00F673D5">
        <w:rPr>
          <w:rFonts w:ascii="Book Antiqua" w:hAnsi="Book Antiqua"/>
          <w:i/>
        </w:rPr>
        <w:t>a quo</w:t>
      </w:r>
      <w:r w:rsidR="00F673D5">
        <w:rPr>
          <w:rFonts w:ascii="Book Antiqua" w:hAnsi="Book Antiqua"/>
        </w:rPr>
        <w:t xml:space="preserve"> highlighted the obvious misdirection of the magistrate</w:t>
      </w:r>
      <w:r w:rsidR="003167B1">
        <w:rPr>
          <w:rFonts w:ascii="Book Antiqua" w:hAnsi="Book Antiqua"/>
        </w:rPr>
        <w:t xml:space="preserve"> </w:t>
      </w:r>
      <w:r w:rsidR="00F673D5">
        <w:rPr>
          <w:rFonts w:ascii="Book Antiqua" w:hAnsi="Book Antiqua"/>
        </w:rPr>
        <w:t xml:space="preserve">in failing to provide any reasons for sentence. In any event, as was accepted by Mr </w:t>
      </w:r>
      <w:proofErr w:type="spellStart"/>
      <w:r w:rsidR="00F673D5">
        <w:rPr>
          <w:rFonts w:ascii="Book Antiqua" w:hAnsi="Book Antiqua"/>
          <w:i/>
        </w:rPr>
        <w:t>Magwaliba</w:t>
      </w:r>
      <w:proofErr w:type="spellEnd"/>
      <w:r w:rsidR="00F673D5">
        <w:rPr>
          <w:rFonts w:ascii="Book Antiqua" w:hAnsi="Book Antiqua"/>
        </w:rPr>
        <w:t>, this misdirection has been rendered academic and irrelevant by the fact that the appellant has already served 4 months in prison following his conviction on 31 January 2014.</w:t>
      </w:r>
    </w:p>
    <w:p w:rsidR="00412229" w:rsidRDefault="00412229" w:rsidP="007F4B36">
      <w:pPr>
        <w:spacing w:line="480" w:lineRule="auto"/>
        <w:jc w:val="both"/>
        <w:rPr>
          <w:rFonts w:ascii="Book Antiqua" w:hAnsi="Book Antiqua"/>
        </w:rPr>
      </w:pPr>
    </w:p>
    <w:p w:rsidR="003A7A56" w:rsidRDefault="000772B3" w:rsidP="007F4B36">
      <w:pPr>
        <w:spacing w:line="480" w:lineRule="auto"/>
        <w:jc w:val="both"/>
        <w:rPr>
          <w:rFonts w:ascii="Book Antiqua" w:hAnsi="Book Antiqua"/>
        </w:rPr>
      </w:pPr>
      <w:r>
        <w:rPr>
          <w:rFonts w:ascii="Book Antiqua" w:hAnsi="Book Antiqua"/>
        </w:rPr>
        <w:tab/>
        <w:t xml:space="preserve">As regards the credibility of witnesses, the general rule is that an appellate court should ordinarily be </w:t>
      </w:r>
      <w:proofErr w:type="spellStart"/>
      <w:r>
        <w:rPr>
          <w:rFonts w:ascii="Book Antiqua" w:hAnsi="Book Antiqua"/>
        </w:rPr>
        <w:t>loth</w:t>
      </w:r>
      <w:proofErr w:type="spellEnd"/>
      <w:r>
        <w:rPr>
          <w:rFonts w:ascii="Book Antiqua" w:hAnsi="Book Antiqua"/>
        </w:rPr>
        <w:t xml:space="preserve"> to disturb findings which depend on credibility. However, as was observed in </w:t>
      </w:r>
      <w:proofErr w:type="spellStart"/>
      <w:r>
        <w:rPr>
          <w:rFonts w:ascii="Book Antiqua" w:hAnsi="Book Antiqua"/>
          <w:i/>
        </w:rPr>
        <w:t>Santam</w:t>
      </w:r>
      <w:proofErr w:type="spellEnd"/>
      <w:r>
        <w:rPr>
          <w:rFonts w:ascii="Book Antiqua" w:hAnsi="Book Antiqua"/>
          <w:i/>
        </w:rPr>
        <w:t xml:space="preserve"> BPK</w:t>
      </w:r>
      <w:r>
        <w:rPr>
          <w:rFonts w:ascii="Book Antiqua" w:hAnsi="Book Antiqua"/>
        </w:rPr>
        <w:t xml:space="preserve"> v </w:t>
      </w:r>
      <w:proofErr w:type="spellStart"/>
      <w:r>
        <w:rPr>
          <w:rFonts w:ascii="Book Antiqua" w:hAnsi="Book Antiqua"/>
          <w:i/>
        </w:rPr>
        <w:t>Bid</w:t>
      </w:r>
      <w:r w:rsidR="00E97785">
        <w:rPr>
          <w:rFonts w:ascii="Book Antiqua" w:hAnsi="Book Antiqua"/>
          <w:i/>
        </w:rPr>
        <w:t>d</w:t>
      </w:r>
      <w:r>
        <w:rPr>
          <w:rFonts w:ascii="Book Antiqua" w:hAnsi="Book Antiqua"/>
          <w:i/>
        </w:rPr>
        <w:t>ulph</w:t>
      </w:r>
      <w:proofErr w:type="spellEnd"/>
      <w:r w:rsidR="00CA569F">
        <w:rPr>
          <w:rFonts w:ascii="Book Antiqua" w:hAnsi="Book Antiqua"/>
        </w:rPr>
        <w:t xml:space="preserve"> (2004)</w:t>
      </w:r>
      <w:r>
        <w:rPr>
          <w:rFonts w:ascii="Book Antiqua" w:hAnsi="Book Antiqua"/>
        </w:rPr>
        <w:t xml:space="preserve"> 2 All SA 23 (SCA), a court of appeal will interfere where such findings are plainly wrong. Thus, the advantages which a trial court enjoys should not be overemphasised. Moreover, findings of credibility must be considered in the light of proven facts and probabilities.</w:t>
      </w:r>
    </w:p>
    <w:p w:rsidR="000276E7" w:rsidRDefault="000276E7" w:rsidP="007F4B36">
      <w:pPr>
        <w:spacing w:line="480" w:lineRule="auto"/>
        <w:jc w:val="both"/>
        <w:rPr>
          <w:rFonts w:ascii="Book Antiqua" w:hAnsi="Book Antiqua"/>
        </w:rPr>
      </w:pPr>
    </w:p>
    <w:p w:rsidR="000276E7" w:rsidRDefault="000276E7" w:rsidP="007F4B36">
      <w:pPr>
        <w:spacing w:line="480" w:lineRule="auto"/>
        <w:jc w:val="both"/>
        <w:rPr>
          <w:rFonts w:ascii="Book Antiqua" w:hAnsi="Book Antiqua"/>
        </w:rPr>
      </w:pPr>
      <w:r>
        <w:rPr>
          <w:rFonts w:ascii="Book Antiqua" w:hAnsi="Book Antiqua"/>
        </w:rPr>
        <w:tab/>
        <w:t>In the instant case, the learned magistrate convicted the appellant on four out of the total nine counts of rape. He rejected the testimony of three complainants and acquitted the appellant in respect of the five counts pertaining to them. With respect to the three complainants presently under consideration, his assessment of their credibility is not as detailed as might have been expected. Nevertheless, I am not persuaded that any of his critical findings of credibility can be said to be manifestly wrong in light of the proven facts and probabil</w:t>
      </w:r>
      <w:r w:rsidR="00B7411D">
        <w:rPr>
          <w:rFonts w:ascii="Book Antiqua" w:hAnsi="Book Antiqua"/>
        </w:rPr>
        <w:t xml:space="preserve">ities </w:t>
      </w:r>
      <w:r w:rsidR="00B7411D">
        <w:rPr>
          <w:rFonts w:ascii="Book Antiqua" w:hAnsi="Book Antiqua"/>
        </w:rPr>
        <w:lastRenderedPageBreak/>
        <w:t xml:space="preserve">of this case. I am inclined to agree with the State that </w:t>
      </w:r>
      <w:r>
        <w:rPr>
          <w:rFonts w:ascii="Book Antiqua" w:hAnsi="Book Antiqua"/>
        </w:rPr>
        <w:t xml:space="preserve">he correctly analysed the subjective effect of the appellant’s behaviour and teachings on the complainants. Admittedly, in so doing, he erroneously cited case authorities revolving </w:t>
      </w:r>
      <w:r w:rsidR="00C83129">
        <w:rPr>
          <w:rFonts w:ascii="Book Antiqua" w:hAnsi="Book Antiqua"/>
        </w:rPr>
        <w:t>a</w:t>
      </w:r>
      <w:r>
        <w:rPr>
          <w:rFonts w:ascii="Book Antiqua" w:hAnsi="Book Antiqua"/>
        </w:rPr>
        <w:t xml:space="preserve">round victims of rape who are mentally disordered or incapacitated and their capacity to consent to </w:t>
      </w:r>
      <w:r w:rsidR="004B08A8">
        <w:rPr>
          <w:rFonts w:ascii="Book Antiqua" w:hAnsi="Book Antiqua"/>
        </w:rPr>
        <w:t xml:space="preserve">overtures and </w:t>
      </w:r>
      <w:r>
        <w:rPr>
          <w:rFonts w:ascii="Book Antiqua" w:hAnsi="Book Antiqua"/>
        </w:rPr>
        <w:t>acts of sexual intercourse.</w:t>
      </w:r>
      <w:r w:rsidR="00B7411D">
        <w:rPr>
          <w:rFonts w:ascii="Book Antiqua" w:hAnsi="Book Antiqua"/>
        </w:rPr>
        <w:t xml:space="preserve"> However, as was correctly noted by the court </w:t>
      </w:r>
      <w:r w:rsidR="00B7411D">
        <w:rPr>
          <w:rFonts w:ascii="Book Antiqua" w:hAnsi="Book Antiqua"/>
          <w:i/>
        </w:rPr>
        <w:t>a quo</w:t>
      </w:r>
      <w:r w:rsidR="00B7411D">
        <w:rPr>
          <w:rFonts w:ascii="Book Antiqua" w:hAnsi="Book Antiqua"/>
        </w:rPr>
        <w:t>, the magistrate’s reference to these cases was designed to show that the complainants were not freely consenting individuals. His misquotation did not go to the root of the convictions and does not, in my view, constitute a fatal misdirection.</w:t>
      </w:r>
    </w:p>
    <w:p w:rsidR="00F5380B" w:rsidRDefault="00F5380B" w:rsidP="007F4B36">
      <w:pPr>
        <w:spacing w:line="480" w:lineRule="auto"/>
        <w:jc w:val="both"/>
        <w:rPr>
          <w:rFonts w:ascii="Book Antiqua" w:hAnsi="Book Antiqua"/>
        </w:rPr>
      </w:pPr>
    </w:p>
    <w:p w:rsidR="00F5380B" w:rsidRDefault="00F5380B" w:rsidP="007F4B36">
      <w:pPr>
        <w:spacing w:line="480" w:lineRule="auto"/>
        <w:jc w:val="both"/>
        <w:rPr>
          <w:rFonts w:ascii="Book Antiqua" w:hAnsi="Book Antiqua"/>
        </w:rPr>
      </w:pPr>
      <w:r>
        <w:rPr>
          <w:rFonts w:ascii="Book Antiqua" w:hAnsi="Book Antiqua"/>
        </w:rPr>
        <w:tab/>
        <w:t xml:space="preserve">In the court </w:t>
      </w:r>
      <w:r>
        <w:rPr>
          <w:rFonts w:ascii="Book Antiqua" w:hAnsi="Book Antiqua"/>
          <w:i/>
        </w:rPr>
        <w:t>a quo</w:t>
      </w:r>
      <w:r>
        <w:rPr>
          <w:rFonts w:ascii="Book Antiqua" w:hAnsi="Book Antiqua"/>
        </w:rPr>
        <w:t>, the learned judge elaborated “the subjective nature of religious dogma” in more cogent terms. To paraphrase and summarise</w:t>
      </w:r>
      <w:r w:rsidR="00C83129">
        <w:rPr>
          <w:rFonts w:ascii="Book Antiqua" w:hAnsi="Book Antiqua"/>
        </w:rPr>
        <w:t xml:space="preserve"> his findings</w:t>
      </w:r>
      <w:r>
        <w:rPr>
          <w:rFonts w:ascii="Book Antiqua" w:hAnsi="Book Antiqua"/>
        </w:rPr>
        <w:t>, the complainants were subjected to frequent indoctrination in the notions of total separation and submission to authority. They were not allowed to fraternise with their relatives and were conditioned to believe that matters of church should not be discussed with outsiders. The appellant displayed a pattern of predatory behaviour, characterised by rampant sexual perversion, manipulating and luring the complainants to accept and endure his deceptively benign patriarchal authority.</w:t>
      </w:r>
    </w:p>
    <w:p w:rsidR="0017788C" w:rsidRDefault="0017788C" w:rsidP="007F4B36">
      <w:pPr>
        <w:spacing w:line="480" w:lineRule="auto"/>
        <w:jc w:val="both"/>
        <w:rPr>
          <w:rFonts w:ascii="Book Antiqua" w:hAnsi="Book Antiqua"/>
        </w:rPr>
      </w:pPr>
    </w:p>
    <w:p w:rsidR="0017788C" w:rsidRDefault="0017788C" w:rsidP="007F4B36">
      <w:pPr>
        <w:spacing w:line="480" w:lineRule="auto"/>
        <w:jc w:val="both"/>
        <w:rPr>
          <w:rFonts w:ascii="Book Antiqua" w:hAnsi="Book Antiqua"/>
        </w:rPr>
      </w:pPr>
      <w:r>
        <w:rPr>
          <w:rFonts w:ascii="Book Antiqua" w:hAnsi="Book Antiqua"/>
        </w:rPr>
        <w:tab/>
        <w:t xml:space="preserve">As was eloquently observed by Justice Douglas in </w:t>
      </w:r>
      <w:r>
        <w:rPr>
          <w:rFonts w:ascii="Book Antiqua" w:hAnsi="Book Antiqua"/>
          <w:i/>
        </w:rPr>
        <w:t>United States</w:t>
      </w:r>
      <w:r>
        <w:rPr>
          <w:rFonts w:ascii="Book Antiqua" w:hAnsi="Book Antiqua"/>
        </w:rPr>
        <w:t xml:space="preserve"> v </w:t>
      </w:r>
      <w:r>
        <w:rPr>
          <w:rFonts w:ascii="Book Antiqua" w:hAnsi="Book Antiqua"/>
          <w:i/>
        </w:rPr>
        <w:t>Ballard</w:t>
      </w:r>
      <w:r>
        <w:rPr>
          <w:rFonts w:ascii="Book Antiqua" w:hAnsi="Book Antiqua"/>
        </w:rPr>
        <w:t xml:space="preserve"> 322 US 78 (1944) – quoted by both of the courts below – religious doctrines and </w:t>
      </w:r>
      <w:r>
        <w:rPr>
          <w:rFonts w:ascii="Book Antiqua" w:hAnsi="Book Antiqua"/>
        </w:rPr>
        <w:lastRenderedPageBreak/>
        <w:t xml:space="preserve">beliefs cannot be subjected to the rigours of legal proof. I would take this sentiment further to opine, in the circumstances presented by this case, that the </w:t>
      </w:r>
      <w:r w:rsidR="00713ED8">
        <w:rPr>
          <w:rFonts w:ascii="Book Antiqua" w:hAnsi="Book Antiqua"/>
        </w:rPr>
        <w:t>quasi-</w:t>
      </w:r>
      <w:r w:rsidR="004B08A8">
        <w:rPr>
          <w:rFonts w:ascii="Book Antiqua" w:hAnsi="Book Antiqua"/>
        </w:rPr>
        <w:t xml:space="preserve">mystical </w:t>
      </w:r>
      <w:r>
        <w:rPr>
          <w:rFonts w:ascii="Book Antiqua" w:hAnsi="Book Antiqua"/>
        </w:rPr>
        <w:t xml:space="preserve">force of religious dogma might overwhelm its conscripts and devotees to the point where it operates to vitiate and negate any meaningful </w:t>
      </w:r>
      <w:r w:rsidR="004B08A8">
        <w:rPr>
          <w:rFonts w:ascii="Book Antiqua" w:hAnsi="Book Antiqua"/>
        </w:rPr>
        <w:t xml:space="preserve">consent to sexual abuse and exploitation by their spiritual </w:t>
      </w:r>
      <w:r w:rsidR="00E71B1C">
        <w:rPr>
          <w:rFonts w:ascii="Book Antiqua" w:hAnsi="Book Antiqua"/>
        </w:rPr>
        <w:t>masters.</w:t>
      </w:r>
    </w:p>
    <w:p w:rsidR="00D52E43" w:rsidRDefault="00D52E43" w:rsidP="007F4B36">
      <w:pPr>
        <w:spacing w:line="480" w:lineRule="auto"/>
        <w:jc w:val="both"/>
        <w:rPr>
          <w:rFonts w:ascii="Book Antiqua" w:hAnsi="Book Antiqua"/>
        </w:rPr>
      </w:pPr>
    </w:p>
    <w:p w:rsidR="00D52E43" w:rsidRDefault="00D52E43" w:rsidP="007F4B36">
      <w:pPr>
        <w:spacing w:line="480" w:lineRule="auto"/>
        <w:jc w:val="both"/>
        <w:rPr>
          <w:rFonts w:ascii="Book Antiqua" w:hAnsi="Book Antiqua"/>
        </w:rPr>
      </w:pPr>
      <w:r>
        <w:rPr>
          <w:rFonts w:ascii="Book Antiqua" w:hAnsi="Book Antiqua"/>
        </w:rPr>
        <w:tab/>
        <w:t xml:space="preserve">Taking a broad conspectus of the facts and probabilities </w:t>
      </w:r>
      <w:r>
        <w:rPr>
          <w:rFonts w:ascii="Book Antiqua" w:hAnsi="Book Antiqua"/>
          <w:i/>
        </w:rPr>
        <w:t xml:space="preserve">in </w:t>
      </w:r>
      <w:proofErr w:type="spellStart"/>
      <w:r>
        <w:rPr>
          <w:rFonts w:ascii="Book Antiqua" w:hAnsi="Book Antiqua"/>
          <w:i/>
        </w:rPr>
        <w:t>casu</w:t>
      </w:r>
      <w:proofErr w:type="spellEnd"/>
      <w:r>
        <w:rPr>
          <w:rFonts w:ascii="Book Antiqua" w:hAnsi="Book Antiqua"/>
        </w:rPr>
        <w:t>, it appears to me that the complainants, having been enmeshed within the overpowering cocoon woven by the appellant, unwi</w:t>
      </w:r>
      <w:r w:rsidR="00E71B1C">
        <w:rPr>
          <w:rFonts w:ascii="Book Antiqua" w:hAnsi="Book Antiqua"/>
        </w:rPr>
        <w:t>tt</w:t>
      </w:r>
      <w:r>
        <w:rPr>
          <w:rFonts w:ascii="Book Antiqua" w:hAnsi="Book Antiqua"/>
        </w:rPr>
        <w:t xml:space="preserve">ingly succumbed to his sexual advances and predations. Thereafter, </w:t>
      </w:r>
      <w:r w:rsidR="00713ED8">
        <w:rPr>
          <w:rFonts w:ascii="Book Antiqua" w:hAnsi="Book Antiqua"/>
        </w:rPr>
        <w:t xml:space="preserve">constrained by fear and misconception, </w:t>
      </w:r>
      <w:r>
        <w:rPr>
          <w:rFonts w:ascii="Book Antiqua" w:hAnsi="Book Antiqua"/>
        </w:rPr>
        <w:t>they remained taciturn for several years</w:t>
      </w:r>
      <w:r w:rsidR="00713ED8">
        <w:rPr>
          <w:rFonts w:ascii="Book Antiqua" w:hAnsi="Book Antiqua"/>
        </w:rPr>
        <w:t xml:space="preserve"> and only reported their respective ordeals after appreciating the full nature of their sexual bondage.</w:t>
      </w:r>
    </w:p>
    <w:p w:rsidR="00713ED8" w:rsidRDefault="00713ED8" w:rsidP="007F4B36">
      <w:pPr>
        <w:spacing w:line="480" w:lineRule="auto"/>
        <w:jc w:val="both"/>
        <w:rPr>
          <w:rFonts w:ascii="Book Antiqua" w:hAnsi="Book Antiqua"/>
        </w:rPr>
      </w:pPr>
    </w:p>
    <w:p w:rsidR="003A7A56" w:rsidRDefault="00713ED8" w:rsidP="007F4B36">
      <w:pPr>
        <w:spacing w:line="480" w:lineRule="auto"/>
        <w:jc w:val="both"/>
        <w:rPr>
          <w:rFonts w:ascii="Book Antiqua" w:hAnsi="Book Antiqua"/>
        </w:rPr>
      </w:pPr>
      <w:r>
        <w:rPr>
          <w:rFonts w:ascii="Book Antiqua" w:hAnsi="Book Antiqua"/>
        </w:rPr>
        <w:tab/>
      </w:r>
      <w:r w:rsidR="00D52E43">
        <w:rPr>
          <w:rFonts w:ascii="Book Antiqua" w:hAnsi="Book Antiqua"/>
        </w:rPr>
        <w:t>To sum up, it must be accepted that there are certain deficiencies in the State case. Nevertheless,</w:t>
      </w:r>
      <w:r>
        <w:rPr>
          <w:rFonts w:ascii="Book Antiqua" w:hAnsi="Book Antiqua"/>
        </w:rPr>
        <w:t xml:space="preserve"> I take the view that none of the grounds of appeal raised in this case is</w:t>
      </w:r>
      <w:r w:rsidR="00E71B1C">
        <w:rPr>
          <w:rFonts w:ascii="Book Antiqua" w:hAnsi="Book Antiqua"/>
        </w:rPr>
        <w:t xml:space="preserve"> entirely</w:t>
      </w:r>
      <w:r>
        <w:rPr>
          <w:rFonts w:ascii="Book Antiqua" w:hAnsi="Book Antiqua"/>
        </w:rPr>
        <w:t xml:space="preserve"> sustainable. Apart from the conviction on the second charge pertaining to </w:t>
      </w:r>
      <w:proofErr w:type="spellStart"/>
      <w:r>
        <w:rPr>
          <w:rFonts w:ascii="Book Antiqua" w:hAnsi="Book Antiqua"/>
        </w:rPr>
        <w:t>Hazvinei</w:t>
      </w:r>
      <w:proofErr w:type="spellEnd"/>
      <w:r>
        <w:rPr>
          <w:rFonts w:ascii="Book Antiqua" w:hAnsi="Book Antiqua"/>
        </w:rPr>
        <w:t xml:space="preserve"> (count 9) and the sentence imposed in respe</w:t>
      </w:r>
      <w:r w:rsidR="00E71B1C">
        <w:rPr>
          <w:rFonts w:ascii="Book Antiqua" w:hAnsi="Book Antiqua"/>
        </w:rPr>
        <w:t>ct of the possession of obscene</w:t>
      </w:r>
      <w:r>
        <w:rPr>
          <w:rFonts w:ascii="Book Antiqua" w:hAnsi="Book Antiqua"/>
        </w:rPr>
        <w:t xml:space="preserve"> materials (count 10), I am satisfied that the appellant has no prospects of success on appeal and that his appeal is doomed to failure. In that event, he will remain subject to a prison term totalling 40 years, with a period to be determined suspended on condition of good behaviour.</w:t>
      </w:r>
    </w:p>
    <w:p w:rsidR="00713ED8" w:rsidRDefault="00713ED8" w:rsidP="007F4B36">
      <w:pPr>
        <w:spacing w:line="480" w:lineRule="auto"/>
        <w:jc w:val="both"/>
        <w:rPr>
          <w:rFonts w:ascii="Book Antiqua" w:hAnsi="Book Antiqua"/>
        </w:rPr>
      </w:pPr>
    </w:p>
    <w:p w:rsidR="00713ED8" w:rsidRDefault="00713ED8" w:rsidP="007F4B36">
      <w:pPr>
        <w:spacing w:line="480" w:lineRule="auto"/>
        <w:jc w:val="both"/>
        <w:rPr>
          <w:rFonts w:ascii="Book Antiqua" w:hAnsi="Book Antiqua"/>
        </w:rPr>
      </w:pPr>
      <w:r>
        <w:rPr>
          <w:rFonts w:ascii="Book Antiqua" w:hAnsi="Book Antiqua"/>
        </w:rPr>
        <w:lastRenderedPageBreak/>
        <w:tab/>
        <w:t xml:space="preserve">The above conclusion does not necessarily end the matter. </w:t>
      </w:r>
      <w:r w:rsidR="00A61352">
        <w:rPr>
          <w:rFonts w:ascii="Book Antiqua" w:hAnsi="Book Antiqua"/>
        </w:rPr>
        <w:t xml:space="preserve">An issue that was raised in the court </w:t>
      </w:r>
      <w:r w:rsidR="00A61352">
        <w:rPr>
          <w:rFonts w:ascii="Book Antiqua" w:hAnsi="Book Antiqua"/>
          <w:i/>
        </w:rPr>
        <w:t>a quo</w:t>
      </w:r>
      <w:r w:rsidR="00A61352">
        <w:rPr>
          <w:rFonts w:ascii="Book Antiqua" w:hAnsi="Book Antiqua"/>
        </w:rPr>
        <w:t xml:space="preserve"> but not addressed in its judgment is the possibility of the appellant absconding in the event of being granted bail. I think it appropriate to deal with this aspect for the sake of completeness.</w:t>
      </w:r>
    </w:p>
    <w:p w:rsidR="00A9391E" w:rsidRDefault="00A9391E" w:rsidP="007F4B36">
      <w:pPr>
        <w:spacing w:line="480" w:lineRule="auto"/>
        <w:jc w:val="both"/>
        <w:rPr>
          <w:rFonts w:ascii="Book Antiqua" w:hAnsi="Book Antiqua"/>
        </w:rPr>
      </w:pPr>
    </w:p>
    <w:p w:rsidR="00713ED8" w:rsidRDefault="00A9391E" w:rsidP="007F4B36">
      <w:pPr>
        <w:spacing w:line="480" w:lineRule="auto"/>
        <w:jc w:val="both"/>
        <w:rPr>
          <w:rFonts w:ascii="Book Antiqua" w:hAnsi="Book Antiqua"/>
        </w:rPr>
      </w:pPr>
      <w:r>
        <w:rPr>
          <w:rFonts w:ascii="Book Antiqua" w:hAnsi="Book Antiqua"/>
        </w:rPr>
        <w:tab/>
        <w:t xml:space="preserve">Mr </w:t>
      </w:r>
      <w:proofErr w:type="spellStart"/>
      <w:r>
        <w:rPr>
          <w:rFonts w:ascii="Book Antiqua" w:hAnsi="Book Antiqua"/>
          <w:i/>
        </w:rPr>
        <w:t>Magwaliba</w:t>
      </w:r>
      <w:proofErr w:type="spellEnd"/>
      <w:r>
        <w:rPr>
          <w:rFonts w:ascii="Book Antiqua" w:hAnsi="Book Antiqua"/>
        </w:rPr>
        <w:t xml:space="preserve"> submits that the appellant is unlikely to abscond because he has huge family responsibilities. Moreover, he is prepared to offer his main residence as security for bail. Mr </w:t>
      </w:r>
      <w:proofErr w:type="spellStart"/>
      <w:r>
        <w:rPr>
          <w:rFonts w:ascii="Book Antiqua" w:hAnsi="Book Antiqua"/>
          <w:i/>
        </w:rPr>
        <w:t>Mavuto</w:t>
      </w:r>
      <w:proofErr w:type="spellEnd"/>
      <w:r>
        <w:rPr>
          <w:rFonts w:ascii="Book Antiqua" w:hAnsi="Book Antiqua"/>
        </w:rPr>
        <w:t xml:space="preserve"> counters that the appellant </w:t>
      </w:r>
      <w:r w:rsidR="00C8300E">
        <w:rPr>
          <w:rFonts w:ascii="Book Antiqua" w:hAnsi="Book Antiqua"/>
        </w:rPr>
        <w:t>will be induced</w:t>
      </w:r>
      <w:r>
        <w:rPr>
          <w:rFonts w:ascii="Book Antiqua" w:hAnsi="Book Antiqua"/>
        </w:rPr>
        <w:t xml:space="preserve"> to abscond </w:t>
      </w:r>
      <w:r w:rsidR="00A460F6">
        <w:rPr>
          <w:rFonts w:ascii="Book Antiqua" w:hAnsi="Book Antiqua"/>
        </w:rPr>
        <w:t>by the presence of</w:t>
      </w:r>
      <w:r>
        <w:rPr>
          <w:rFonts w:ascii="Book Antiqua" w:hAnsi="Book Antiqua"/>
        </w:rPr>
        <w:t xml:space="preserve"> another charge of rape that is pending against him and</w:t>
      </w:r>
      <w:r w:rsidR="00C8300E">
        <w:rPr>
          <w:rFonts w:ascii="Book Antiqua" w:hAnsi="Book Antiqua"/>
        </w:rPr>
        <w:t xml:space="preserve"> because of </w:t>
      </w:r>
      <w:r>
        <w:rPr>
          <w:rFonts w:ascii="Book Antiqua" w:hAnsi="Book Antiqua"/>
        </w:rPr>
        <w:t xml:space="preserve">the </w:t>
      </w:r>
      <w:r w:rsidR="00C8300E">
        <w:rPr>
          <w:rFonts w:ascii="Book Antiqua" w:hAnsi="Book Antiqua"/>
        </w:rPr>
        <w:t>40 years sentence</w:t>
      </w:r>
      <w:r>
        <w:rPr>
          <w:rFonts w:ascii="Book Antiqua" w:hAnsi="Book Antiqua"/>
        </w:rPr>
        <w:t xml:space="preserve"> imposed i</w:t>
      </w:r>
      <w:r w:rsidR="00C8300E">
        <w:rPr>
          <w:rFonts w:ascii="Book Antiqua" w:hAnsi="Book Antiqua"/>
        </w:rPr>
        <w:t xml:space="preserve">n respect of </w:t>
      </w:r>
      <w:r w:rsidR="00A460F6">
        <w:rPr>
          <w:rFonts w:ascii="Book Antiqua" w:hAnsi="Book Antiqua"/>
        </w:rPr>
        <w:t xml:space="preserve">counts </w:t>
      </w:r>
      <w:r w:rsidR="00C8300E">
        <w:rPr>
          <w:rFonts w:ascii="Book Antiqua" w:hAnsi="Book Antiqua"/>
        </w:rPr>
        <w:t>3, 7, 8 and 10. I note that the pending charge arises from the same period but was deferred because the complainant in that matter had fallen pregnant. In any event, the appellant has denied that charge.</w:t>
      </w:r>
    </w:p>
    <w:p w:rsidR="00C8300E" w:rsidRDefault="00C8300E" w:rsidP="007F4B36">
      <w:pPr>
        <w:spacing w:line="480" w:lineRule="auto"/>
        <w:jc w:val="both"/>
        <w:rPr>
          <w:rFonts w:ascii="Book Antiqua" w:hAnsi="Book Antiqua"/>
        </w:rPr>
      </w:pPr>
    </w:p>
    <w:p w:rsidR="00C8300E" w:rsidRDefault="00C8300E" w:rsidP="007F4B36">
      <w:pPr>
        <w:spacing w:line="480" w:lineRule="auto"/>
        <w:jc w:val="both"/>
        <w:rPr>
          <w:rFonts w:ascii="Book Antiqua" w:hAnsi="Book Antiqua"/>
        </w:rPr>
      </w:pPr>
      <w:r>
        <w:rPr>
          <w:rFonts w:ascii="Book Antiqua" w:hAnsi="Book Antiqua"/>
        </w:rPr>
        <w:tab/>
        <w:t xml:space="preserve">As was highlighted in </w:t>
      </w:r>
      <w:proofErr w:type="spellStart"/>
      <w:r>
        <w:rPr>
          <w:rFonts w:ascii="Book Antiqua" w:hAnsi="Book Antiqua"/>
          <w:i/>
        </w:rPr>
        <w:t>Manyange</w:t>
      </w:r>
      <w:proofErr w:type="spellEnd"/>
      <w:r>
        <w:rPr>
          <w:rFonts w:ascii="Book Antiqua" w:hAnsi="Book Antiqua"/>
        </w:rPr>
        <w:t xml:space="preserve"> </w:t>
      </w:r>
      <w:r w:rsidR="00E97785">
        <w:rPr>
          <w:rFonts w:ascii="Book Antiqua" w:hAnsi="Book Antiqua"/>
        </w:rPr>
        <w:t xml:space="preserve">v </w:t>
      </w:r>
      <w:r w:rsidR="00E97785">
        <w:rPr>
          <w:rFonts w:ascii="Book Antiqua" w:hAnsi="Book Antiqua"/>
          <w:i/>
        </w:rPr>
        <w:t xml:space="preserve">The State </w:t>
      </w:r>
      <w:r>
        <w:rPr>
          <w:rFonts w:ascii="Book Antiqua" w:hAnsi="Book Antiqua"/>
        </w:rPr>
        <w:t>HH 1-2003, there is a clear distinction between the principles governing the grant of bail pending trial and those relating to bail pending appeal.</w:t>
      </w:r>
      <w:r w:rsidR="006046D4">
        <w:rPr>
          <w:rFonts w:ascii="Book Antiqua" w:hAnsi="Book Antiqua"/>
        </w:rPr>
        <w:t xml:space="preserve"> </w:t>
      </w:r>
      <w:r w:rsidR="001B3F87">
        <w:rPr>
          <w:rFonts w:ascii="Book Antiqua" w:hAnsi="Book Antiqua"/>
        </w:rPr>
        <w:t xml:space="preserve">In the former situation, the presumption of innocence, </w:t>
      </w:r>
      <w:r w:rsidR="006046D4">
        <w:rPr>
          <w:rFonts w:ascii="Book Antiqua" w:hAnsi="Book Antiqua"/>
        </w:rPr>
        <w:t xml:space="preserve">which resides within the constitutionally guaranteed right to </w:t>
      </w:r>
      <w:r w:rsidR="00A460F6">
        <w:rPr>
          <w:rFonts w:ascii="Book Antiqua" w:hAnsi="Book Antiqua"/>
        </w:rPr>
        <w:t>liberty,</w:t>
      </w:r>
      <w:r w:rsidR="006046D4">
        <w:rPr>
          <w:rFonts w:ascii="Book Antiqua" w:hAnsi="Book Antiqua"/>
        </w:rPr>
        <w:t xml:space="preserve"> operates in favour of granting bail unless there are positive reasons for refusal. In the latter situation, on the other hand, the presumption of innocence is inoperative because the accused is a convicted and sentenced offender. The accused must go further than showing that he has prospects of success on </w:t>
      </w:r>
      <w:r w:rsidR="006046D4">
        <w:rPr>
          <w:rFonts w:ascii="Book Antiqua" w:hAnsi="Book Antiqua"/>
        </w:rPr>
        <w:lastRenderedPageBreak/>
        <w:t xml:space="preserve">appeal. He must establish that there are positive grounds for granting bail and that the grant will not endanger the interests of justice. In this regard, </w:t>
      </w:r>
      <w:r w:rsidR="00616380">
        <w:rPr>
          <w:rFonts w:ascii="Book Antiqua" w:hAnsi="Book Antiqua"/>
        </w:rPr>
        <w:t xml:space="preserve">the public perception is an integral factor to be taken into account. Where the grant of bail would result in a public outcry, the courts should be slow to grant bail in order to safeguard the integrity of the justice delivery system. See </w:t>
      </w:r>
      <w:r w:rsidR="00616380">
        <w:rPr>
          <w:rFonts w:ascii="Book Antiqua" w:hAnsi="Book Antiqua"/>
          <w:i/>
        </w:rPr>
        <w:t>Gardner</w:t>
      </w:r>
      <w:r w:rsidR="00616380">
        <w:rPr>
          <w:rFonts w:ascii="Book Antiqua" w:hAnsi="Book Antiqua"/>
        </w:rPr>
        <w:t xml:space="preserve"> </w:t>
      </w:r>
      <w:r w:rsidR="00E97785">
        <w:rPr>
          <w:rFonts w:ascii="Book Antiqua" w:hAnsi="Book Antiqua"/>
        </w:rPr>
        <w:t xml:space="preserve">v </w:t>
      </w:r>
      <w:r w:rsidR="00E97785">
        <w:rPr>
          <w:rFonts w:ascii="Book Antiqua" w:hAnsi="Book Antiqua"/>
          <w:i/>
        </w:rPr>
        <w:t>The State</w:t>
      </w:r>
      <w:r w:rsidR="00E97785">
        <w:rPr>
          <w:rFonts w:ascii="Book Antiqua" w:hAnsi="Book Antiqua"/>
        </w:rPr>
        <w:t xml:space="preserve"> </w:t>
      </w:r>
      <w:r w:rsidR="00616380">
        <w:rPr>
          <w:rFonts w:ascii="Book Antiqua" w:hAnsi="Book Antiqua"/>
        </w:rPr>
        <w:t>HH 60-2008.</w:t>
      </w:r>
    </w:p>
    <w:p w:rsidR="00227061" w:rsidRDefault="00227061" w:rsidP="007F4B36">
      <w:pPr>
        <w:spacing w:line="480" w:lineRule="auto"/>
        <w:jc w:val="both"/>
        <w:rPr>
          <w:rFonts w:ascii="Book Antiqua" w:hAnsi="Book Antiqua"/>
        </w:rPr>
      </w:pPr>
    </w:p>
    <w:p w:rsidR="00227061" w:rsidRDefault="00227061" w:rsidP="007F4B36">
      <w:pPr>
        <w:spacing w:line="480" w:lineRule="auto"/>
        <w:jc w:val="both"/>
        <w:rPr>
          <w:rFonts w:ascii="Book Antiqua" w:hAnsi="Book Antiqua"/>
        </w:rPr>
      </w:pPr>
      <w:r>
        <w:rPr>
          <w:rFonts w:ascii="Book Antiqua" w:hAnsi="Book Antiqua"/>
        </w:rPr>
        <w:tab/>
        <w:t xml:space="preserve">The possibility of public outrage is something that I am not in </w:t>
      </w:r>
      <w:r w:rsidR="000D1A5D">
        <w:rPr>
          <w:rFonts w:ascii="Book Antiqua" w:hAnsi="Book Antiqua"/>
        </w:rPr>
        <w:t>a</w:t>
      </w:r>
      <w:r>
        <w:rPr>
          <w:rFonts w:ascii="Book Antiqua" w:hAnsi="Book Antiqua"/>
        </w:rPr>
        <w:t xml:space="preserve"> position to assess without </w:t>
      </w:r>
      <w:r w:rsidR="000D1A5D">
        <w:rPr>
          <w:rFonts w:ascii="Book Antiqua" w:hAnsi="Book Antiqua"/>
        </w:rPr>
        <w:t xml:space="preserve">any </w:t>
      </w:r>
      <w:r>
        <w:rPr>
          <w:rFonts w:ascii="Book Antiqua" w:hAnsi="Book Antiqua"/>
        </w:rPr>
        <w:t xml:space="preserve">compelling evidence in that regard. What is more significant </w:t>
      </w:r>
      <w:r w:rsidR="000D1A5D">
        <w:rPr>
          <w:rFonts w:ascii="Book Antiqua" w:hAnsi="Book Antiqua"/>
          <w:i/>
        </w:rPr>
        <w:t xml:space="preserve">in </w:t>
      </w:r>
      <w:proofErr w:type="spellStart"/>
      <w:r w:rsidR="000D1A5D">
        <w:rPr>
          <w:rFonts w:ascii="Book Antiqua" w:hAnsi="Book Antiqua"/>
          <w:i/>
        </w:rPr>
        <w:t>casu</w:t>
      </w:r>
      <w:proofErr w:type="spellEnd"/>
      <w:r w:rsidR="000D1A5D">
        <w:rPr>
          <w:rFonts w:ascii="Book Antiqua" w:hAnsi="Book Antiqua"/>
        </w:rPr>
        <w:t xml:space="preserve"> </w:t>
      </w:r>
      <w:r>
        <w:rPr>
          <w:rFonts w:ascii="Book Antiqua" w:hAnsi="Book Antiqua"/>
        </w:rPr>
        <w:t>is that the appellant has not proffered any positive grounds for allowing him to proceed on bail. The existence of a huge familial entourage, comprising 11 wives and 32 children</w:t>
      </w:r>
      <w:r w:rsidR="00945D07">
        <w:rPr>
          <w:rFonts w:ascii="Book Antiqua" w:hAnsi="Book Antiqua"/>
        </w:rPr>
        <w:t xml:space="preserve">, is a condition of his own making and does not really advance his claim to bail. Moreover, he has failed to satisfactorily demonstrate his prospects of success on appeal. Apart from this, there is nothing else to commend his right to liberty. In my view, the prospect of a protracted prison term, coupled with his fresh experience of post-trial incarceration, affords abundant </w:t>
      </w:r>
      <w:r w:rsidR="000D1A5D">
        <w:rPr>
          <w:rFonts w:ascii="Book Antiqua" w:hAnsi="Book Antiqua"/>
        </w:rPr>
        <w:t xml:space="preserve">incentive </w:t>
      </w:r>
      <w:r w:rsidR="00945D07">
        <w:rPr>
          <w:rFonts w:ascii="Book Antiqua" w:hAnsi="Book Antiqua"/>
        </w:rPr>
        <w:t>for him to abscond. In all the circumstances, I am amply satisfied that the appellant is not a good candidate for bail.</w:t>
      </w:r>
    </w:p>
    <w:p w:rsidR="00A20BAE" w:rsidRDefault="00A20BAE" w:rsidP="007F4B36">
      <w:pPr>
        <w:spacing w:line="480" w:lineRule="auto"/>
        <w:jc w:val="both"/>
        <w:rPr>
          <w:rFonts w:ascii="Book Antiqua" w:hAnsi="Book Antiqua"/>
        </w:rPr>
      </w:pPr>
    </w:p>
    <w:p w:rsidR="00A20BAE" w:rsidRPr="00616380" w:rsidRDefault="000D1A5D" w:rsidP="007F4B36">
      <w:pPr>
        <w:spacing w:line="480" w:lineRule="auto"/>
        <w:jc w:val="both"/>
        <w:rPr>
          <w:rFonts w:ascii="Book Antiqua" w:hAnsi="Book Antiqua"/>
        </w:rPr>
      </w:pPr>
      <w:r>
        <w:rPr>
          <w:rFonts w:ascii="Book Antiqua" w:hAnsi="Book Antiqua"/>
        </w:rPr>
        <w:tab/>
        <w:t xml:space="preserve">For all of the </w:t>
      </w:r>
      <w:r w:rsidR="00A20BAE">
        <w:rPr>
          <w:rFonts w:ascii="Book Antiqua" w:hAnsi="Book Antiqua"/>
        </w:rPr>
        <w:t>foregoing reasons, the appeal must fail and it is accordingly dismissed.</w:t>
      </w:r>
    </w:p>
    <w:p w:rsidR="003A7A56" w:rsidRDefault="003A7A56" w:rsidP="007F4B36">
      <w:pPr>
        <w:spacing w:line="480" w:lineRule="auto"/>
        <w:jc w:val="both"/>
        <w:rPr>
          <w:rFonts w:ascii="Book Antiqua" w:hAnsi="Book Antiqua"/>
        </w:rPr>
      </w:pPr>
    </w:p>
    <w:p w:rsidR="003E0F83" w:rsidRPr="00272765" w:rsidRDefault="00684753" w:rsidP="00412229">
      <w:pPr>
        <w:spacing w:line="360" w:lineRule="auto"/>
        <w:jc w:val="both"/>
        <w:rPr>
          <w:rFonts w:ascii="Book Antiqua" w:hAnsi="Book Antiqua"/>
        </w:rPr>
      </w:pPr>
      <w:proofErr w:type="spellStart"/>
      <w:r>
        <w:rPr>
          <w:rFonts w:ascii="Book Antiqua" w:hAnsi="Book Antiqua"/>
          <w:i/>
        </w:rPr>
        <w:lastRenderedPageBreak/>
        <w:t>Nyikadzino</w:t>
      </w:r>
      <w:proofErr w:type="spellEnd"/>
      <w:r>
        <w:rPr>
          <w:rFonts w:ascii="Book Antiqua" w:hAnsi="Book Antiqua"/>
          <w:i/>
        </w:rPr>
        <w:t xml:space="preserve">, </w:t>
      </w:r>
      <w:proofErr w:type="spellStart"/>
      <w:r>
        <w:rPr>
          <w:rFonts w:ascii="Book Antiqua" w:hAnsi="Book Antiqua"/>
          <w:i/>
        </w:rPr>
        <w:t>Simango</w:t>
      </w:r>
      <w:proofErr w:type="spellEnd"/>
      <w:r>
        <w:rPr>
          <w:rFonts w:ascii="Book Antiqua" w:hAnsi="Book Antiqua"/>
          <w:i/>
        </w:rPr>
        <w:t xml:space="preserve"> &amp; Associates</w:t>
      </w:r>
      <w:r w:rsidR="00F1235E" w:rsidRPr="00272765">
        <w:rPr>
          <w:rFonts w:ascii="Book Antiqua" w:hAnsi="Book Antiqua"/>
        </w:rPr>
        <w:t xml:space="preserve">, appellant’s </w:t>
      </w:r>
      <w:r w:rsidR="00F7784D" w:rsidRPr="00272765">
        <w:rPr>
          <w:rFonts w:ascii="Book Antiqua" w:hAnsi="Book Antiqua"/>
        </w:rPr>
        <w:t>l</w:t>
      </w:r>
      <w:r w:rsidR="00F1235E" w:rsidRPr="00272765">
        <w:rPr>
          <w:rFonts w:ascii="Book Antiqua" w:hAnsi="Book Antiqua"/>
        </w:rPr>
        <w:t xml:space="preserve">egal </w:t>
      </w:r>
      <w:r w:rsidR="00F7784D" w:rsidRPr="00272765">
        <w:rPr>
          <w:rFonts w:ascii="Book Antiqua" w:hAnsi="Book Antiqua"/>
        </w:rPr>
        <w:t>p</w:t>
      </w:r>
      <w:r w:rsidR="00F1235E" w:rsidRPr="00272765">
        <w:rPr>
          <w:rFonts w:ascii="Book Antiqua" w:hAnsi="Book Antiqua"/>
        </w:rPr>
        <w:t>ractitioners</w:t>
      </w:r>
    </w:p>
    <w:p w:rsidR="003E0F83" w:rsidRPr="00272765" w:rsidRDefault="00684753" w:rsidP="00412229">
      <w:pPr>
        <w:spacing w:line="360" w:lineRule="auto"/>
        <w:jc w:val="both"/>
        <w:rPr>
          <w:rFonts w:ascii="Book Antiqua" w:hAnsi="Book Antiqua"/>
        </w:rPr>
      </w:pPr>
      <w:r>
        <w:rPr>
          <w:rFonts w:ascii="Book Antiqua" w:hAnsi="Book Antiqua"/>
          <w:i/>
        </w:rPr>
        <w:t>Prosecutor-General’s Office</w:t>
      </w:r>
      <w:r w:rsidR="00E81D67" w:rsidRPr="00272765">
        <w:rPr>
          <w:rFonts w:ascii="Book Antiqua" w:hAnsi="Book Antiqua"/>
        </w:rPr>
        <w:t xml:space="preserve">, respondent’s </w:t>
      </w:r>
      <w:r w:rsidR="00F7784D" w:rsidRPr="00272765">
        <w:rPr>
          <w:rFonts w:ascii="Book Antiqua" w:hAnsi="Book Antiqua"/>
        </w:rPr>
        <w:t>l</w:t>
      </w:r>
      <w:r w:rsidR="00E81D67" w:rsidRPr="00272765">
        <w:rPr>
          <w:rFonts w:ascii="Book Antiqua" w:hAnsi="Book Antiqua"/>
        </w:rPr>
        <w:t xml:space="preserve">egal </w:t>
      </w:r>
      <w:r w:rsidR="00F7784D" w:rsidRPr="00272765">
        <w:rPr>
          <w:rFonts w:ascii="Book Antiqua" w:hAnsi="Book Antiqua"/>
        </w:rPr>
        <w:t>p</w:t>
      </w:r>
      <w:r w:rsidR="00E81D67" w:rsidRPr="00272765">
        <w:rPr>
          <w:rFonts w:ascii="Book Antiqua" w:hAnsi="Book Antiqua"/>
        </w:rPr>
        <w:t>ractitioners</w:t>
      </w:r>
      <w:r w:rsidR="00DA5BA9">
        <w:rPr>
          <w:rFonts w:ascii="Book Antiqua" w:hAnsi="Book Antiqua"/>
        </w:rPr>
        <w:t xml:space="preserve"> </w:t>
      </w:r>
    </w:p>
    <w:sectPr w:rsidR="003E0F83" w:rsidRPr="00272765">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153" w:rsidRDefault="00DD0153">
      <w:r>
        <w:separator/>
      </w:r>
    </w:p>
  </w:endnote>
  <w:endnote w:type="continuationSeparator" w:id="0">
    <w:p w:rsidR="00DD0153" w:rsidRDefault="00DD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153" w:rsidRDefault="00DD0153">
      <w:r>
        <w:separator/>
      </w:r>
    </w:p>
  </w:footnote>
  <w:footnote w:type="continuationSeparator" w:id="0">
    <w:p w:rsidR="00DD0153" w:rsidRDefault="00DD0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057588">
      <w:tc>
        <w:tcPr>
          <w:tcW w:w="0" w:type="auto"/>
          <w:tcBorders>
            <w:right w:val="single" w:sz="6" w:space="0" w:color="000000" w:themeColor="text1"/>
          </w:tcBorders>
        </w:tcPr>
        <w:sdt>
          <w:sdtPr>
            <w:alias w:val="Company"/>
            <w:id w:val="78735422"/>
            <w:placeholder>
              <w:docPart w:val="AF809CD611764CCBA520BE0D7729CCA2"/>
            </w:placeholder>
            <w:dataBinding w:prefixMappings="xmlns:ns0='http://schemas.openxmlformats.org/officeDocument/2006/extended-properties'" w:xpath="/ns0:Properties[1]/ns0:Company[1]" w:storeItemID="{6668398D-A668-4E3E-A5EB-62B293D839F1}"/>
            <w:text/>
          </w:sdtPr>
          <w:sdtEndPr/>
          <w:sdtContent>
            <w:p w:rsidR="00057588" w:rsidRDefault="00057588">
              <w:pPr>
                <w:pStyle w:val="Header"/>
                <w:jc w:val="right"/>
              </w:pPr>
              <w:r>
                <w:rPr>
                  <w:lang w:val="en-US"/>
                </w:rPr>
                <w:t>Judgment No SC 78/2014</w:t>
              </w:r>
            </w:p>
          </w:sdtContent>
        </w:sdt>
        <w:sdt>
          <w:sdtPr>
            <w:rPr>
              <w:b/>
              <w:bCs/>
            </w:rPr>
            <w:alias w:val="Title"/>
            <w:id w:val="78735415"/>
            <w:placeholder>
              <w:docPart w:val="6DC272A2DA1742E59911593D4418D960"/>
            </w:placeholder>
            <w:dataBinding w:prefixMappings="xmlns:ns0='http://schemas.openxmlformats.org/package/2006/metadata/core-properties' xmlns:ns1='http://purl.org/dc/elements/1.1/'" w:xpath="/ns0:coreProperties[1]/ns1:title[1]" w:storeItemID="{6C3C8BC8-F283-45AE-878A-BAB7291924A1}"/>
            <w:text/>
          </w:sdtPr>
          <w:sdtEndPr/>
          <w:sdtContent>
            <w:p w:rsidR="00057588" w:rsidRDefault="00057588">
              <w:pPr>
                <w:pStyle w:val="Header"/>
                <w:jc w:val="right"/>
                <w:rPr>
                  <w:b/>
                  <w:bCs/>
                </w:rPr>
              </w:pPr>
              <w:r>
                <w:rPr>
                  <w:b/>
                  <w:bCs/>
                  <w:lang w:val="en-US"/>
                </w:rPr>
                <w:t>Civil Appeal No.  SC 349/14</w:t>
              </w:r>
            </w:p>
          </w:sdtContent>
        </w:sdt>
      </w:tc>
      <w:tc>
        <w:tcPr>
          <w:tcW w:w="1152" w:type="dxa"/>
          <w:tcBorders>
            <w:left w:val="single" w:sz="6" w:space="0" w:color="000000" w:themeColor="text1"/>
          </w:tcBorders>
        </w:tcPr>
        <w:p w:rsidR="00057588" w:rsidRDefault="00057588">
          <w:pPr>
            <w:pStyle w:val="Header"/>
            <w:rPr>
              <w:b/>
              <w:bCs/>
            </w:rPr>
          </w:pPr>
          <w:r>
            <w:fldChar w:fldCharType="begin"/>
          </w:r>
          <w:r>
            <w:instrText xml:space="preserve"> PAGE   \* MERGEFORMAT </w:instrText>
          </w:r>
          <w:r>
            <w:fldChar w:fldCharType="separate"/>
          </w:r>
          <w:r w:rsidR="007B3500">
            <w:rPr>
              <w:noProof/>
            </w:rPr>
            <w:t>1</w:t>
          </w:r>
          <w:r>
            <w:rPr>
              <w:noProof/>
            </w:rPr>
            <w:fldChar w:fldCharType="end"/>
          </w:r>
        </w:p>
      </w:tc>
    </w:tr>
  </w:tbl>
  <w:p w:rsidR="00412229" w:rsidRPr="00272765" w:rsidRDefault="00412229" w:rsidP="00386038">
    <w:pPr>
      <w:pStyle w:val="Header"/>
      <w:jc w:val="right"/>
      <w:rPr>
        <w:rFonts w:ascii="Book Antiqua" w:hAnsi="Book Antiqu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C7"/>
    <w:rsid w:val="00002850"/>
    <w:rsid w:val="0002331C"/>
    <w:rsid w:val="000276E7"/>
    <w:rsid w:val="0005732F"/>
    <w:rsid w:val="00057588"/>
    <w:rsid w:val="000772B3"/>
    <w:rsid w:val="00096C5C"/>
    <w:rsid w:val="000A49EE"/>
    <w:rsid w:val="000D1A5D"/>
    <w:rsid w:val="000F6C50"/>
    <w:rsid w:val="00125F91"/>
    <w:rsid w:val="00127D54"/>
    <w:rsid w:val="00135615"/>
    <w:rsid w:val="001436F8"/>
    <w:rsid w:val="0017788C"/>
    <w:rsid w:val="001B3F87"/>
    <w:rsid w:val="001B42FC"/>
    <w:rsid w:val="001E04AF"/>
    <w:rsid w:val="001E245B"/>
    <w:rsid w:val="001F6C7E"/>
    <w:rsid w:val="00211136"/>
    <w:rsid w:val="002222F7"/>
    <w:rsid w:val="00222F74"/>
    <w:rsid w:val="00227061"/>
    <w:rsid w:val="0024100B"/>
    <w:rsid w:val="00250283"/>
    <w:rsid w:val="00261D50"/>
    <w:rsid w:val="00263755"/>
    <w:rsid w:val="00272765"/>
    <w:rsid w:val="00273E40"/>
    <w:rsid w:val="002805DF"/>
    <w:rsid w:val="002A1BFC"/>
    <w:rsid w:val="002B6FFD"/>
    <w:rsid w:val="002C737A"/>
    <w:rsid w:val="002D0DAD"/>
    <w:rsid w:val="003167B1"/>
    <w:rsid w:val="003235C5"/>
    <w:rsid w:val="00371B64"/>
    <w:rsid w:val="00383032"/>
    <w:rsid w:val="00386038"/>
    <w:rsid w:val="003A7A56"/>
    <w:rsid w:val="003B7E4F"/>
    <w:rsid w:val="003C2FF9"/>
    <w:rsid w:val="003E0F83"/>
    <w:rsid w:val="00404CE1"/>
    <w:rsid w:val="00412229"/>
    <w:rsid w:val="00416D42"/>
    <w:rsid w:val="00467A97"/>
    <w:rsid w:val="004A0853"/>
    <w:rsid w:val="004B026E"/>
    <w:rsid w:val="004B08A8"/>
    <w:rsid w:val="004D17B7"/>
    <w:rsid w:val="004F020F"/>
    <w:rsid w:val="0050064D"/>
    <w:rsid w:val="005331D2"/>
    <w:rsid w:val="0055792A"/>
    <w:rsid w:val="005A10B0"/>
    <w:rsid w:val="005C6D91"/>
    <w:rsid w:val="005E4C64"/>
    <w:rsid w:val="0060217B"/>
    <w:rsid w:val="006046D4"/>
    <w:rsid w:val="00616380"/>
    <w:rsid w:val="00636D0C"/>
    <w:rsid w:val="00657433"/>
    <w:rsid w:val="00682CB4"/>
    <w:rsid w:val="00684753"/>
    <w:rsid w:val="006A11A9"/>
    <w:rsid w:val="006B7B5C"/>
    <w:rsid w:val="006C4E70"/>
    <w:rsid w:val="006E0951"/>
    <w:rsid w:val="006F26A7"/>
    <w:rsid w:val="00704136"/>
    <w:rsid w:val="00713ED8"/>
    <w:rsid w:val="00734C80"/>
    <w:rsid w:val="00741128"/>
    <w:rsid w:val="0074300F"/>
    <w:rsid w:val="007777DD"/>
    <w:rsid w:val="007972B9"/>
    <w:rsid w:val="007B3500"/>
    <w:rsid w:val="007B639F"/>
    <w:rsid w:val="007E1434"/>
    <w:rsid w:val="007E2EA1"/>
    <w:rsid w:val="007F4B36"/>
    <w:rsid w:val="00815096"/>
    <w:rsid w:val="00837726"/>
    <w:rsid w:val="008566C7"/>
    <w:rsid w:val="008618CF"/>
    <w:rsid w:val="008A53DD"/>
    <w:rsid w:val="008E3E30"/>
    <w:rsid w:val="008E4D4E"/>
    <w:rsid w:val="00912E63"/>
    <w:rsid w:val="009351C1"/>
    <w:rsid w:val="00945D07"/>
    <w:rsid w:val="00955CD7"/>
    <w:rsid w:val="009570E4"/>
    <w:rsid w:val="00991FF2"/>
    <w:rsid w:val="009B12C9"/>
    <w:rsid w:val="009C7FA3"/>
    <w:rsid w:val="009D0AE8"/>
    <w:rsid w:val="009D728C"/>
    <w:rsid w:val="00A00250"/>
    <w:rsid w:val="00A011F0"/>
    <w:rsid w:val="00A20BAE"/>
    <w:rsid w:val="00A460F6"/>
    <w:rsid w:val="00A61352"/>
    <w:rsid w:val="00A9391E"/>
    <w:rsid w:val="00AD63A7"/>
    <w:rsid w:val="00AE0D85"/>
    <w:rsid w:val="00AF48D9"/>
    <w:rsid w:val="00B11325"/>
    <w:rsid w:val="00B30AE0"/>
    <w:rsid w:val="00B55A36"/>
    <w:rsid w:val="00B7411D"/>
    <w:rsid w:val="00B74196"/>
    <w:rsid w:val="00B763ED"/>
    <w:rsid w:val="00B775DB"/>
    <w:rsid w:val="00BA1371"/>
    <w:rsid w:val="00BF199C"/>
    <w:rsid w:val="00BF1B80"/>
    <w:rsid w:val="00C076D2"/>
    <w:rsid w:val="00C31AA6"/>
    <w:rsid w:val="00C5787D"/>
    <w:rsid w:val="00C729B8"/>
    <w:rsid w:val="00C8300E"/>
    <w:rsid w:val="00C83129"/>
    <w:rsid w:val="00CA569F"/>
    <w:rsid w:val="00CB31B4"/>
    <w:rsid w:val="00CD1C45"/>
    <w:rsid w:val="00D25422"/>
    <w:rsid w:val="00D46F42"/>
    <w:rsid w:val="00D47D0C"/>
    <w:rsid w:val="00D52E43"/>
    <w:rsid w:val="00D60394"/>
    <w:rsid w:val="00D660DB"/>
    <w:rsid w:val="00D7375A"/>
    <w:rsid w:val="00D95C3D"/>
    <w:rsid w:val="00DA1D46"/>
    <w:rsid w:val="00DA5BA9"/>
    <w:rsid w:val="00DA7A83"/>
    <w:rsid w:val="00DB2839"/>
    <w:rsid w:val="00DD0153"/>
    <w:rsid w:val="00E404FC"/>
    <w:rsid w:val="00E40785"/>
    <w:rsid w:val="00E44E9F"/>
    <w:rsid w:val="00E71B1C"/>
    <w:rsid w:val="00E74FEB"/>
    <w:rsid w:val="00E77A5B"/>
    <w:rsid w:val="00E81D67"/>
    <w:rsid w:val="00E829E0"/>
    <w:rsid w:val="00E86F99"/>
    <w:rsid w:val="00E90D92"/>
    <w:rsid w:val="00E91792"/>
    <w:rsid w:val="00E97785"/>
    <w:rsid w:val="00EC1A15"/>
    <w:rsid w:val="00EE4C70"/>
    <w:rsid w:val="00F1235E"/>
    <w:rsid w:val="00F348F6"/>
    <w:rsid w:val="00F4305A"/>
    <w:rsid w:val="00F47370"/>
    <w:rsid w:val="00F5380B"/>
    <w:rsid w:val="00F673D5"/>
    <w:rsid w:val="00F7784D"/>
    <w:rsid w:val="00F905A6"/>
    <w:rsid w:val="00FB6D09"/>
    <w:rsid w:val="00FE348C"/>
    <w:rsid w:val="00FF6826"/>
    <w:rsid w:val="00FF7C90"/>
    <w:rsid w:val="00FF7CC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057588"/>
    <w:rPr>
      <w:sz w:val="24"/>
      <w:szCs w:val="24"/>
      <w:lang w:val="en-GB" w:eastAsia="en-US"/>
    </w:rPr>
  </w:style>
  <w:style w:type="paragraph" w:styleId="BalloonText">
    <w:name w:val="Balloon Text"/>
    <w:basedOn w:val="Normal"/>
    <w:link w:val="BalloonTextChar"/>
    <w:rsid w:val="00057588"/>
    <w:rPr>
      <w:rFonts w:ascii="Tahoma" w:hAnsi="Tahoma" w:cs="Tahoma"/>
      <w:sz w:val="16"/>
      <w:szCs w:val="16"/>
    </w:rPr>
  </w:style>
  <w:style w:type="character" w:customStyle="1" w:styleId="BalloonTextChar">
    <w:name w:val="Balloon Text Char"/>
    <w:basedOn w:val="DefaultParagraphFont"/>
    <w:link w:val="BalloonText"/>
    <w:rsid w:val="00057588"/>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057588"/>
    <w:rPr>
      <w:sz w:val="24"/>
      <w:szCs w:val="24"/>
      <w:lang w:val="en-GB" w:eastAsia="en-US"/>
    </w:rPr>
  </w:style>
  <w:style w:type="paragraph" w:styleId="BalloonText">
    <w:name w:val="Balloon Text"/>
    <w:basedOn w:val="Normal"/>
    <w:link w:val="BalloonTextChar"/>
    <w:rsid w:val="00057588"/>
    <w:rPr>
      <w:rFonts w:ascii="Tahoma" w:hAnsi="Tahoma" w:cs="Tahoma"/>
      <w:sz w:val="16"/>
      <w:szCs w:val="16"/>
    </w:rPr>
  </w:style>
  <w:style w:type="character" w:customStyle="1" w:styleId="BalloonTextChar">
    <w:name w:val="Balloon Text Char"/>
    <w:basedOn w:val="DefaultParagraphFont"/>
    <w:link w:val="BalloonText"/>
    <w:rsid w:val="0005758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809CD611764CCBA520BE0D7729CCA2"/>
        <w:category>
          <w:name w:val="General"/>
          <w:gallery w:val="placeholder"/>
        </w:category>
        <w:types>
          <w:type w:val="bbPlcHdr"/>
        </w:types>
        <w:behaviors>
          <w:behavior w:val="content"/>
        </w:behaviors>
        <w:guid w:val="{50C27106-DE1E-4B5F-AEFC-BC0A3AD1CEA0}"/>
      </w:docPartPr>
      <w:docPartBody>
        <w:p w:rsidR="00637E62" w:rsidRDefault="00E45AE8" w:rsidP="00E45AE8">
          <w:pPr>
            <w:pStyle w:val="AF809CD611764CCBA520BE0D7729CCA2"/>
          </w:pPr>
          <w:r>
            <w:t>[Type the company name]</w:t>
          </w:r>
        </w:p>
      </w:docPartBody>
    </w:docPart>
    <w:docPart>
      <w:docPartPr>
        <w:name w:val="6DC272A2DA1742E59911593D4418D960"/>
        <w:category>
          <w:name w:val="General"/>
          <w:gallery w:val="placeholder"/>
        </w:category>
        <w:types>
          <w:type w:val="bbPlcHdr"/>
        </w:types>
        <w:behaviors>
          <w:behavior w:val="content"/>
        </w:behaviors>
        <w:guid w:val="{2672722A-CBF2-4071-8C81-969ED986FEB9}"/>
      </w:docPartPr>
      <w:docPartBody>
        <w:p w:rsidR="00637E62" w:rsidRDefault="00E45AE8" w:rsidP="00E45AE8">
          <w:pPr>
            <w:pStyle w:val="6DC272A2DA1742E59911593D4418D96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E8"/>
    <w:rsid w:val="00637E62"/>
    <w:rsid w:val="00A10F2E"/>
    <w:rsid w:val="00E45AE8"/>
    <w:rsid w:val="00F36482"/>
    <w:rsid w:val="00FA2FC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DC0ADBFEDB43F7AF61DA0AC845161F">
    <w:name w:val="19DC0ADBFEDB43F7AF61DA0AC845161F"/>
    <w:rsid w:val="00E45AE8"/>
  </w:style>
  <w:style w:type="paragraph" w:customStyle="1" w:styleId="26148BB56BD444A7ADF58E238BC0A843">
    <w:name w:val="26148BB56BD444A7ADF58E238BC0A843"/>
    <w:rsid w:val="00E45AE8"/>
  </w:style>
  <w:style w:type="paragraph" w:customStyle="1" w:styleId="AF809CD611764CCBA520BE0D7729CCA2">
    <w:name w:val="AF809CD611764CCBA520BE0D7729CCA2"/>
    <w:rsid w:val="00E45AE8"/>
  </w:style>
  <w:style w:type="paragraph" w:customStyle="1" w:styleId="6DC272A2DA1742E59911593D4418D960">
    <w:name w:val="6DC272A2DA1742E59911593D4418D960"/>
    <w:rsid w:val="00E45A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DC0ADBFEDB43F7AF61DA0AC845161F">
    <w:name w:val="19DC0ADBFEDB43F7AF61DA0AC845161F"/>
    <w:rsid w:val="00E45AE8"/>
  </w:style>
  <w:style w:type="paragraph" w:customStyle="1" w:styleId="26148BB56BD444A7ADF58E238BC0A843">
    <w:name w:val="26148BB56BD444A7ADF58E238BC0A843"/>
    <w:rsid w:val="00E45AE8"/>
  </w:style>
  <w:style w:type="paragraph" w:customStyle="1" w:styleId="AF809CD611764CCBA520BE0D7729CCA2">
    <w:name w:val="AF809CD611764CCBA520BE0D7729CCA2"/>
    <w:rsid w:val="00E45AE8"/>
  </w:style>
  <w:style w:type="paragraph" w:customStyle="1" w:styleId="6DC272A2DA1742E59911593D4418D960">
    <w:name w:val="6DC272A2DA1742E59911593D4418D960"/>
    <w:rsid w:val="00E45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90</TotalTime>
  <Pages>12</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XXXXX</vt:lpstr>
    </vt:vector>
  </TitlesOfParts>
  <Company>Judgment No SC 78/2014</Company>
  <LinksUpToDate>false</LinksUpToDate>
  <CharactersWithSpaces>15849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349/14</dc:title>
  <dc:creator>Patel</dc:creator>
  <cp:lastModifiedBy>judge</cp:lastModifiedBy>
  <cp:revision>7</cp:revision>
  <cp:lastPrinted>2014-10-07T12:25:00Z</cp:lastPrinted>
  <dcterms:created xsi:type="dcterms:W3CDTF">2014-10-07T10:52:00Z</dcterms:created>
  <dcterms:modified xsi:type="dcterms:W3CDTF">2014-10-21T10:01:00Z</dcterms:modified>
</cp:coreProperties>
</file>