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E3" w:rsidRDefault="00CB3CE3" w:rsidP="00955DB2">
      <w:pPr>
        <w:spacing w:line="360" w:lineRule="auto"/>
        <w:jc w:val="center"/>
        <w:rPr>
          <w:sz w:val="24"/>
          <w:szCs w:val="24"/>
        </w:rPr>
      </w:pPr>
      <w:bookmarkStart w:id="0" w:name="_GoBack"/>
      <w:bookmarkEnd w:id="0"/>
    </w:p>
    <w:p w:rsidR="004B06F9" w:rsidRPr="008A031E" w:rsidRDefault="00D04890" w:rsidP="00D04890">
      <w:pPr>
        <w:pStyle w:val="ListParagraph"/>
        <w:numPr>
          <w:ilvl w:val="0"/>
          <w:numId w:val="10"/>
        </w:numPr>
        <w:spacing w:after="0" w:line="240" w:lineRule="auto"/>
        <w:jc w:val="center"/>
        <w:rPr>
          <w:rFonts w:ascii="Courier New" w:hAnsi="Courier New" w:cs="Courier New"/>
          <w:b/>
          <w:sz w:val="24"/>
          <w:szCs w:val="24"/>
        </w:rPr>
      </w:pPr>
      <w:r>
        <w:rPr>
          <w:rFonts w:ascii="Courier New" w:hAnsi="Courier New" w:cs="Courier New"/>
          <w:b/>
          <w:sz w:val="24"/>
          <w:szCs w:val="24"/>
        </w:rPr>
        <w:t xml:space="preserve">    </w:t>
      </w:r>
      <w:r w:rsidR="00834000">
        <w:rPr>
          <w:rFonts w:ascii="Courier New" w:hAnsi="Courier New" w:cs="Courier New"/>
          <w:b/>
          <w:sz w:val="24"/>
          <w:szCs w:val="24"/>
        </w:rPr>
        <w:t>FARAI</w:t>
      </w:r>
      <w:r w:rsidR="00834000" w:rsidRPr="008A031E">
        <w:rPr>
          <w:rFonts w:ascii="Courier New" w:hAnsi="Courier New" w:cs="Courier New"/>
          <w:b/>
          <w:sz w:val="24"/>
          <w:szCs w:val="24"/>
        </w:rPr>
        <w:t xml:space="preserve"> </w:t>
      </w:r>
      <w:r w:rsidR="00834000">
        <w:rPr>
          <w:rFonts w:ascii="Courier New" w:hAnsi="Courier New" w:cs="Courier New"/>
          <w:b/>
          <w:sz w:val="24"/>
          <w:szCs w:val="24"/>
        </w:rPr>
        <w:t xml:space="preserve">    LAWRENCE</w:t>
      </w:r>
      <w:r w:rsidR="00834000" w:rsidRPr="008A031E">
        <w:rPr>
          <w:rFonts w:ascii="Courier New" w:hAnsi="Courier New" w:cs="Courier New"/>
          <w:b/>
          <w:sz w:val="24"/>
          <w:szCs w:val="24"/>
        </w:rPr>
        <w:t xml:space="preserve"> </w:t>
      </w:r>
      <w:r w:rsidR="00834000">
        <w:rPr>
          <w:rFonts w:ascii="Courier New" w:hAnsi="Courier New" w:cs="Courier New"/>
          <w:b/>
          <w:sz w:val="24"/>
          <w:szCs w:val="24"/>
        </w:rPr>
        <w:t xml:space="preserve">    NDLOVU     (2)     WELLINGTON     GADZIRA</w:t>
      </w:r>
      <w:r w:rsidR="00834000" w:rsidRPr="008A031E">
        <w:rPr>
          <w:rFonts w:ascii="Courier New" w:hAnsi="Courier New" w:cs="Courier New"/>
          <w:b/>
          <w:sz w:val="24"/>
          <w:szCs w:val="24"/>
        </w:rPr>
        <w:t xml:space="preserve"> </w:t>
      </w:r>
      <w:r w:rsidR="00834000">
        <w:rPr>
          <w:rFonts w:ascii="Courier New" w:hAnsi="Courier New" w:cs="Courier New"/>
          <w:b/>
          <w:sz w:val="24"/>
          <w:szCs w:val="24"/>
        </w:rPr>
        <w:t xml:space="preserve">        </w:t>
      </w:r>
    </w:p>
    <w:p w:rsidR="001B2145" w:rsidRPr="008A031E" w:rsidRDefault="00834000" w:rsidP="00D04890">
      <w:pPr>
        <w:spacing w:after="0" w:line="240" w:lineRule="auto"/>
        <w:jc w:val="center"/>
        <w:rPr>
          <w:rFonts w:ascii="Courier New" w:hAnsi="Courier New" w:cs="Courier New"/>
          <w:b/>
          <w:sz w:val="24"/>
          <w:szCs w:val="24"/>
        </w:rPr>
      </w:pPr>
      <w:proofErr w:type="gramStart"/>
      <w:r>
        <w:rPr>
          <w:rFonts w:ascii="Courier New" w:hAnsi="Courier New" w:cs="Courier New"/>
          <w:b/>
          <w:sz w:val="24"/>
          <w:szCs w:val="24"/>
        </w:rPr>
        <w:t>v</w:t>
      </w:r>
      <w:proofErr w:type="gramEnd"/>
    </w:p>
    <w:p w:rsidR="001B2145" w:rsidRPr="008A031E" w:rsidRDefault="00834000" w:rsidP="00834000">
      <w:pPr>
        <w:spacing w:after="0" w:line="240" w:lineRule="auto"/>
        <w:jc w:val="center"/>
        <w:rPr>
          <w:rFonts w:ascii="Courier New" w:hAnsi="Courier New" w:cs="Courier New"/>
          <w:sz w:val="24"/>
          <w:szCs w:val="24"/>
        </w:rPr>
      </w:pPr>
      <w:r>
        <w:rPr>
          <w:rFonts w:ascii="Courier New" w:hAnsi="Courier New" w:cs="Courier New"/>
          <w:b/>
          <w:sz w:val="24"/>
          <w:szCs w:val="24"/>
        </w:rPr>
        <w:t>THE STATE</w:t>
      </w:r>
    </w:p>
    <w:p w:rsidR="008A031E" w:rsidRDefault="008A031E" w:rsidP="007C1E59">
      <w:pPr>
        <w:spacing w:after="0" w:line="240" w:lineRule="auto"/>
        <w:jc w:val="both"/>
        <w:rPr>
          <w:rFonts w:ascii="Courier New" w:hAnsi="Courier New" w:cs="Courier New"/>
          <w:b/>
          <w:sz w:val="24"/>
          <w:szCs w:val="24"/>
        </w:rPr>
      </w:pPr>
    </w:p>
    <w:p w:rsidR="008A031E" w:rsidRDefault="008A031E" w:rsidP="008A031E">
      <w:pPr>
        <w:spacing w:after="0" w:line="360" w:lineRule="auto"/>
        <w:jc w:val="both"/>
        <w:rPr>
          <w:rFonts w:ascii="Courier New" w:hAnsi="Courier New" w:cs="Courier New"/>
          <w:b/>
          <w:sz w:val="24"/>
          <w:szCs w:val="24"/>
        </w:rPr>
      </w:pPr>
    </w:p>
    <w:p w:rsidR="00CB3CE3" w:rsidRPr="008A031E" w:rsidRDefault="00CB3CE3" w:rsidP="008A031E">
      <w:pPr>
        <w:spacing w:after="0" w:line="240" w:lineRule="auto"/>
        <w:jc w:val="both"/>
        <w:rPr>
          <w:rFonts w:ascii="Courier New" w:hAnsi="Courier New" w:cs="Courier New"/>
          <w:b/>
          <w:sz w:val="24"/>
          <w:szCs w:val="24"/>
        </w:rPr>
      </w:pPr>
      <w:r w:rsidRPr="008A031E">
        <w:rPr>
          <w:rFonts w:ascii="Courier New" w:hAnsi="Courier New" w:cs="Courier New"/>
          <w:b/>
          <w:sz w:val="24"/>
          <w:szCs w:val="24"/>
        </w:rPr>
        <w:t>SUPREME COURT OF ZIMBABWE</w:t>
      </w:r>
    </w:p>
    <w:p w:rsidR="00CB3CE3" w:rsidRPr="008A031E" w:rsidRDefault="007C5E62" w:rsidP="008A031E">
      <w:pPr>
        <w:spacing w:after="0" w:line="240" w:lineRule="auto"/>
        <w:jc w:val="both"/>
        <w:rPr>
          <w:rFonts w:ascii="Courier New" w:hAnsi="Courier New" w:cs="Courier New"/>
          <w:b/>
          <w:sz w:val="24"/>
          <w:szCs w:val="24"/>
        </w:rPr>
      </w:pPr>
      <w:r>
        <w:rPr>
          <w:rFonts w:ascii="Courier New" w:hAnsi="Courier New" w:cs="Courier New"/>
          <w:b/>
          <w:sz w:val="24"/>
          <w:szCs w:val="24"/>
        </w:rPr>
        <w:t>ZIYAMBI JA</w:t>
      </w:r>
      <w:r w:rsidR="0061188B" w:rsidRPr="008A031E">
        <w:rPr>
          <w:rFonts w:ascii="Courier New" w:hAnsi="Courier New" w:cs="Courier New"/>
          <w:b/>
          <w:sz w:val="24"/>
          <w:szCs w:val="24"/>
        </w:rPr>
        <w:t xml:space="preserve">, </w:t>
      </w:r>
      <w:r>
        <w:rPr>
          <w:rFonts w:ascii="Courier New" w:hAnsi="Courier New" w:cs="Courier New"/>
          <w:b/>
          <w:sz w:val="24"/>
          <w:szCs w:val="24"/>
        </w:rPr>
        <w:t>GARWE</w:t>
      </w:r>
      <w:r w:rsidR="00F420EC" w:rsidRPr="008A031E">
        <w:rPr>
          <w:rFonts w:ascii="Courier New" w:hAnsi="Courier New" w:cs="Courier New"/>
          <w:b/>
          <w:sz w:val="24"/>
          <w:szCs w:val="24"/>
        </w:rPr>
        <w:t xml:space="preserve"> JA &amp; </w:t>
      </w:r>
      <w:r>
        <w:rPr>
          <w:rFonts w:ascii="Courier New" w:hAnsi="Courier New" w:cs="Courier New"/>
          <w:b/>
          <w:sz w:val="24"/>
          <w:szCs w:val="24"/>
        </w:rPr>
        <w:t>HLATSHWAYO</w:t>
      </w:r>
      <w:r w:rsidR="00F420EC" w:rsidRPr="008A031E">
        <w:rPr>
          <w:rFonts w:ascii="Courier New" w:hAnsi="Courier New" w:cs="Courier New"/>
          <w:b/>
          <w:sz w:val="24"/>
          <w:szCs w:val="24"/>
        </w:rPr>
        <w:t xml:space="preserve"> JA</w:t>
      </w:r>
    </w:p>
    <w:p w:rsidR="00F420EC" w:rsidRPr="008A031E" w:rsidRDefault="007C5E62" w:rsidP="008A031E">
      <w:pPr>
        <w:spacing w:after="0" w:line="240" w:lineRule="auto"/>
        <w:jc w:val="both"/>
        <w:rPr>
          <w:rFonts w:ascii="Courier New" w:hAnsi="Courier New" w:cs="Courier New"/>
          <w:b/>
          <w:sz w:val="24"/>
          <w:szCs w:val="24"/>
        </w:rPr>
      </w:pPr>
      <w:r>
        <w:rPr>
          <w:rFonts w:ascii="Courier New" w:hAnsi="Courier New" w:cs="Courier New"/>
          <w:b/>
          <w:sz w:val="24"/>
          <w:szCs w:val="24"/>
        </w:rPr>
        <w:t>BULAWAYO</w:t>
      </w:r>
      <w:r w:rsidR="00F420EC" w:rsidRPr="008A031E">
        <w:rPr>
          <w:rFonts w:ascii="Courier New" w:hAnsi="Courier New" w:cs="Courier New"/>
          <w:b/>
          <w:sz w:val="24"/>
          <w:szCs w:val="24"/>
        </w:rPr>
        <w:t xml:space="preserve">, </w:t>
      </w:r>
      <w:r>
        <w:rPr>
          <w:rFonts w:ascii="Courier New" w:hAnsi="Courier New" w:cs="Courier New"/>
          <w:b/>
          <w:sz w:val="24"/>
          <w:szCs w:val="24"/>
        </w:rPr>
        <w:t>MAY</w:t>
      </w:r>
      <w:r w:rsidR="00F420EC" w:rsidRPr="008A031E">
        <w:rPr>
          <w:rFonts w:ascii="Courier New" w:hAnsi="Courier New" w:cs="Courier New"/>
          <w:b/>
          <w:sz w:val="24"/>
          <w:szCs w:val="24"/>
        </w:rPr>
        <w:t xml:space="preserve"> </w:t>
      </w:r>
      <w:r>
        <w:rPr>
          <w:rFonts w:ascii="Courier New" w:hAnsi="Courier New" w:cs="Courier New"/>
          <w:b/>
          <w:sz w:val="24"/>
          <w:szCs w:val="24"/>
        </w:rPr>
        <w:t>8,</w:t>
      </w:r>
      <w:r w:rsidR="008A031E">
        <w:rPr>
          <w:rFonts w:ascii="Courier New" w:hAnsi="Courier New" w:cs="Courier New"/>
          <w:b/>
          <w:sz w:val="24"/>
          <w:szCs w:val="24"/>
        </w:rPr>
        <w:t xml:space="preserve"> 2014</w:t>
      </w:r>
    </w:p>
    <w:p w:rsidR="00F420EC" w:rsidRPr="008A031E" w:rsidRDefault="00F420EC" w:rsidP="008A031E">
      <w:pPr>
        <w:spacing w:line="360" w:lineRule="auto"/>
        <w:jc w:val="both"/>
        <w:rPr>
          <w:rFonts w:ascii="Courier New" w:hAnsi="Courier New" w:cs="Courier New"/>
          <w:b/>
          <w:i/>
          <w:sz w:val="24"/>
          <w:szCs w:val="24"/>
        </w:rPr>
      </w:pPr>
    </w:p>
    <w:p w:rsidR="008A031E" w:rsidRDefault="00CB3CE3" w:rsidP="007C1E59">
      <w:pPr>
        <w:spacing w:after="0" w:line="240" w:lineRule="auto"/>
        <w:jc w:val="both"/>
        <w:rPr>
          <w:rFonts w:ascii="Courier New" w:hAnsi="Courier New" w:cs="Courier New"/>
          <w:i/>
          <w:sz w:val="24"/>
          <w:szCs w:val="24"/>
        </w:rPr>
      </w:pPr>
      <w:r w:rsidRPr="008A031E">
        <w:rPr>
          <w:rFonts w:ascii="Courier New" w:hAnsi="Courier New" w:cs="Courier New"/>
          <w:i/>
          <w:sz w:val="24"/>
          <w:szCs w:val="24"/>
        </w:rPr>
        <w:t xml:space="preserve"> </w:t>
      </w:r>
    </w:p>
    <w:p w:rsidR="001B2145" w:rsidRPr="008A031E" w:rsidRDefault="007C5E62" w:rsidP="007C5E62">
      <w:pPr>
        <w:spacing w:line="240" w:lineRule="auto"/>
        <w:jc w:val="both"/>
        <w:rPr>
          <w:rFonts w:ascii="Courier New" w:hAnsi="Courier New" w:cs="Courier New"/>
          <w:b/>
          <w:i/>
          <w:sz w:val="24"/>
          <w:szCs w:val="24"/>
        </w:rPr>
      </w:pPr>
      <w:r w:rsidRPr="007C5E62">
        <w:rPr>
          <w:rFonts w:ascii="Courier New" w:hAnsi="Courier New" w:cs="Courier New"/>
          <w:sz w:val="24"/>
          <w:szCs w:val="24"/>
        </w:rPr>
        <w:t>Mr</w:t>
      </w:r>
      <w:r>
        <w:rPr>
          <w:rFonts w:ascii="Courier New" w:hAnsi="Courier New" w:cs="Courier New"/>
          <w:i/>
          <w:sz w:val="24"/>
          <w:szCs w:val="24"/>
        </w:rPr>
        <w:t xml:space="preserve"> </w:t>
      </w:r>
      <w:r w:rsidR="008A031E">
        <w:rPr>
          <w:rFonts w:ascii="Courier New" w:hAnsi="Courier New" w:cs="Courier New"/>
          <w:i/>
          <w:sz w:val="24"/>
          <w:szCs w:val="24"/>
        </w:rPr>
        <w:t>T</w:t>
      </w:r>
      <w:r w:rsidR="00CB3CE3" w:rsidRPr="008A031E">
        <w:rPr>
          <w:rFonts w:ascii="Courier New" w:hAnsi="Courier New" w:cs="Courier New"/>
          <w:i/>
          <w:sz w:val="24"/>
          <w:szCs w:val="24"/>
        </w:rPr>
        <w:t xml:space="preserve"> </w:t>
      </w:r>
      <w:proofErr w:type="spellStart"/>
      <w:r>
        <w:rPr>
          <w:rFonts w:ascii="Courier New" w:hAnsi="Courier New" w:cs="Courier New"/>
          <w:i/>
          <w:sz w:val="24"/>
          <w:szCs w:val="24"/>
        </w:rPr>
        <w:t>Muganyi</w:t>
      </w:r>
      <w:proofErr w:type="spellEnd"/>
      <w:r w:rsidR="00CB3CE3" w:rsidRPr="008A031E">
        <w:rPr>
          <w:rFonts w:ascii="Courier New" w:hAnsi="Courier New" w:cs="Courier New"/>
          <w:i/>
          <w:sz w:val="24"/>
          <w:szCs w:val="24"/>
        </w:rPr>
        <w:t xml:space="preserve">, </w:t>
      </w:r>
      <w:r w:rsidR="00CB3CE3" w:rsidRPr="008A031E">
        <w:rPr>
          <w:rFonts w:ascii="Courier New" w:hAnsi="Courier New" w:cs="Courier New"/>
          <w:sz w:val="24"/>
          <w:szCs w:val="24"/>
        </w:rPr>
        <w:t xml:space="preserve">for the </w:t>
      </w:r>
      <w:r w:rsidR="00021224">
        <w:rPr>
          <w:rFonts w:ascii="Courier New" w:hAnsi="Courier New" w:cs="Courier New"/>
          <w:sz w:val="24"/>
          <w:szCs w:val="24"/>
        </w:rPr>
        <w:t>first</w:t>
      </w:r>
      <w:r>
        <w:rPr>
          <w:rFonts w:ascii="Courier New" w:hAnsi="Courier New" w:cs="Courier New"/>
          <w:sz w:val="24"/>
          <w:szCs w:val="24"/>
        </w:rPr>
        <w:t xml:space="preserve"> </w:t>
      </w:r>
      <w:r w:rsidR="00CB3CE3" w:rsidRPr="008A031E">
        <w:rPr>
          <w:rFonts w:ascii="Courier New" w:hAnsi="Courier New" w:cs="Courier New"/>
          <w:sz w:val="24"/>
          <w:szCs w:val="24"/>
        </w:rPr>
        <w:t>appellant</w:t>
      </w:r>
    </w:p>
    <w:p w:rsidR="001B2145" w:rsidRDefault="007C5E62" w:rsidP="007C5E62">
      <w:pPr>
        <w:spacing w:line="240" w:lineRule="auto"/>
        <w:jc w:val="both"/>
        <w:rPr>
          <w:rFonts w:ascii="Courier New" w:hAnsi="Courier New" w:cs="Courier New"/>
          <w:sz w:val="24"/>
          <w:szCs w:val="24"/>
        </w:rPr>
      </w:pPr>
      <w:r w:rsidRPr="007C5E62">
        <w:rPr>
          <w:rFonts w:ascii="Courier New" w:hAnsi="Courier New" w:cs="Courier New"/>
          <w:sz w:val="24"/>
          <w:szCs w:val="24"/>
        </w:rPr>
        <w:t>Mr</w:t>
      </w:r>
      <w:r>
        <w:rPr>
          <w:rFonts w:ascii="Courier New" w:hAnsi="Courier New" w:cs="Courier New"/>
          <w:i/>
          <w:sz w:val="24"/>
          <w:szCs w:val="24"/>
        </w:rPr>
        <w:t xml:space="preserve"> F</w:t>
      </w:r>
      <w:r w:rsidR="00CB3CE3" w:rsidRPr="008A031E">
        <w:rPr>
          <w:rFonts w:ascii="Courier New" w:hAnsi="Courier New" w:cs="Courier New"/>
          <w:i/>
          <w:sz w:val="24"/>
          <w:szCs w:val="24"/>
        </w:rPr>
        <w:t xml:space="preserve"> </w:t>
      </w:r>
      <w:proofErr w:type="spellStart"/>
      <w:r>
        <w:rPr>
          <w:rFonts w:ascii="Courier New" w:hAnsi="Courier New" w:cs="Courier New"/>
          <w:i/>
          <w:sz w:val="24"/>
          <w:szCs w:val="24"/>
        </w:rPr>
        <w:t>Museta</w:t>
      </w:r>
      <w:proofErr w:type="spellEnd"/>
      <w:r w:rsidR="00CB3CE3" w:rsidRPr="008A031E">
        <w:rPr>
          <w:rFonts w:ascii="Courier New" w:hAnsi="Courier New" w:cs="Courier New"/>
          <w:i/>
          <w:sz w:val="24"/>
          <w:szCs w:val="24"/>
        </w:rPr>
        <w:t xml:space="preserve">, </w:t>
      </w:r>
      <w:r w:rsidR="00CB3CE3" w:rsidRPr="008A031E">
        <w:rPr>
          <w:rFonts w:ascii="Courier New" w:hAnsi="Courier New" w:cs="Courier New"/>
          <w:sz w:val="24"/>
          <w:szCs w:val="24"/>
        </w:rPr>
        <w:t xml:space="preserve">for the </w:t>
      </w:r>
      <w:r w:rsidR="00021224">
        <w:rPr>
          <w:rFonts w:ascii="Courier New" w:hAnsi="Courier New" w:cs="Courier New"/>
          <w:sz w:val="24"/>
          <w:szCs w:val="24"/>
        </w:rPr>
        <w:t>second</w:t>
      </w:r>
      <w:r>
        <w:rPr>
          <w:rFonts w:ascii="Courier New" w:hAnsi="Courier New" w:cs="Courier New"/>
          <w:sz w:val="24"/>
          <w:szCs w:val="24"/>
        </w:rPr>
        <w:t xml:space="preserve"> appellant</w:t>
      </w:r>
    </w:p>
    <w:p w:rsidR="007C5E62" w:rsidRPr="008A031E" w:rsidRDefault="007C5E62" w:rsidP="007C5E62">
      <w:pPr>
        <w:spacing w:line="240" w:lineRule="auto"/>
        <w:jc w:val="both"/>
        <w:rPr>
          <w:rFonts w:ascii="Courier New" w:hAnsi="Courier New" w:cs="Courier New"/>
          <w:sz w:val="24"/>
          <w:szCs w:val="24"/>
        </w:rPr>
      </w:pPr>
      <w:r>
        <w:rPr>
          <w:rFonts w:ascii="Courier New" w:hAnsi="Courier New" w:cs="Courier New"/>
          <w:sz w:val="24"/>
          <w:szCs w:val="24"/>
        </w:rPr>
        <w:t xml:space="preserve">Mr </w:t>
      </w:r>
      <w:r w:rsidRPr="007C5E62">
        <w:rPr>
          <w:rFonts w:ascii="Courier New" w:hAnsi="Courier New" w:cs="Courier New"/>
          <w:i/>
          <w:sz w:val="24"/>
          <w:szCs w:val="24"/>
        </w:rPr>
        <w:t>T Hove</w:t>
      </w:r>
      <w:r>
        <w:rPr>
          <w:rFonts w:ascii="Courier New" w:hAnsi="Courier New" w:cs="Courier New"/>
          <w:sz w:val="24"/>
          <w:szCs w:val="24"/>
        </w:rPr>
        <w:t>, for the respondent</w:t>
      </w:r>
    </w:p>
    <w:p w:rsidR="00F420EC" w:rsidRPr="008A031E" w:rsidRDefault="00F420EC" w:rsidP="008A031E">
      <w:pPr>
        <w:spacing w:line="360" w:lineRule="auto"/>
        <w:jc w:val="both"/>
        <w:rPr>
          <w:rFonts w:ascii="Courier New" w:hAnsi="Courier New" w:cs="Courier New"/>
          <w:sz w:val="24"/>
          <w:szCs w:val="24"/>
        </w:rPr>
      </w:pPr>
    </w:p>
    <w:p w:rsidR="00404749" w:rsidRDefault="00F420EC" w:rsidP="008A646E">
      <w:pPr>
        <w:spacing w:after="0" w:line="240" w:lineRule="auto"/>
        <w:jc w:val="both"/>
        <w:rPr>
          <w:rFonts w:ascii="Courier New" w:hAnsi="Courier New" w:cs="Courier New"/>
          <w:sz w:val="24"/>
          <w:szCs w:val="24"/>
        </w:rPr>
      </w:pPr>
      <w:r w:rsidRPr="008A031E">
        <w:rPr>
          <w:rFonts w:ascii="Courier New" w:hAnsi="Courier New" w:cs="Courier New"/>
          <w:sz w:val="24"/>
          <w:szCs w:val="24"/>
        </w:rPr>
        <w:tab/>
      </w:r>
      <w:r w:rsidRPr="008A031E">
        <w:rPr>
          <w:rFonts w:ascii="Courier New" w:hAnsi="Courier New" w:cs="Courier New"/>
          <w:sz w:val="24"/>
          <w:szCs w:val="24"/>
        </w:rPr>
        <w:tab/>
      </w:r>
    </w:p>
    <w:p w:rsidR="000538B3" w:rsidRDefault="007C5E62" w:rsidP="00404749">
      <w:pPr>
        <w:spacing w:line="480" w:lineRule="auto"/>
        <w:ind w:firstLine="1440"/>
        <w:jc w:val="both"/>
        <w:rPr>
          <w:rFonts w:ascii="Courier New" w:hAnsi="Courier New" w:cs="Courier New"/>
          <w:sz w:val="24"/>
          <w:szCs w:val="24"/>
        </w:rPr>
      </w:pPr>
      <w:r>
        <w:rPr>
          <w:rFonts w:ascii="Courier New" w:hAnsi="Courier New" w:cs="Courier New"/>
          <w:b/>
          <w:sz w:val="24"/>
          <w:szCs w:val="24"/>
        </w:rPr>
        <w:t>HLATSWAYO JA</w:t>
      </w:r>
      <w:r w:rsidR="00F420EC" w:rsidRPr="006E4D90">
        <w:rPr>
          <w:rFonts w:ascii="Courier New" w:hAnsi="Courier New" w:cs="Courier New"/>
          <w:b/>
          <w:sz w:val="24"/>
          <w:szCs w:val="24"/>
        </w:rPr>
        <w:t>:</w:t>
      </w:r>
      <w:r w:rsidR="000538B3">
        <w:rPr>
          <w:rFonts w:ascii="Courier New" w:hAnsi="Courier New" w:cs="Courier New"/>
          <w:sz w:val="24"/>
          <w:szCs w:val="24"/>
        </w:rPr>
        <w:tab/>
      </w:r>
      <w:r w:rsidR="000538B3">
        <w:rPr>
          <w:rFonts w:ascii="Courier New" w:hAnsi="Courier New" w:cs="Courier New"/>
          <w:sz w:val="24"/>
          <w:szCs w:val="24"/>
        </w:rPr>
        <w:tab/>
        <w:t xml:space="preserve">The appellants </w:t>
      </w:r>
      <w:proofErr w:type="spellStart"/>
      <w:r w:rsidR="000538B3">
        <w:rPr>
          <w:rFonts w:ascii="Courier New" w:hAnsi="Courier New" w:cs="Courier New"/>
          <w:sz w:val="24"/>
          <w:szCs w:val="24"/>
        </w:rPr>
        <w:t>Farai</w:t>
      </w:r>
      <w:proofErr w:type="spellEnd"/>
      <w:r w:rsidR="000538B3">
        <w:rPr>
          <w:rFonts w:ascii="Courier New" w:hAnsi="Courier New" w:cs="Courier New"/>
          <w:sz w:val="24"/>
          <w:szCs w:val="24"/>
        </w:rPr>
        <w:t xml:space="preserve"> Lawrence </w:t>
      </w:r>
      <w:proofErr w:type="spellStart"/>
      <w:r w:rsidR="000538B3">
        <w:rPr>
          <w:rFonts w:ascii="Courier New" w:hAnsi="Courier New" w:cs="Courier New"/>
          <w:sz w:val="24"/>
          <w:szCs w:val="24"/>
        </w:rPr>
        <w:t>Ndlovu</w:t>
      </w:r>
      <w:proofErr w:type="spellEnd"/>
      <w:r w:rsidR="000538B3">
        <w:rPr>
          <w:rFonts w:ascii="Courier New" w:hAnsi="Courier New" w:cs="Courier New"/>
          <w:sz w:val="24"/>
          <w:szCs w:val="24"/>
        </w:rPr>
        <w:t xml:space="preserve"> and Wellington </w:t>
      </w:r>
      <w:proofErr w:type="spellStart"/>
      <w:r w:rsidR="000538B3">
        <w:rPr>
          <w:rFonts w:ascii="Courier New" w:hAnsi="Courier New" w:cs="Courier New"/>
          <w:sz w:val="24"/>
          <w:szCs w:val="24"/>
        </w:rPr>
        <w:t>Gadzira</w:t>
      </w:r>
      <w:proofErr w:type="spellEnd"/>
      <w:r w:rsidR="000538B3">
        <w:rPr>
          <w:rFonts w:ascii="Courier New" w:hAnsi="Courier New" w:cs="Courier New"/>
          <w:sz w:val="24"/>
          <w:szCs w:val="24"/>
        </w:rPr>
        <w:t>, aged twenty-three and thirty-seven years respectively, at the time of the commission of the offence and were arraigned before the High Court sitting at Gweru Circuit on 22 May 2012 on two counts of murder as defined in s 47 of the Criminal Law (Codification</w:t>
      </w:r>
      <w:r w:rsidR="00F23B51">
        <w:rPr>
          <w:rFonts w:ascii="Courier New" w:hAnsi="Courier New" w:cs="Courier New"/>
          <w:sz w:val="24"/>
          <w:szCs w:val="24"/>
        </w:rPr>
        <w:t xml:space="preserve"> and Reform) Act [</w:t>
      </w:r>
      <w:r w:rsidR="00F23B51" w:rsidRPr="00F23B51">
        <w:rPr>
          <w:rFonts w:ascii="Courier New" w:hAnsi="Courier New" w:cs="Courier New"/>
          <w:i/>
          <w:sz w:val="24"/>
          <w:szCs w:val="24"/>
        </w:rPr>
        <w:t>Cap 9:23</w:t>
      </w:r>
      <w:r w:rsidR="00F23B51">
        <w:rPr>
          <w:rFonts w:ascii="Courier New" w:hAnsi="Courier New" w:cs="Courier New"/>
          <w:sz w:val="24"/>
          <w:szCs w:val="24"/>
        </w:rPr>
        <w:t xml:space="preserve">].  It is alleged they killed one </w:t>
      </w:r>
      <w:r w:rsidR="00DC41AA">
        <w:rPr>
          <w:rFonts w:ascii="Courier New" w:hAnsi="Courier New" w:cs="Courier New"/>
          <w:sz w:val="24"/>
          <w:szCs w:val="24"/>
        </w:rPr>
        <w:t>Michael</w:t>
      </w:r>
      <w:r w:rsidR="00F23B51">
        <w:rPr>
          <w:rFonts w:ascii="Courier New" w:hAnsi="Courier New" w:cs="Courier New"/>
          <w:sz w:val="24"/>
          <w:szCs w:val="24"/>
        </w:rPr>
        <w:t xml:space="preserve"> Sunderland (“first deceased”) and Geoffrey </w:t>
      </w:r>
      <w:r w:rsidR="00410E85">
        <w:rPr>
          <w:rFonts w:ascii="Courier New" w:hAnsi="Courier New" w:cs="Courier New"/>
          <w:sz w:val="24"/>
          <w:szCs w:val="24"/>
        </w:rPr>
        <w:t>Andrew</w:t>
      </w:r>
      <w:r w:rsidR="00F23B51">
        <w:rPr>
          <w:rFonts w:ascii="Courier New" w:hAnsi="Courier New" w:cs="Courier New"/>
          <w:sz w:val="24"/>
          <w:szCs w:val="24"/>
        </w:rPr>
        <w:t xml:space="preserve"> </w:t>
      </w:r>
      <w:proofErr w:type="spellStart"/>
      <w:r w:rsidR="00F23B51">
        <w:rPr>
          <w:rFonts w:ascii="Courier New" w:hAnsi="Courier New" w:cs="Courier New"/>
          <w:sz w:val="24"/>
          <w:szCs w:val="24"/>
        </w:rPr>
        <w:t>Willian</w:t>
      </w:r>
      <w:proofErr w:type="spellEnd"/>
      <w:r w:rsidR="00F23B51">
        <w:rPr>
          <w:rFonts w:ascii="Courier New" w:hAnsi="Courier New" w:cs="Courier New"/>
          <w:sz w:val="24"/>
          <w:szCs w:val="24"/>
        </w:rPr>
        <w:t xml:space="preserve"> </w:t>
      </w:r>
      <w:proofErr w:type="spellStart"/>
      <w:r w:rsidR="00F23B51">
        <w:rPr>
          <w:rFonts w:ascii="Courier New" w:hAnsi="Courier New" w:cs="Courier New"/>
          <w:sz w:val="24"/>
          <w:szCs w:val="24"/>
        </w:rPr>
        <w:t>Povey</w:t>
      </w:r>
      <w:proofErr w:type="spellEnd"/>
      <w:r w:rsidR="00F23B51">
        <w:rPr>
          <w:rFonts w:ascii="Courier New" w:hAnsi="Courier New" w:cs="Courier New"/>
          <w:sz w:val="24"/>
          <w:szCs w:val="24"/>
        </w:rPr>
        <w:t xml:space="preserve"> (“second deceased”) who were aged thirty-seven and sixty-five years respectively at the time of their death.</w:t>
      </w:r>
    </w:p>
    <w:p w:rsidR="00F23B51" w:rsidRDefault="00F23B51" w:rsidP="00A516BB">
      <w:pPr>
        <w:spacing w:after="0"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6710E8" w:rsidRDefault="00F23B51" w:rsidP="00F23B51">
      <w:pPr>
        <w:spacing w:line="480" w:lineRule="auto"/>
        <w:ind w:firstLine="1440"/>
        <w:jc w:val="both"/>
        <w:rPr>
          <w:rFonts w:ascii="Courier New" w:hAnsi="Courier New" w:cs="Courier New"/>
          <w:sz w:val="24"/>
          <w:szCs w:val="24"/>
        </w:rPr>
      </w:pPr>
      <w:r>
        <w:rPr>
          <w:rFonts w:ascii="Courier New" w:hAnsi="Courier New" w:cs="Courier New"/>
          <w:sz w:val="24"/>
          <w:szCs w:val="24"/>
        </w:rPr>
        <w:t xml:space="preserve">The appellants pleaded not guilty but after a full trial they were both convicted of murder with constructive intent in respect of the first deceased and of murder with </w:t>
      </w:r>
      <w:r>
        <w:rPr>
          <w:rFonts w:ascii="Courier New" w:hAnsi="Courier New" w:cs="Courier New"/>
          <w:sz w:val="24"/>
          <w:szCs w:val="24"/>
        </w:rPr>
        <w:lastRenderedPageBreak/>
        <w:t xml:space="preserve">actual intent in respect of the second deceased.  The trial </w:t>
      </w:r>
      <w:r w:rsidR="006710E8">
        <w:rPr>
          <w:rFonts w:ascii="Courier New" w:hAnsi="Courier New" w:cs="Courier New"/>
          <w:sz w:val="24"/>
          <w:szCs w:val="24"/>
        </w:rPr>
        <w:t xml:space="preserve">court, finding no extenuating circumstances, passed the sentence of death upon both appellants.  The appellants having an automatic right of appeal to the Supreme Court filed this appeal against both conviction and sentence.  </w:t>
      </w:r>
    </w:p>
    <w:p w:rsidR="006710E8" w:rsidRDefault="006710E8" w:rsidP="00A516BB">
      <w:pPr>
        <w:spacing w:line="240" w:lineRule="auto"/>
        <w:ind w:firstLine="1440"/>
        <w:jc w:val="both"/>
        <w:rPr>
          <w:rFonts w:ascii="Courier New" w:hAnsi="Courier New" w:cs="Courier New"/>
          <w:sz w:val="24"/>
          <w:szCs w:val="24"/>
        </w:rPr>
      </w:pPr>
    </w:p>
    <w:p w:rsidR="00E40075" w:rsidRDefault="006710E8" w:rsidP="00F23B51">
      <w:pPr>
        <w:spacing w:line="480" w:lineRule="auto"/>
        <w:ind w:firstLine="1440"/>
        <w:jc w:val="both"/>
        <w:rPr>
          <w:rFonts w:ascii="Courier New" w:hAnsi="Courier New" w:cs="Courier New"/>
          <w:sz w:val="24"/>
          <w:szCs w:val="24"/>
        </w:rPr>
      </w:pPr>
      <w:r>
        <w:rPr>
          <w:rFonts w:ascii="Courier New" w:hAnsi="Courier New" w:cs="Courier New"/>
          <w:sz w:val="24"/>
          <w:szCs w:val="24"/>
        </w:rPr>
        <w:t xml:space="preserve">No grounds of appeal were filed with respect to the first appellant, counsel being of the view that no meaningful submissions could be advanced to assist this appellant.  For the second appellant only one ground of appeal was proffered challenging the sentence imposed as “excessive”.  However even counsel for the second appellant in his heads of argument conceded that the conviction and sentence were proper and there was no misdirection on the part of the trial court.  At the hearing of this appeal both Mr </w:t>
      </w:r>
      <w:r w:rsidRPr="006710E8">
        <w:rPr>
          <w:rFonts w:ascii="Courier New" w:hAnsi="Courier New" w:cs="Courier New"/>
          <w:i/>
          <w:sz w:val="24"/>
          <w:szCs w:val="24"/>
        </w:rPr>
        <w:t xml:space="preserve">T </w:t>
      </w:r>
      <w:proofErr w:type="spellStart"/>
      <w:r w:rsidRPr="006710E8">
        <w:rPr>
          <w:rFonts w:ascii="Courier New" w:hAnsi="Courier New" w:cs="Courier New"/>
          <w:i/>
          <w:sz w:val="24"/>
          <w:szCs w:val="24"/>
        </w:rPr>
        <w:t>Muganyi</w:t>
      </w:r>
      <w:proofErr w:type="spellEnd"/>
      <w:r>
        <w:rPr>
          <w:rFonts w:ascii="Courier New" w:hAnsi="Courier New" w:cs="Courier New"/>
          <w:sz w:val="24"/>
          <w:szCs w:val="24"/>
        </w:rPr>
        <w:t xml:space="preserve">, for the appellant, Mr </w:t>
      </w:r>
      <w:r w:rsidRPr="006710E8">
        <w:rPr>
          <w:rFonts w:ascii="Courier New" w:hAnsi="Courier New" w:cs="Courier New"/>
          <w:i/>
          <w:sz w:val="24"/>
          <w:szCs w:val="24"/>
        </w:rPr>
        <w:t xml:space="preserve">F </w:t>
      </w:r>
      <w:proofErr w:type="spellStart"/>
      <w:r w:rsidRPr="006710E8">
        <w:rPr>
          <w:rFonts w:ascii="Courier New" w:hAnsi="Courier New" w:cs="Courier New"/>
          <w:i/>
          <w:sz w:val="24"/>
          <w:szCs w:val="24"/>
        </w:rPr>
        <w:t>Museta</w:t>
      </w:r>
      <w:proofErr w:type="spellEnd"/>
      <w:r>
        <w:rPr>
          <w:rFonts w:ascii="Courier New" w:hAnsi="Courier New" w:cs="Courier New"/>
          <w:sz w:val="24"/>
          <w:szCs w:val="24"/>
        </w:rPr>
        <w:t>, for the second appellant submitted</w:t>
      </w:r>
      <w:r w:rsidR="00E40075">
        <w:rPr>
          <w:rFonts w:ascii="Courier New" w:hAnsi="Courier New" w:cs="Courier New"/>
          <w:sz w:val="24"/>
          <w:szCs w:val="24"/>
        </w:rPr>
        <w:t>,</w:t>
      </w:r>
      <w:r>
        <w:rPr>
          <w:rFonts w:ascii="Courier New" w:hAnsi="Courier New" w:cs="Courier New"/>
          <w:sz w:val="24"/>
          <w:szCs w:val="24"/>
        </w:rPr>
        <w:t xml:space="preserve"> </w:t>
      </w:r>
      <w:r w:rsidR="00E40075">
        <w:rPr>
          <w:rFonts w:ascii="Courier New" w:hAnsi="Courier New" w:cs="Courier New"/>
          <w:sz w:val="24"/>
          <w:szCs w:val="24"/>
        </w:rPr>
        <w:t>and correctly so in my view, that they had no meaningful arguments to place before the court to assist their respective clients.</w:t>
      </w:r>
    </w:p>
    <w:p w:rsidR="00E40075" w:rsidRDefault="00E40075" w:rsidP="00A516BB">
      <w:pPr>
        <w:spacing w:after="0" w:line="240" w:lineRule="auto"/>
        <w:ind w:firstLine="1440"/>
        <w:jc w:val="both"/>
        <w:rPr>
          <w:rFonts w:ascii="Courier New" w:hAnsi="Courier New" w:cs="Courier New"/>
          <w:sz w:val="24"/>
          <w:szCs w:val="24"/>
        </w:rPr>
      </w:pPr>
    </w:p>
    <w:p w:rsidR="00F23B51" w:rsidRDefault="00E40075" w:rsidP="00F23B51">
      <w:pPr>
        <w:spacing w:line="480" w:lineRule="auto"/>
        <w:ind w:firstLine="1440"/>
        <w:jc w:val="both"/>
        <w:rPr>
          <w:rFonts w:ascii="Courier New" w:hAnsi="Courier New" w:cs="Courier New"/>
          <w:sz w:val="24"/>
          <w:szCs w:val="24"/>
        </w:rPr>
      </w:pPr>
      <w:r>
        <w:rPr>
          <w:rFonts w:ascii="Courier New" w:hAnsi="Courier New" w:cs="Courier New"/>
          <w:sz w:val="24"/>
          <w:szCs w:val="24"/>
        </w:rPr>
        <w:t xml:space="preserve">The brief facts of this case which were largely common cause appear from the State summary and evidence given at the trial.  On 27 March 2011, the first and the second appellants met the first and second deceased at </w:t>
      </w:r>
      <w:proofErr w:type="spellStart"/>
      <w:r>
        <w:rPr>
          <w:rFonts w:ascii="Courier New" w:hAnsi="Courier New" w:cs="Courier New"/>
          <w:sz w:val="24"/>
          <w:szCs w:val="24"/>
        </w:rPr>
        <w:t>Puzey</w:t>
      </w:r>
      <w:proofErr w:type="spellEnd"/>
      <w:r>
        <w:rPr>
          <w:rFonts w:ascii="Courier New" w:hAnsi="Courier New" w:cs="Courier New"/>
          <w:sz w:val="24"/>
          <w:szCs w:val="24"/>
        </w:rPr>
        <w:t xml:space="preserve"> and Payne Garage, Gweru.  The appellants had told the now deceased </w:t>
      </w:r>
      <w:r>
        <w:rPr>
          <w:rFonts w:ascii="Courier New" w:hAnsi="Courier New" w:cs="Courier New"/>
          <w:sz w:val="24"/>
          <w:szCs w:val="24"/>
        </w:rPr>
        <w:lastRenderedPageBreak/>
        <w:t xml:space="preserve">persons that they had some gold for sale and that there was a gold rush near </w:t>
      </w:r>
      <w:proofErr w:type="spellStart"/>
      <w:r>
        <w:rPr>
          <w:rFonts w:ascii="Courier New" w:hAnsi="Courier New" w:cs="Courier New"/>
          <w:sz w:val="24"/>
          <w:szCs w:val="24"/>
        </w:rPr>
        <w:t>Kwekwe</w:t>
      </w:r>
      <w:proofErr w:type="spellEnd"/>
      <w:r>
        <w:rPr>
          <w:rFonts w:ascii="Courier New" w:hAnsi="Courier New" w:cs="Courier New"/>
          <w:sz w:val="24"/>
          <w:szCs w:val="24"/>
        </w:rPr>
        <w:t xml:space="preserve"> River.  The deceased occupied the front seat of their motor vehicle, a Nissan Patrol registration number ABK 0999 while the appellants got into the back of the motor vehicle.  The appellants had in their possession what the State called a bottle of cyanide poison and what the appellants termed some tablets to induce drowsiness of the deceased to facilitate the robbery of their properties.</w:t>
      </w:r>
      <w:r w:rsidR="00563EBD">
        <w:rPr>
          <w:rFonts w:ascii="Courier New" w:hAnsi="Courier New" w:cs="Courier New"/>
          <w:sz w:val="24"/>
          <w:szCs w:val="24"/>
        </w:rPr>
        <w:t xml:space="preserve">  The appellants put the poisonous substance in the drinking water of first and second deceased persons which was in the cooler box at the back of the vehicle.  On arrival at Cactus Farm about 1</w:t>
      </w:r>
      <w:r w:rsidR="0061465D">
        <w:rPr>
          <w:rFonts w:ascii="Courier New" w:hAnsi="Courier New" w:cs="Courier New"/>
          <w:sz w:val="24"/>
          <w:szCs w:val="24"/>
        </w:rPr>
        <w:t>0 km from the Gweru-</w:t>
      </w:r>
      <w:proofErr w:type="spellStart"/>
      <w:r w:rsidR="0061465D">
        <w:rPr>
          <w:rFonts w:ascii="Courier New" w:hAnsi="Courier New" w:cs="Courier New"/>
          <w:sz w:val="24"/>
          <w:szCs w:val="24"/>
        </w:rPr>
        <w:t>Kwekwe</w:t>
      </w:r>
      <w:proofErr w:type="spellEnd"/>
      <w:r w:rsidR="0061465D">
        <w:rPr>
          <w:rFonts w:ascii="Courier New" w:hAnsi="Courier New" w:cs="Courier New"/>
          <w:sz w:val="24"/>
          <w:szCs w:val="24"/>
        </w:rPr>
        <w:t xml:space="preserve"> road</w:t>
      </w:r>
      <w:r w:rsidR="00361B54">
        <w:rPr>
          <w:rFonts w:ascii="Courier New" w:hAnsi="Courier New" w:cs="Courier New"/>
          <w:sz w:val="24"/>
          <w:szCs w:val="24"/>
        </w:rPr>
        <w:t xml:space="preserve">, the first and second deceased drank the poisoned water.  The first deceased died instantly after drinking the water.  The second deceased vomited and regained consciousness.  He was subsequently struck on the head by one of the appellants and died on the spot.  The two appellants took from the deceased among other things their Nissan Patrol vehicle, two metal </w:t>
      </w:r>
      <w:proofErr w:type="gramStart"/>
      <w:r w:rsidR="00361B54">
        <w:rPr>
          <w:rFonts w:ascii="Courier New" w:hAnsi="Courier New" w:cs="Courier New"/>
          <w:sz w:val="24"/>
          <w:szCs w:val="24"/>
        </w:rPr>
        <w:t>detector</w:t>
      </w:r>
      <w:proofErr w:type="gramEnd"/>
      <w:r w:rsidR="00361B54">
        <w:rPr>
          <w:rFonts w:ascii="Courier New" w:hAnsi="Courier New" w:cs="Courier New"/>
          <w:sz w:val="24"/>
          <w:szCs w:val="24"/>
        </w:rPr>
        <w:t>, $260 cash and a hunting knife from the first deceased and $100 cash and beige desert boots from the second deceased.</w:t>
      </w:r>
      <w:r w:rsidR="00F23B51">
        <w:rPr>
          <w:rFonts w:ascii="Courier New" w:hAnsi="Courier New" w:cs="Courier New"/>
          <w:sz w:val="24"/>
          <w:szCs w:val="24"/>
        </w:rPr>
        <w:tab/>
      </w:r>
    </w:p>
    <w:p w:rsidR="00D844F0" w:rsidRDefault="00D844F0" w:rsidP="00A516BB">
      <w:pPr>
        <w:spacing w:line="240" w:lineRule="auto"/>
        <w:ind w:firstLine="1440"/>
        <w:jc w:val="both"/>
        <w:rPr>
          <w:rFonts w:ascii="Courier New" w:hAnsi="Courier New" w:cs="Courier New"/>
          <w:sz w:val="24"/>
          <w:szCs w:val="24"/>
        </w:rPr>
      </w:pPr>
    </w:p>
    <w:p w:rsidR="00D844F0" w:rsidRDefault="00D844F0" w:rsidP="00F23B51">
      <w:pPr>
        <w:spacing w:line="480" w:lineRule="auto"/>
        <w:ind w:firstLine="1440"/>
        <w:jc w:val="both"/>
        <w:rPr>
          <w:rFonts w:ascii="Courier New" w:hAnsi="Courier New" w:cs="Courier New"/>
          <w:sz w:val="24"/>
          <w:szCs w:val="24"/>
        </w:rPr>
      </w:pPr>
      <w:r>
        <w:rPr>
          <w:rFonts w:ascii="Courier New" w:hAnsi="Courier New" w:cs="Courier New"/>
          <w:sz w:val="24"/>
          <w:szCs w:val="24"/>
        </w:rPr>
        <w:t xml:space="preserve">The appellants were confronted by the police while driving the stolen vehicle along the road to Sango Boarder Post near </w:t>
      </w:r>
      <w:proofErr w:type="spellStart"/>
      <w:r>
        <w:rPr>
          <w:rFonts w:ascii="Courier New" w:hAnsi="Courier New" w:cs="Courier New"/>
          <w:sz w:val="24"/>
          <w:szCs w:val="24"/>
        </w:rPr>
        <w:t>Chikombedzi</w:t>
      </w:r>
      <w:proofErr w:type="spellEnd"/>
      <w:r>
        <w:rPr>
          <w:rFonts w:ascii="Courier New" w:hAnsi="Courier New" w:cs="Courier New"/>
          <w:sz w:val="24"/>
          <w:szCs w:val="24"/>
        </w:rPr>
        <w:t xml:space="preserve"> leading to the arrest of the first </w:t>
      </w:r>
      <w:r>
        <w:rPr>
          <w:rFonts w:ascii="Courier New" w:hAnsi="Courier New" w:cs="Courier New"/>
          <w:sz w:val="24"/>
          <w:szCs w:val="24"/>
        </w:rPr>
        <w:lastRenderedPageBreak/>
        <w:t xml:space="preserve">appellant on 29 March 2011.  The second appellant escaped but was later arrested in </w:t>
      </w:r>
      <w:proofErr w:type="spellStart"/>
      <w:r>
        <w:rPr>
          <w:rFonts w:ascii="Courier New" w:hAnsi="Courier New" w:cs="Courier New"/>
          <w:sz w:val="24"/>
          <w:szCs w:val="24"/>
        </w:rPr>
        <w:t>Bindura</w:t>
      </w:r>
      <w:proofErr w:type="spellEnd"/>
      <w:r>
        <w:rPr>
          <w:rFonts w:ascii="Courier New" w:hAnsi="Courier New" w:cs="Courier New"/>
          <w:sz w:val="24"/>
          <w:szCs w:val="24"/>
        </w:rPr>
        <w:t xml:space="preserve"> on 11 July 2011. </w:t>
      </w:r>
    </w:p>
    <w:p w:rsidR="00D844F0" w:rsidRDefault="00D844F0" w:rsidP="00A516BB">
      <w:pPr>
        <w:spacing w:line="240" w:lineRule="auto"/>
        <w:ind w:firstLine="1440"/>
        <w:jc w:val="both"/>
        <w:rPr>
          <w:rFonts w:ascii="Courier New" w:hAnsi="Courier New" w:cs="Courier New"/>
          <w:sz w:val="24"/>
          <w:szCs w:val="24"/>
        </w:rPr>
      </w:pPr>
    </w:p>
    <w:p w:rsidR="00D844F0" w:rsidRDefault="00D844F0" w:rsidP="000C1294">
      <w:pPr>
        <w:spacing w:after="0" w:line="480" w:lineRule="auto"/>
        <w:ind w:firstLine="1440"/>
        <w:jc w:val="both"/>
        <w:rPr>
          <w:rFonts w:ascii="Courier New" w:hAnsi="Courier New" w:cs="Courier New"/>
          <w:sz w:val="24"/>
          <w:szCs w:val="24"/>
        </w:rPr>
      </w:pPr>
      <w:r>
        <w:rPr>
          <w:rFonts w:ascii="Courier New" w:hAnsi="Courier New" w:cs="Courier New"/>
          <w:sz w:val="24"/>
          <w:szCs w:val="24"/>
        </w:rPr>
        <w:t xml:space="preserve">On 31 March 2011, Dr A R </w:t>
      </w:r>
      <w:proofErr w:type="spellStart"/>
      <w:r>
        <w:rPr>
          <w:rFonts w:ascii="Courier New" w:hAnsi="Courier New" w:cs="Courier New"/>
          <w:sz w:val="24"/>
          <w:szCs w:val="24"/>
        </w:rPr>
        <w:t>Casteiinos</w:t>
      </w:r>
      <w:proofErr w:type="spellEnd"/>
      <w:r>
        <w:rPr>
          <w:rFonts w:ascii="Courier New" w:hAnsi="Courier New" w:cs="Courier New"/>
          <w:sz w:val="24"/>
          <w:szCs w:val="24"/>
        </w:rPr>
        <w:t xml:space="preserve"> carried out post mortems on the remains of the deceased persons and concluded that in respect of the first deceased the cause of death was indeterminate due to severe state of decomposition.  In respect of second deceased he concluded that the </w:t>
      </w:r>
      <w:r w:rsidR="00A516BB">
        <w:rPr>
          <w:rFonts w:ascii="Courier New" w:hAnsi="Courier New" w:cs="Courier New"/>
          <w:sz w:val="24"/>
          <w:szCs w:val="24"/>
        </w:rPr>
        <w:t>cause</w:t>
      </w:r>
      <w:r>
        <w:rPr>
          <w:rFonts w:ascii="Courier New" w:hAnsi="Courier New" w:cs="Courier New"/>
          <w:sz w:val="24"/>
          <w:szCs w:val="24"/>
        </w:rPr>
        <w:t xml:space="preserve"> of death was:</w:t>
      </w:r>
    </w:p>
    <w:p w:rsidR="00D844F0" w:rsidRDefault="00D844F0" w:rsidP="000C1294">
      <w:pPr>
        <w:pStyle w:val="ListParagraph"/>
        <w:numPr>
          <w:ilvl w:val="0"/>
          <w:numId w:val="12"/>
        </w:numPr>
        <w:spacing w:after="0" w:line="480" w:lineRule="auto"/>
        <w:jc w:val="both"/>
        <w:rPr>
          <w:rFonts w:ascii="Courier New" w:hAnsi="Courier New" w:cs="Courier New"/>
          <w:sz w:val="24"/>
          <w:szCs w:val="24"/>
        </w:rPr>
      </w:pPr>
      <w:r>
        <w:rPr>
          <w:rFonts w:ascii="Courier New" w:hAnsi="Courier New" w:cs="Courier New"/>
          <w:sz w:val="24"/>
          <w:szCs w:val="24"/>
        </w:rPr>
        <w:t>depressed skull fracture</w:t>
      </w:r>
    </w:p>
    <w:p w:rsidR="00D844F0" w:rsidRDefault="00D844F0" w:rsidP="00D844F0">
      <w:pPr>
        <w:pStyle w:val="ListParagraph"/>
        <w:numPr>
          <w:ilvl w:val="0"/>
          <w:numId w:val="12"/>
        </w:numPr>
        <w:spacing w:line="480" w:lineRule="auto"/>
        <w:jc w:val="both"/>
        <w:rPr>
          <w:rFonts w:ascii="Courier New" w:hAnsi="Courier New" w:cs="Courier New"/>
          <w:sz w:val="24"/>
          <w:szCs w:val="24"/>
        </w:rPr>
      </w:pPr>
      <w:r>
        <w:rPr>
          <w:rFonts w:ascii="Courier New" w:hAnsi="Courier New" w:cs="Courier New"/>
          <w:sz w:val="24"/>
          <w:szCs w:val="24"/>
        </w:rPr>
        <w:t>head injury</w:t>
      </w:r>
    </w:p>
    <w:p w:rsidR="00D844F0" w:rsidRDefault="00D844F0" w:rsidP="00D844F0">
      <w:pPr>
        <w:pStyle w:val="ListParagraph"/>
        <w:numPr>
          <w:ilvl w:val="0"/>
          <w:numId w:val="12"/>
        </w:numPr>
        <w:spacing w:line="480" w:lineRule="auto"/>
        <w:jc w:val="both"/>
        <w:rPr>
          <w:rFonts w:ascii="Courier New" w:hAnsi="Courier New" w:cs="Courier New"/>
          <w:sz w:val="24"/>
          <w:szCs w:val="24"/>
        </w:rPr>
      </w:pPr>
      <w:r>
        <w:rPr>
          <w:rFonts w:ascii="Courier New" w:hAnsi="Courier New" w:cs="Courier New"/>
          <w:sz w:val="24"/>
          <w:szCs w:val="24"/>
        </w:rPr>
        <w:t>assault</w:t>
      </w:r>
    </w:p>
    <w:p w:rsidR="000C1294" w:rsidRDefault="000C1294" w:rsidP="000C1294">
      <w:pPr>
        <w:pStyle w:val="ListParagraph"/>
        <w:spacing w:line="240" w:lineRule="auto"/>
        <w:ind w:left="1440"/>
        <w:jc w:val="both"/>
        <w:rPr>
          <w:rFonts w:ascii="Courier New" w:hAnsi="Courier New" w:cs="Courier New"/>
          <w:sz w:val="24"/>
          <w:szCs w:val="24"/>
        </w:rPr>
      </w:pPr>
    </w:p>
    <w:p w:rsidR="00D844F0" w:rsidRDefault="00D844F0" w:rsidP="00D4746F">
      <w:pPr>
        <w:spacing w:line="480" w:lineRule="auto"/>
        <w:ind w:left="90" w:firstLine="1350"/>
        <w:jc w:val="both"/>
        <w:rPr>
          <w:rFonts w:ascii="Courier New" w:hAnsi="Courier New" w:cs="Courier New"/>
          <w:sz w:val="24"/>
          <w:szCs w:val="24"/>
        </w:rPr>
      </w:pPr>
      <w:r>
        <w:rPr>
          <w:rFonts w:ascii="Courier New" w:hAnsi="Courier New" w:cs="Courier New"/>
          <w:sz w:val="24"/>
          <w:szCs w:val="24"/>
        </w:rPr>
        <w:t xml:space="preserve">Although the appellants’ counsel conceded that both conviction and sentence were properly made by the court </w:t>
      </w:r>
      <w:r w:rsidRPr="00D844F0">
        <w:rPr>
          <w:rFonts w:ascii="Courier New" w:hAnsi="Courier New" w:cs="Courier New"/>
          <w:i/>
          <w:sz w:val="24"/>
          <w:szCs w:val="24"/>
        </w:rPr>
        <w:t>a quo</w:t>
      </w:r>
      <w:r>
        <w:rPr>
          <w:rFonts w:ascii="Courier New" w:hAnsi="Courier New" w:cs="Courier New"/>
          <w:sz w:val="24"/>
          <w:szCs w:val="24"/>
        </w:rPr>
        <w:t xml:space="preserve">, three matters </w:t>
      </w:r>
      <w:r w:rsidR="00FD01EE">
        <w:rPr>
          <w:rFonts w:ascii="Courier New" w:hAnsi="Courier New" w:cs="Courier New"/>
          <w:sz w:val="24"/>
          <w:szCs w:val="24"/>
        </w:rPr>
        <w:t xml:space="preserve">call for comment, whether the appellants were aware that the pills given to the deceased were lethal, liability for the death of the second deceased in the light f both the appellants implicating each other and the proper sentence in the circumstances.  </w:t>
      </w:r>
    </w:p>
    <w:p w:rsidR="000C1294" w:rsidRDefault="000C1294" w:rsidP="000C1294">
      <w:pPr>
        <w:spacing w:after="0" w:line="240" w:lineRule="auto"/>
        <w:jc w:val="both"/>
        <w:rPr>
          <w:rFonts w:ascii="Courier New" w:hAnsi="Courier New" w:cs="Courier New"/>
          <w:b/>
          <w:sz w:val="24"/>
          <w:szCs w:val="24"/>
          <w:u w:val="single"/>
        </w:rPr>
      </w:pPr>
    </w:p>
    <w:p w:rsidR="00FD01EE" w:rsidRPr="00FD01EE" w:rsidRDefault="00FD01EE" w:rsidP="000C1294">
      <w:pPr>
        <w:spacing w:after="0" w:line="480" w:lineRule="auto"/>
        <w:jc w:val="both"/>
        <w:rPr>
          <w:rFonts w:ascii="Courier New" w:hAnsi="Courier New" w:cs="Courier New"/>
          <w:b/>
          <w:sz w:val="24"/>
          <w:szCs w:val="24"/>
          <w:u w:val="single"/>
        </w:rPr>
      </w:pPr>
      <w:r w:rsidRPr="00FD01EE">
        <w:rPr>
          <w:rFonts w:ascii="Courier New" w:hAnsi="Courier New" w:cs="Courier New"/>
          <w:b/>
          <w:sz w:val="24"/>
          <w:szCs w:val="24"/>
          <w:u w:val="single"/>
        </w:rPr>
        <w:t>CONVICTION ON COUNT ONE</w:t>
      </w:r>
    </w:p>
    <w:p w:rsidR="006754E1" w:rsidRDefault="00FD01EE" w:rsidP="000C1294">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The submission was initially made, but subsequently abandoned, on behalf of the appellants that the State had not proved beyond reasonable doubt that the appellants were aware that that pills given to the deceased were lethal and that </w:t>
      </w:r>
      <w:r>
        <w:rPr>
          <w:rFonts w:ascii="Courier New" w:hAnsi="Courier New" w:cs="Courier New"/>
          <w:sz w:val="24"/>
          <w:szCs w:val="24"/>
        </w:rPr>
        <w:lastRenderedPageBreak/>
        <w:t>they only intended to make them drowsy to facilitate theft of their property.  Since no toxicology report was produced by the State to prove the lethal effect of the pills, so the argument goes, it is possible that the appellants merely negligently but unwi</w:t>
      </w:r>
      <w:r w:rsidR="006754E1">
        <w:rPr>
          <w:rFonts w:ascii="Courier New" w:hAnsi="Courier New" w:cs="Courier New"/>
          <w:sz w:val="24"/>
          <w:szCs w:val="24"/>
        </w:rPr>
        <w:t>ttingly overdosed the deceased, causing the pills to go beyond just making them drowsy.  Thus, the appellants would have been negligent in administering an unknown substance without bothering to ascertain the effect or correct dosage and would have been guilty of culpable homicide rather than murder with constructive intent.  As has been pointed out already, this submission is not sustainable in the light of the evidence and was rightly abandoned.</w:t>
      </w:r>
    </w:p>
    <w:p w:rsidR="006754E1" w:rsidRDefault="006754E1" w:rsidP="000C1294">
      <w:pPr>
        <w:spacing w:line="240" w:lineRule="auto"/>
        <w:jc w:val="both"/>
        <w:rPr>
          <w:rFonts w:ascii="Courier New" w:hAnsi="Courier New" w:cs="Courier New"/>
          <w:sz w:val="24"/>
          <w:szCs w:val="24"/>
        </w:rPr>
      </w:pPr>
    </w:p>
    <w:p w:rsidR="00F23B51" w:rsidRDefault="006754E1" w:rsidP="000538B3">
      <w:pPr>
        <w:spacing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The appellants could not have intended to merely to drug the deceased without killing them because the first deceased Sunderland, knew the first appellant very well and would have been able to identify him upon recovering leading to the arrest of the duo.  Further, when the second deceased showed signs of recovery, even through still too weak to offer any resistance to the theft, the appellants promptly hacked him down with a pick in order to silence him </w:t>
      </w:r>
      <w:r w:rsidR="000C1294">
        <w:rPr>
          <w:rFonts w:ascii="Courier New" w:hAnsi="Courier New" w:cs="Courier New"/>
          <w:sz w:val="24"/>
          <w:szCs w:val="24"/>
        </w:rPr>
        <w:t>forever</w:t>
      </w:r>
      <w:r>
        <w:rPr>
          <w:rFonts w:ascii="Courier New" w:hAnsi="Courier New" w:cs="Courier New"/>
          <w:sz w:val="24"/>
          <w:szCs w:val="24"/>
        </w:rPr>
        <w:t>.  It is also true that when the accused realised that the substance was killing their victims</w:t>
      </w:r>
      <w:r w:rsidR="000C1294">
        <w:rPr>
          <w:rFonts w:ascii="Courier New" w:hAnsi="Courier New" w:cs="Courier New"/>
          <w:sz w:val="24"/>
          <w:szCs w:val="24"/>
        </w:rPr>
        <w:t xml:space="preserve"> </w:t>
      </w:r>
      <w:r>
        <w:rPr>
          <w:rFonts w:ascii="Courier New" w:hAnsi="Courier New" w:cs="Courier New"/>
          <w:sz w:val="24"/>
          <w:szCs w:val="24"/>
        </w:rPr>
        <w:t>instead of making them just drowsy they did not abandon their</w:t>
      </w:r>
      <w:r w:rsidR="00A51914">
        <w:rPr>
          <w:rFonts w:ascii="Courier New" w:hAnsi="Courier New" w:cs="Courier New"/>
          <w:sz w:val="24"/>
          <w:szCs w:val="24"/>
        </w:rPr>
        <w:t xml:space="preserve"> enterprise and render assistance to the stricken but persisted with the robbery.  Hence, the trial court correctly dismissed the appellants’ claim that they </w:t>
      </w:r>
      <w:r w:rsidR="00A51914">
        <w:rPr>
          <w:rFonts w:ascii="Courier New" w:hAnsi="Courier New" w:cs="Courier New"/>
          <w:sz w:val="24"/>
          <w:szCs w:val="24"/>
        </w:rPr>
        <w:lastRenderedPageBreak/>
        <w:t>drugged the deceased to facilitate theft of their property and correctly held that they rightly found them guilty of murder with constructive intent with respect to the first deceased.</w:t>
      </w:r>
      <w:r>
        <w:rPr>
          <w:rFonts w:ascii="Courier New" w:hAnsi="Courier New" w:cs="Courier New"/>
          <w:sz w:val="24"/>
          <w:szCs w:val="24"/>
        </w:rPr>
        <w:t xml:space="preserve"> </w:t>
      </w:r>
    </w:p>
    <w:p w:rsidR="00785426" w:rsidRDefault="00785426" w:rsidP="00785426">
      <w:pPr>
        <w:spacing w:after="0" w:line="240" w:lineRule="auto"/>
        <w:jc w:val="both"/>
        <w:rPr>
          <w:rFonts w:ascii="Courier New" w:hAnsi="Courier New" w:cs="Courier New"/>
          <w:b/>
          <w:sz w:val="24"/>
          <w:szCs w:val="24"/>
          <w:u w:val="single"/>
        </w:rPr>
      </w:pPr>
    </w:p>
    <w:p w:rsidR="003C04FE" w:rsidRPr="003C04FE" w:rsidRDefault="003C04FE" w:rsidP="00785426">
      <w:pPr>
        <w:spacing w:after="0" w:line="480" w:lineRule="auto"/>
        <w:jc w:val="both"/>
        <w:rPr>
          <w:rFonts w:ascii="Courier New" w:hAnsi="Courier New" w:cs="Courier New"/>
          <w:b/>
          <w:sz w:val="24"/>
          <w:szCs w:val="24"/>
          <w:u w:val="single"/>
        </w:rPr>
      </w:pPr>
      <w:r w:rsidRPr="003C04FE">
        <w:rPr>
          <w:rFonts w:ascii="Courier New" w:hAnsi="Courier New" w:cs="Courier New"/>
          <w:b/>
          <w:sz w:val="24"/>
          <w:szCs w:val="24"/>
          <w:u w:val="single"/>
        </w:rPr>
        <w:t>CONVICTION ON COUNT TWO</w:t>
      </w:r>
    </w:p>
    <w:p w:rsidR="00FD594F" w:rsidRDefault="003C04FE" w:rsidP="00785426">
      <w:pPr>
        <w:spacing w:after="0" w:line="480" w:lineRule="auto"/>
        <w:ind w:firstLine="720"/>
        <w:jc w:val="both"/>
        <w:rPr>
          <w:rFonts w:ascii="Courier New" w:hAnsi="Courier New" w:cs="Courier New"/>
          <w:sz w:val="24"/>
          <w:szCs w:val="24"/>
        </w:rPr>
      </w:pPr>
      <w:r>
        <w:rPr>
          <w:rFonts w:ascii="Courier New" w:hAnsi="Courier New" w:cs="Courier New"/>
          <w:sz w:val="24"/>
          <w:szCs w:val="24"/>
        </w:rPr>
        <w:tab/>
        <w:t>While the evidence and the post-mortem report show that the second deceased was killed by the striking of the back of his head with a pick, it was not established who actually committed the deed.  Both the appellants implicated each other.  However, regardless of who committed</w:t>
      </w:r>
      <w:r w:rsidR="007B0FA7">
        <w:rPr>
          <w:rFonts w:ascii="Courier New" w:hAnsi="Courier New" w:cs="Courier New"/>
          <w:sz w:val="24"/>
          <w:szCs w:val="24"/>
        </w:rPr>
        <w:t xml:space="preserve"> the fatal deed, it is evident that both the appellant approved of the killing of the second deceased.  None of them sought to actively dissociate themselves from the crime but they </w:t>
      </w:r>
      <w:proofErr w:type="gramStart"/>
      <w:r w:rsidR="007B0FA7">
        <w:rPr>
          <w:rFonts w:ascii="Courier New" w:hAnsi="Courier New" w:cs="Courier New"/>
          <w:sz w:val="24"/>
          <w:szCs w:val="24"/>
        </w:rPr>
        <w:t>both drove</w:t>
      </w:r>
      <w:proofErr w:type="gramEnd"/>
      <w:r w:rsidR="007B0FA7">
        <w:rPr>
          <w:rFonts w:ascii="Courier New" w:hAnsi="Courier New" w:cs="Courier New"/>
          <w:sz w:val="24"/>
          <w:szCs w:val="24"/>
        </w:rPr>
        <w:t xml:space="preserve"> the deceased’s car, wore the clothes of the deceased and used the deceased persons’ prospecting machinery.  As was stated in </w:t>
      </w:r>
      <w:r w:rsidR="007B0FA7" w:rsidRPr="007B0FA7">
        <w:rPr>
          <w:rFonts w:ascii="Courier New" w:hAnsi="Courier New" w:cs="Courier New"/>
          <w:i/>
          <w:sz w:val="24"/>
          <w:szCs w:val="24"/>
        </w:rPr>
        <w:t xml:space="preserve">Alex </w:t>
      </w:r>
      <w:proofErr w:type="spellStart"/>
      <w:r w:rsidR="007B0FA7" w:rsidRPr="007B0FA7">
        <w:rPr>
          <w:rFonts w:ascii="Courier New" w:hAnsi="Courier New" w:cs="Courier New"/>
          <w:i/>
          <w:sz w:val="24"/>
          <w:szCs w:val="24"/>
        </w:rPr>
        <w:t>Toendepi</w:t>
      </w:r>
      <w:proofErr w:type="spellEnd"/>
      <w:r w:rsidR="007B0FA7" w:rsidRPr="007B0FA7">
        <w:rPr>
          <w:rFonts w:ascii="Courier New" w:hAnsi="Courier New" w:cs="Courier New"/>
          <w:i/>
          <w:sz w:val="24"/>
          <w:szCs w:val="24"/>
        </w:rPr>
        <w:t xml:space="preserve"> </w:t>
      </w:r>
      <w:proofErr w:type="spellStart"/>
      <w:r w:rsidR="007B0FA7" w:rsidRPr="007B0FA7">
        <w:rPr>
          <w:rFonts w:ascii="Courier New" w:hAnsi="Courier New" w:cs="Courier New"/>
          <w:i/>
          <w:sz w:val="24"/>
          <w:szCs w:val="24"/>
        </w:rPr>
        <w:t>Ngisazi</w:t>
      </w:r>
      <w:proofErr w:type="spellEnd"/>
      <w:r w:rsidR="007B0FA7" w:rsidRPr="007B0FA7">
        <w:rPr>
          <w:rFonts w:ascii="Courier New" w:hAnsi="Courier New" w:cs="Courier New"/>
          <w:i/>
          <w:sz w:val="24"/>
          <w:szCs w:val="24"/>
        </w:rPr>
        <w:t xml:space="preserve"> v The State</w:t>
      </w:r>
      <w:r w:rsidR="007B0FA7">
        <w:rPr>
          <w:rFonts w:ascii="Courier New" w:hAnsi="Courier New" w:cs="Courier New"/>
          <w:sz w:val="24"/>
          <w:szCs w:val="24"/>
        </w:rPr>
        <w:t xml:space="preserve"> SC 49/02: </w:t>
      </w:r>
      <w:r>
        <w:rPr>
          <w:rFonts w:ascii="Courier New" w:hAnsi="Courier New" w:cs="Courier New"/>
          <w:sz w:val="24"/>
          <w:szCs w:val="24"/>
        </w:rPr>
        <w:t xml:space="preserve"> </w:t>
      </w:r>
    </w:p>
    <w:p w:rsidR="000538B3" w:rsidRDefault="007B0FA7" w:rsidP="007B0FA7">
      <w:pPr>
        <w:spacing w:line="240" w:lineRule="auto"/>
        <w:ind w:left="810"/>
        <w:jc w:val="both"/>
        <w:rPr>
          <w:rFonts w:ascii="Courier New" w:hAnsi="Courier New" w:cs="Courier New"/>
          <w:sz w:val="24"/>
          <w:szCs w:val="24"/>
        </w:rPr>
      </w:pPr>
      <w:r>
        <w:rPr>
          <w:rFonts w:ascii="Courier New" w:hAnsi="Courier New" w:cs="Courier New"/>
          <w:sz w:val="24"/>
          <w:szCs w:val="24"/>
        </w:rPr>
        <w:t>“If someone is killed, then generally speaking, the one who fires the shot, and those of his colleagues who know he is armed and who do not actively disassociate themselves from the killing are guilty of murder and whether the intend is actual or constructive, are likely to be sentenced to death.”</w:t>
      </w:r>
    </w:p>
    <w:p w:rsidR="000538B3" w:rsidRDefault="000538B3" w:rsidP="00DC0BEE">
      <w:pPr>
        <w:spacing w:after="0" w:line="240" w:lineRule="auto"/>
        <w:ind w:firstLine="720"/>
        <w:jc w:val="both"/>
        <w:rPr>
          <w:rFonts w:ascii="Courier New" w:hAnsi="Courier New" w:cs="Courier New"/>
          <w:sz w:val="24"/>
          <w:szCs w:val="24"/>
        </w:rPr>
      </w:pPr>
    </w:p>
    <w:p w:rsidR="00DC0BEE" w:rsidRDefault="00DC0BEE" w:rsidP="00DC0BEE">
      <w:pPr>
        <w:spacing w:after="0" w:line="240" w:lineRule="auto"/>
        <w:ind w:firstLine="720"/>
        <w:jc w:val="both"/>
        <w:rPr>
          <w:rFonts w:ascii="Courier New" w:hAnsi="Courier New" w:cs="Courier New"/>
          <w:sz w:val="24"/>
          <w:szCs w:val="24"/>
        </w:rPr>
      </w:pPr>
    </w:p>
    <w:p w:rsidR="000538B3" w:rsidRDefault="00E65171" w:rsidP="00DC0BEE">
      <w:pPr>
        <w:spacing w:line="480" w:lineRule="auto"/>
        <w:ind w:firstLine="1440"/>
        <w:jc w:val="both"/>
        <w:rPr>
          <w:rFonts w:ascii="Courier New" w:hAnsi="Courier New" w:cs="Courier New"/>
          <w:sz w:val="24"/>
          <w:szCs w:val="24"/>
        </w:rPr>
      </w:pPr>
      <w:r>
        <w:rPr>
          <w:rFonts w:ascii="Courier New" w:hAnsi="Courier New" w:cs="Courier New"/>
          <w:sz w:val="24"/>
          <w:szCs w:val="24"/>
        </w:rPr>
        <w:t>Thus both the appellants were properly found guilty of murder with actual intent in respect of the second count.</w:t>
      </w:r>
    </w:p>
    <w:p w:rsidR="00DC0BEE" w:rsidRDefault="00DC0BEE" w:rsidP="00DC0BEE">
      <w:pPr>
        <w:spacing w:after="0" w:line="240" w:lineRule="auto"/>
        <w:jc w:val="both"/>
        <w:rPr>
          <w:rFonts w:ascii="Courier New" w:hAnsi="Courier New" w:cs="Courier New"/>
          <w:b/>
          <w:sz w:val="24"/>
          <w:szCs w:val="24"/>
          <w:u w:val="single"/>
        </w:rPr>
      </w:pPr>
    </w:p>
    <w:p w:rsidR="00DC0BEE" w:rsidRDefault="00DC0BEE" w:rsidP="00DC0BEE">
      <w:pPr>
        <w:spacing w:after="0" w:line="240" w:lineRule="auto"/>
        <w:jc w:val="both"/>
        <w:rPr>
          <w:rFonts w:ascii="Courier New" w:hAnsi="Courier New" w:cs="Courier New"/>
          <w:b/>
          <w:sz w:val="24"/>
          <w:szCs w:val="24"/>
          <w:u w:val="single"/>
        </w:rPr>
      </w:pPr>
    </w:p>
    <w:p w:rsidR="00DC0BEE" w:rsidRDefault="00DC0BEE" w:rsidP="00DC0BEE">
      <w:pPr>
        <w:spacing w:after="0" w:line="240" w:lineRule="auto"/>
        <w:jc w:val="both"/>
        <w:rPr>
          <w:rFonts w:ascii="Courier New" w:hAnsi="Courier New" w:cs="Courier New"/>
          <w:b/>
          <w:sz w:val="24"/>
          <w:szCs w:val="24"/>
          <w:u w:val="single"/>
        </w:rPr>
      </w:pPr>
    </w:p>
    <w:p w:rsidR="00DC0BEE" w:rsidRDefault="00DC0BEE" w:rsidP="00DC0BEE">
      <w:pPr>
        <w:spacing w:after="0" w:line="240" w:lineRule="auto"/>
        <w:jc w:val="both"/>
        <w:rPr>
          <w:rFonts w:ascii="Courier New" w:hAnsi="Courier New" w:cs="Courier New"/>
          <w:b/>
          <w:sz w:val="24"/>
          <w:szCs w:val="24"/>
          <w:u w:val="single"/>
        </w:rPr>
      </w:pPr>
    </w:p>
    <w:p w:rsidR="00DC0BEE" w:rsidRDefault="00DC0BEE" w:rsidP="00DC0BEE">
      <w:pPr>
        <w:spacing w:after="0" w:line="240" w:lineRule="auto"/>
        <w:jc w:val="both"/>
        <w:rPr>
          <w:rFonts w:ascii="Courier New" w:hAnsi="Courier New" w:cs="Courier New"/>
          <w:b/>
          <w:sz w:val="24"/>
          <w:szCs w:val="24"/>
          <w:u w:val="single"/>
        </w:rPr>
      </w:pPr>
    </w:p>
    <w:p w:rsidR="00E65171" w:rsidRPr="00E65171" w:rsidRDefault="00E65171" w:rsidP="00DC0BEE">
      <w:pPr>
        <w:spacing w:after="0" w:line="480" w:lineRule="auto"/>
        <w:jc w:val="both"/>
        <w:rPr>
          <w:rFonts w:ascii="Courier New" w:hAnsi="Courier New" w:cs="Courier New"/>
          <w:b/>
          <w:sz w:val="24"/>
          <w:szCs w:val="24"/>
          <w:u w:val="single"/>
        </w:rPr>
      </w:pPr>
      <w:r w:rsidRPr="00E65171">
        <w:rPr>
          <w:rFonts w:ascii="Courier New" w:hAnsi="Courier New" w:cs="Courier New"/>
          <w:b/>
          <w:sz w:val="24"/>
          <w:szCs w:val="24"/>
          <w:u w:val="single"/>
        </w:rPr>
        <w:lastRenderedPageBreak/>
        <w:t>SENTENCE</w:t>
      </w:r>
    </w:p>
    <w:p w:rsidR="00E65171" w:rsidRDefault="00E65171" w:rsidP="00DC0BEE">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 xml:space="preserve">Mr </w:t>
      </w:r>
      <w:proofErr w:type="spellStart"/>
      <w:r w:rsidRPr="00DC0BEE">
        <w:rPr>
          <w:rFonts w:ascii="Courier New" w:hAnsi="Courier New" w:cs="Courier New"/>
          <w:i/>
          <w:sz w:val="24"/>
          <w:szCs w:val="24"/>
        </w:rPr>
        <w:t>Museta</w:t>
      </w:r>
      <w:proofErr w:type="spellEnd"/>
      <w:r w:rsidR="00DC0BEE">
        <w:rPr>
          <w:rFonts w:ascii="Courier New" w:hAnsi="Courier New" w:cs="Courier New"/>
          <w:sz w:val="24"/>
          <w:szCs w:val="24"/>
        </w:rPr>
        <w:t xml:space="preserve"> for the second appellant, </w:t>
      </w:r>
      <w:r>
        <w:rPr>
          <w:rFonts w:ascii="Courier New" w:hAnsi="Courier New" w:cs="Courier New"/>
          <w:sz w:val="24"/>
          <w:szCs w:val="24"/>
        </w:rPr>
        <w:t>correctly conceded, in my view that there were no extenuating circumstances in the commission of these offences.</w:t>
      </w:r>
      <w:proofErr w:type="gramEnd"/>
      <w:r>
        <w:rPr>
          <w:rFonts w:ascii="Courier New" w:hAnsi="Courier New" w:cs="Courier New"/>
          <w:sz w:val="24"/>
          <w:szCs w:val="24"/>
        </w:rPr>
        <w:t xml:space="preserve">  Poising a victim and leaving him to die as happened in the case of the first deceased, poising a victim and then fatally striking him with a pick when he showed signs of recovery and as he pleaded to be taken to hospital are all inherently wicked acts.  This was a callous double killing committed in the course of a robbery.  In the case of </w:t>
      </w:r>
      <w:r w:rsidRPr="00E65171">
        <w:rPr>
          <w:rFonts w:ascii="Courier New" w:hAnsi="Courier New" w:cs="Courier New"/>
          <w:i/>
          <w:sz w:val="24"/>
          <w:szCs w:val="24"/>
        </w:rPr>
        <w:t xml:space="preserve">Robert </w:t>
      </w:r>
      <w:proofErr w:type="spellStart"/>
      <w:r w:rsidRPr="00E65171">
        <w:rPr>
          <w:rFonts w:ascii="Courier New" w:hAnsi="Courier New" w:cs="Courier New"/>
          <w:i/>
          <w:sz w:val="24"/>
          <w:szCs w:val="24"/>
        </w:rPr>
        <w:t>Chingaona</w:t>
      </w:r>
      <w:proofErr w:type="spellEnd"/>
      <w:r w:rsidRPr="00E65171">
        <w:rPr>
          <w:rFonts w:ascii="Courier New" w:hAnsi="Courier New" w:cs="Courier New"/>
          <w:i/>
          <w:sz w:val="24"/>
          <w:szCs w:val="24"/>
        </w:rPr>
        <w:t xml:space="preserve"> v The State</w:t>
      </w:r>
      <w:r>
        <w:rPr>
          <w:rFonts w:ascii="Courier New" w:hAnsi="Courier New" w:cs="Courier New"/>
          <w:sz w:val="24"/>
          <w:szCs w:val="24"/>
        </w:rPr>
        <w:t xml:space="preserve"> SC 105/02 it was stated thus:</w:t>
      </w:r>
    </w:p>
    <w:p w:rsidR="009C6F43" w:rsidRDefault="009C6F43" w:rsidP="009C6F43">
      <w:pPr>
        <w:spacing w:line="240" w:lineRule="auto"/>
        <w:ind w:left="720" w:hanging="720"/>
        <w:jc w:val="both"/>
        <w:rPr>
          <w:rFonts w:ascii="Courier New" w:hAnsi="Courier New" w:cs="Courier New"/>
          <w:sz w:val="24"/>
          <w:szCs w:val="24"/>
        </w:rPr>
      </w:pPr>
      <w:r>
        <w:rPr>
          <w:rFonts w:ascii="Courier New" w:hAnsi="Courier New" w:cs="Courier New"/>
          <w:sz w:val="24"/>
          <w:szCs w:val="24"/>
        </w:rPr>
        <w:tab/>
        <w:t>“Warnings have frequently been given that, in the absence of weight extenuating circumstances a murder committed in the course of a robbery will attract a the death penalty.”</w:t>
      </w:r>
    </w:p>
    <w:p w:rsidR="00E65171" w:rsidRDefault="00E65171" w:rsidP="00DC0BEE">
      <w:pPr>
        <w:spacing w:line="240" w:lineRule="auto"/>
        <w:jc w:val="both"/>
        <w:rPr>
          <w:rFonts w:ascii="Courier New" w:hAnsi="Courier New" w:cs="Courier New"/>
          <w:sz w:val="24"/>
          <w:szCs w:val="24"/>
        </w:rPr>
      </w:pPr>
      <w:r>
        <w:rPr>
          <w:rFonts w:ascii="Courier New" w:hAnsi="Courier New" w:cs="Courier New"/>
          <w:sz w:val="24"/>
          <w:szCs w:val="24"/>
        </w:rPr>
        <w:t xml:space="preserve"> </w:t>
      </w:r>
    </w:p>
    <w:p w:rsidR="00FB653A" w:rsidRDefault="00FB653A" w:rsidP="00E65171">
      <w:pPr>
        <w:spacing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The trial court did not find any extenuating circumstances and correctly imposed the maximum penalty on the appellants.</w:t>
      </w:r>
    </w:p>
    <w:p w:rsidR="00FB653A" w:rsidRDefault="00FB653A" w:rsidP="00DC0BEE">
      <w:pPr>
        <w:spacing w:after="0" w:line="240" w:lineRule="auto"/>
        <w:jc w:val="both"/>
        <w:rPr>
          <w:rFonts w:ascii="Courier New" w:hAnsi="Courier New" w:cs="Courier New"/>
          <w:sz w:val="24"/>
          <w:szCs w:val="24"/>
        </w:rPr>
      </w:pPr>
    </w:p>
    <w:p w:rsidR="00FB653A" w:rsidRPr="00FB653A" w:rsidRDefault="00FB653A" w:rsidP="00DC0BEE">
      <w:pPr>
        <w:spacing w:after="0" w:line="480" w:lineRule="auto"/>
        <w:jc w:val="both"/>
        <w:rPr>
          <w:rFonts w:ascii="Courier New" w:hAnsi="Courier New" w:cs="Courier New"/>
          <w:b/>
          <w:sz w:val="24"/>
          <w:szCs w:val="24"/>
          <w:u w:val="single"/>
        </w:rPr>
      </w:pPr>
      <w:r w:rsidRPr="00FB653A">
        <w:rPr>
          <w:rFonts w:ascii="Courier New" w:hAnsi="Courier New" w:cs="Courier New"/>
          <w:b/>
          <w:sz w:val="24"/>
          <w:szCs w:val="24"/>
          <w:u w:val="single"/>
        </w:rPr>
        <w:t>CONCLUSION</w:t>
      </w:r>
    </w:p>
    <w:p w:rsidR="000538B3" w:rsidRDefault="00FB653A" w:rsidP="00DC0BEE">
      <w:pPr>
        <w:spacing w:after="0" w:line="480" w:lineRule="auto"/>
        <w:ind w:firstLine="720"/>
        <w:jc w:val="both"/>
        <w:rPr>
          <w:rFonts w:ascii="Courier New" w:hAnsi="Courier New" w:cs="Courier New"/>
          <w:sz w:val="24"/>
          <w:szCs w:val="24"/>
        </w:rPr>
      </w:pPr>
      <w:r>
        <w:rPr>
          <w:rFonts w:ascii="Courier New" w:hAnsi="Courier New" w:cs="Courier New"/>
          <w:sz w:val="24"/>
          <w:szCs w:val="24"/>
        </w:rPr>
        <w:tab/>
        <w:t xml:space="preserve">The trial court did not misdirect itself in finding the two appellants guilty of murder with </w:t>
      </w:r>
      <w:r w:rsidR="00DC0BEE">
        <w:rPr>
          <w:rFonts w:ascii="Courier New" w:hAnsi="Courier New" w:cs="Courier New"/>
          <w:sz w:val="24"/>
          <w:szCs w:val="24"/>
        </w:rPr>
        <w:t>constructive</w:t>
      </w:r>
      <w:r>
        <w:rPr>
          <w:rFonts w:ascii="Courier New" w:hAnsi="Courier New" w:cs="Courier New"/>
          <w:sz w:val="24"/>
          <w:szCs w:val="24"/>
        </w:rPr>
        <w:t xml:space="preserve"> intent in respect of the first deceased and murder with actual intent with </w:t>
      </w:r>
      <w:r w:rsidR="008A1D7A">
        <w:rPr>
          <w:rFonts w:ascii="Courier New" w:hAnsi="Courier New" w:cs="Courier New"/>
          <w:sz w:val="24"/>
          <w:szCs w:val="24"/>
        </w:rPr>
        <w:t>respect of the second deceased and imposing the death penalty on the appellants.</w:t>
      </w:r>
    </w:p>
    <w:p w:rsidR="008A1D7A" w:rsidRDefault="008A1D7A" w:rsidP="006E4D90">
      <w:pPr>
        <w:spacing w:line="480" w:lineRule="auto"/>
        <w:ind w:firstLine="720"/>
        <w:jc w:val="both"/>
        <w:rPr>
          <w:rFonts w:ascii="Courier New" w:hAnsi="Courier New" w:cs="Courier New"/>
          <w:sz w:val="24"/>
          <w:szCs w:val="24"/>
        </w:rPr>
      </w:pPr>
    </w:p>
    <w:p w:rsidR="008A1D7A" w:rsidRDefault="008A1D7A" w:rsidP="008A1D7A">
      <w:pPr>
        <w:spacing w:line="480" w:lineRule="auto"/>
        <w:ind w:firstLine="1440"/>
        <w:jc w:val="both"/>
        <w:rPr>
          <w:rFonts w:ascii="Courier New" w:hAnsi="Courier New" w:cs="Courier New"/>
          <w:sz w:val="24"/>
          <w:szCs w:val="24"/>
        </w:rPr>
      </w:pPr>
      <w:r>
        <w:rPr>
          <w:rFonts w:ascii="Courier New" w:hAnsi="Courier New" w:cs="Courier New"/>
          <w:sz w:val="24"/>
          <w:szCs w:val="24"/>
        </w:rPr>
        <w:lastRenderedPageBreak/>
        <w:t>Accordingly, both appeals against conviction and sentence be and are hereby dismissed.</w:t>
      </w:r>
    </w:p>
    <w:p w:rsidR="000538B3" w:rsidRDefault="000538B3" w:rsidP="006E4D90">
      <w:pPr>
        <w:spacing w:line="480" w:lineRule="auto"/>
        <w:ind w:firstLine="720"/>
        <w:jc w:val="both"/>
        <w:rPr>
          <w:rFonts w:ascii="Courier New" w:hAnsi="Courier New" w:cs="Courier New"/>
          <w:sz w:val="24"/>
          <w:szCs w:val="24"/>
        </w:rPr>
      </w:pPr>
    </w:p>
    <w:p w:rsidR="00113A72" w:rsidRDefault="00113A72" w:rsidP="006E4D90">
      <w:pPr>
        <w:spacing w:line="480" w:lineRule="auto"/>
        <w:ind w:firstLine="720"/>
        <w:jc w:val="both"/>
        <w:rPr>
          <w:rFonts w:ascii="Courier New" w:hAnsi="Courier New" w:cs="Courier New"/>
          <w:sz w:val="24"/>
          <w:szCs w:val="24"/>
        </w:rPr>
      </w:pPr>
    </w:p>
    <w:p w:rsidR="00113A72" w:rsidRDefault="00113A72" w:rsidP="006E4D90">
      <w:pPr>
        <w:spacing w:line="480" w:lineRule="auto"/>
        <w:ind w:firstLine="720"/>
        <w:jc w:val="both"/>
        <w:rPr>
          <w:rFonts w:ascii="Courier New" w:hAnsi="Courier New" w:cs="Courier New"/>
          <w:sz w:val="24"/>
          <w:szCs w:val="24"/>
        </w:rPr>
      </w:pPr>
    </w:p>
    <w:p w:rsidR="000538B3" w:rsidRDefault="008A1D7A" w:rsidP="006E4D90">
      <w:pPr>
        <w:spacing w:line="480" w:lineRule="auto"/>
        <w:ind w:firstLine="720"/>
        <w:jc w:val="both"/>
        <w:rPr>
          <w:rFonts w:ascii="Courier New" w:hAnsi="Courier New" w:cs="Courier New"/>
          <w:sz w:val="24"/>
          <w:szCs w:val="24"/>
        </w:rPr>
      </w:pPr>
      <w:r>
        <w:rPr>
          <w:rFonts w:ascii="Courier New" w:hAnsi="Courier New" w:cs="Courier New"/>
          <w:sz w:val="24"/>
          <w:szCs w:val="24"/>
        </w:rPr>
        <w:t>ZIYAMBI JA:</w:t>
      </w:r>
      <w:r>
        <w:rPr>
          <w:rFonts w:ascii="Courier New" w:hAnsi="Courier New" w:cs="Courier New"/>
          <w:sz w:val="24"/>
          <w:szCs w:val="24"/>
        </w:rPr>
        <w:tab/>
      </w:r>
      <w:r>
        <w:rPr>
          <w:rFonts w:ascii="Courier New" w:hAnsi="Courier New" w:cs="Courier New"/>
          <w:sz w:val="24"/>
          <w:szCs w:val="24"/>
        </w:rPr>
        <w:tab/>
        <w:t>I agree</w:t>
      </w:r>
    </w:p>
    <w:p w:rsidR="00113A72" w:rsidRDefault="00113A72" w:rsidP="00742253">
      <w:pPr>
        <w:spacing w:line="480" w:lineRule="auto"/>
        <w:ind w:firstLine="720"/>
        <w:jc w:val="both"/>
        <w:rPr>
          <w:rFonts w:ascii="Courier New" w:hAnsi="Courier New" w:cs="Courier New"/>
          <w:sz w:val="24"/>
          <w:szCs w:val="24"/>
        </w:rPr>
      </w:pPr>
    </w:p>
    <w:p w:rsidR="00113A72" w:rsidRDefault="00113A72" w:rsidP="00742253">
      <w:pPr>
        <w:spacing w:line="480" w:lineRule="auto"/>
        <w:ind w:firstLine="720"/>
        <w:jc w:val="both"/>
        <w:rPr>
          <w:rFonts w:ascii="Courier New" w:hAnsi="Courier New" w:cs="Courier New"/>
          <w:sz w:val="24"/>
          <w:szCs w:val="24"/>
        </w:rPr>
      </w:pPr>
    </w:p>
    <w:p w:rsidR="00742253" w:rsidRDefault="008A1D7A" w:rsidP="00742253">
      <w:pPr>
        <w:spacing w:line="480" w:lineRule="auto"/>
        <w:ind w:firstLine="720"/>
        <w:jc w:val="both"/>
        <w:rPr>
          <w:rFonts w:ascii="Courier New" w:hAnsi="Courier New" w:cs="Courier New"/>
          <w:sz w:val="24"/>
          <w:szCs w:val="24"/>
        </w:rPr>
      </w:pPr>
      <w:r>
        <w:rPr>
          <w:rFonts w:ascii="Courier New" w:hAnsi="Courier New" w:cs="Courier New"/>
          <w:sz w:val="24"/>
          <w:szCs w:val="24"/>
        </w:rPr>
        <w:t>GARWE JA:</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 agree</w:t>
      </w: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742253" w:rsidRDefault="00742253" w:rsidP="00113A72">
      <w:pPr>
        <w:spacing w:after="0" w:line="240" w:lineRule="auto"/>
        <w:jc w:val="both"/>
        <w:rPr>
          <w:rFonts w:ascii="Courier New" w:hAnsi="Courier New" w:cs="Courier New"/>
          <w:sz w:val="24"/>
          <w:szCs w:val="24"/>
        </w:rPr>
      </w:pPr>
      <w:r w:rsidRPr="00113A72">
        <w:rPr>
          <w:rFonts w:ascii="Courier New" w:hAnsi="Courier New" w:cs="Courier New"/>
          <w:i/>
          <w:sz w:val="24"/>
          <w:szCs w:val="24"/>
        </w:rPr>
        <w:t xml:space="preserve">Messrs </w:t>
      </w:r>
      <w:proofErr w:type="spellStart"/>
      <w:r w:rsidRPr="00113A72">
        <w:rPr>
          <w:rFonts w:ascii="Courier New" w:hAnsi="Courier New" w:cs="Courier New"/>
          <w:i/>
          <w:sz w:val="24"/>
          <w:szCs w:val="24"/>
        </w:rPr>
        <w:t>Dube</w:t>
      </w:r>
      <w:proofErr w:type="spellEnd"/>
      <w:r w:rsidRPr="00113A72">
        <w:rPr>
          <w:rFonts w:ascii="Courier New" w:hAnsi="Courier New" w:cs="Courier New"/>
          <w:i/>
          <w:sz w:val="24"/>
          <w:szCs w:val="24"/>
        </w:rPr>
        <w:t xml:space="preserve">-Banda, </w:t>
      </w:r>
      <w:proofErr w:type="spellStart"/>
      <w:r w:rsidRPr="00113A72">
        <w:rPr>
          <w:rFonts w:ascii="Courier New" w:hAnsi="Courier New" w:cs="Courier New"/>
          <w:i/>
          <w:sz w:val="24"/>
          <w:szCs w:val="24"/>
        </w:rPr>
        <w:t>Nzarayapenga</w:t>
      </w:r>
      <w:proofErr w:type="spellEnd"/>
      <w:r w:rsidRPr="00113A72">
        <w:rPr>
          <w:rFonts w:ascii="Courier New" w:hAnsi="Courier New" w:cs="Courier New"/>
          <w:i/>
          <w:sz w:val="24"/>
          <w:szCs w:val="24"/>
        </w:rPr>
        <w:t xml:space="preserve"> &amp; Partners</w:t>
      </w:r>
      <w:r>
        <w:rPr>
          <w:rFonts w:ascii="Courier New" w:hAnsi="Courier New" w:cs="Courier New"/>
          <w:sz w:val="24"/>
          <w:szCs w:val="24"/>
        </w:rPr>
        <w:t>, 1</w:t>
      </w:r>
      <w:r w:rsidRPr="00742253">
        <w:rPr>
          <w:rFonts w:ascii="Courier New" w:hAnsi="Courier New" w:cs="Courier New"/>
          <w:sz w:val="24"/>
          <w:szCs w:val="24"/>
          <w:vertAlign w:val="superscript"/>
        </w:rPr>
        <w:t>st</w:t>
      </w:r>
      <w:r>
        <w:rPr>
          <w:rFonts w:ascii="Courier New" w:hAnsi="Courier New" w:cs="Courier New"/>
          <w:sz w:val="24"/>
          <w:szCs w:val="24"/>
        </w:rPr>
        <w:t xml:space="preserve"> appellant’s legal practitioners</w:t>
      </w: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742253" w:rsidRDefault="00742253" w:rsidP="00113A72">
      <w:pPr>
        <w:spacing w:after="0" w:line="240" w:lineRule="auto"/>
        <w:jc w:val="both"/>
        <w:rPr>
          <w:rFonts w:ascii="Courier New" w:hAnsi="Courier New" w:cs="Courier New"/>
          <w:sz w:val="24"/>
          <w:szCs w:val="24"/>
        </w:rPr>
      </w:pPr>
      <w:r w:rsidRPr="00275FFD">
        <w:rPr>
          <w:rFonts w:ascii="Courier New" w:hAnsi="Courier New" w:cs="Courier New"/>
          <w:i/>
          <w:sz w:val="24"/>
          <w:szCs w:val="24"/>
        </w:rPr>
        <w:t xml:space="preserve">Messrs </w:t>
      </w:r>
      <w:proofErr w:type="spellStart"/>
      <w:r w:rsidRPr="00275FFD">
        <w:rPr>
          <w:rFonts w:ascii="Courier New" w:hAnsi="Courier New" w:cs="Courier New"/>
          <w:i/>
          <w:sz w:val="24"/>
          <w:szCs w:val="24"/>
        </w:rPr>
        <w:t>Mashayamombe</w:t>
      </w:r>
      <w:proofErr w:type="spellEnd"/>
      <w:r w:rsidRPr="00275FFD">
        <w:rPr>
          <w:rFonts w:ascii="Courier New" w:hAnsi="Courier New" w:cs="Courier New"/>
          <w:i/>
          <w:sz w:val="24"/>
          <w:szCs w:val="24"/>
        </w:rPr>
        <w:t xml:space="preserve"> &amp; Company</w:t>
      </w:r>
      <w:r>
        <w:rPr>
          <w:rFonts w:ascii="Courier New" w:hAnsi="Courier New" w:cs="Courier New"/>
          <w:sz w:val="24"/>
          <w:szCs w:val="24"/>
        </w:rPr>
        <w:t>, 2</w:t>
      </w:r>
      <w:r w:rsidRPr="00742253">
        <w:rPr>
          <w:rFonts w:ascii="Courier New" w:hAnsi="Courier New" w:cs="Courier New"/>
          <w:sz w:val="24"/>
          <w:szCs w:val="24"/>
          <w:vertAlign w:val="superscript"/>
        </w:rPr>
        <w:t>nd</w:t>
      </w:r>
      <w:r>
        <w:rPr>
          <w:rFonts w:ascii="Courier New" w:hAnsi="Courier New" w:cs="Courier New"/>
          <w:sz w:val="24"/>
          <w:szCs w:val="24"/>
        </w:rPr>
        <w:t xml:space="preserve"> appellant’s legal Practitioners</w:t>
      </w:r>
    </w:p>
    <w:p w:rsidR="00113A72" w:rsidRDefault="00113A72" w:rsidP="00113A72">
      <w:pPr>
        <w:spacing w:after="0" w:line="240" w:lineRule="auto"/>
        <w:jc w:val="both"/>
        <w:rPr>
          <w:rFonts w:ascii="Courier New" w:hAnsi="Courier New" w:cs="Courier New"/>
          <w:i/>
          <w:sz w:val="24"/>
          <w:szCs w:val="24"/>
        </w:rPr>
      </w:pPr>
    </w:p>
    <w:p w:rsidR="00113A72" w:rsidRDefault="00113A72" w:rsidP="00113A72">
      <w:pPr>
        <w:spacing w:after="0" w:line="240" w:lineRule="auto"/>
        <w:jc w:val="both"/>
        <w:rPr>
          <w:rFonts w:ascii="Courier New" w:hAnsi="Courier New" w:cs="Courier New"/>
          <w:i/>
          <w:sz w:val="24"/>
          <w:szCs w:val="24"/>
        </w:rPr>
      </w:pPr>
    </w:p>
    <w:p w:rsidR="00742253" w:rsidRDefault="00742253" w:rsidP="00113A72">
      <w:pPr>
        <w:spacing w:line="240" w:lineRule="auto"/>
        <w:jc w:val="both"/>
        <w:rPr>
          <w:rFonts w:ascii="Courier New" w:hAnsi="Courier New" w:cs="Courier New"/>
          <w:sz w:val="24"/>
          <w:szCs w:val="24"/>
        </w:rPr>
      </w:pPr>
      <w:r w:rsidRPr="00275FFD">
        <w:rPr>
          <w:rFonts w:ascii="Courier New" w:hAnsi="Courier New" w:cs="Courier New"/>
          <w:i/>
          <w:sz w:val="24"/>
          <w:szCs w:val="24"/>
        </w:rPr>
        <w:t>The Prosecutor General’s Office</w:t>
      </w:r>
      <w:r>
        <w:rPr>
          <w:rFonts w:ascii="Courier New" w:hAnsi="Courier New" w:cs="Courier New"/>
          <w:sz w:val="24"/>
          <w:szCs w:val="24"/>
        </w:rPr>
        <w:t>, respondent’s legal practitioners.</w:t>
      </w:r>
    </w:p>
    <w:p w:rsidR="000538B3" w:rsidRDefault="000538B3" w:rsidP="006E4D90">
      <w:pPr>
        <w:spacing w:line="480" w:lineRule="auto"/>
        <w:ind w:firstLine="720"/>
        <w:jc w:val="both"/>
        <w:rPr>
          <w:rFonts w:ascii="Courier New" w:hAnsi="Courier New" w:cs="Courier New"/>
          <w:sz w:val="24"/>
          <w:szCs w:val="24"/>
        </w:rPr>
      </w:pPr>
    </w:p>
    <w:p w:rsidR="00CB3CE3" w:rsidRPr="008A031E" w:rsidRDefault="00CB3CE3" w:rsidP="006E4D90">
      <w:pPr>
        <w:spacing w:line="480" w:lineRule="auto"/>
        <w:jc w:val="both"/>
        <w:rPr>
          <w:rFonts w:ascii="Courier New" w:hAnsi="Courier New" w:cs="Courier New"/>
          <w:sz w:val="24"/>
          <w:szCs w:val="24"/>
        </w:rPr>
      </w:pPr>
    </w:p>
    <w:sectPr w:rsidR="00CB3CE3" w:rsidRPr="008A031E" w:rsidSect="00CA0F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D02" w:rsidRDefault="00384D02" w:rsidP="008A031E">
      <w:pPr>
        <w:spacing w:after="0" w:line="240" w:lineRule="auto"/>
      </w:pPr>
      <w:r>
        <w:separator/>
      </w:r>
    </w:p>
  </w:endnote>
  <w:endnote w:type="continuationSeparator" w:id="0">
    <w:p w:rsidR="00384D02" w:rsidRDefault="00384D02" w:rsidP="008A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D02" w:rsidRDefault="00384D02" w:rsidP="008A031E">
      <w:pPr>
        <w:spacing w:after="0" w:line="240" w:lineRule="auto"/>
      </w:pPr>
      <w:r>
        <w:separator/>
      </w:r>
    </w:p>
  </w:footnote>
  <w:footnote w:type="continuationSeparator" w:id="0">
    <w:p w:rsidR="00384D02" w:rsidRDefault="00384D02" w:rsidP="008A0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65355A">
      <w:tc>
        <w:tcPr>
          <w:tcW w:w="0" w:type="auto"/>
          <w:tcBorders>
            <w:right w:val="single" w:sz="6" w:space="0" w:color="000000" w:themeColor="text1"/>
          </w:tcBorders>
        </w:tcPr>
        <w:sdt>
          <w:sdtPr>
            <w:alias w:val="Company"/>
            <w:id w:val="78735422"/>
            <w:placeholder>
              <w:docPart w:val="96AE2A40F4D149978418CEE594D9151D"/>
            </w:placeholder>
            <w:dataBinding w:prefixMappings="xmlns:ns0='http://schemas.openxmlformats.org/officeDocument/2006/extended-properties'" w:xpath="/ns0:Properties[1]/ns0:Company[1]" w:storeItemID="{6668398D-A668-4E3E-A5EB-62B293D839F1}"/>
            <w:text/>
          </w:sdtPr>
          <w:sdtEndPr/>
          <w:sdtContent>
            <w:p w:rsidR="0065355A" w:rsidRDefault="0065355A">
              <w:pPr>
                <w:pStyle w:val="Header"/>
                <w:jc w:val="right"/>
              </w:pPr>
              <w:r>
                <w:rPr>
                  <w:lang w:val="en-ZW"/>
                </w:rPr>
                <w:t>Judgment No SC 36/14</w:t>
              </w:r>
            </w:p>
          </w:sdtContent>
        </w:sdt>
        <w:sdt>
          <w:sdtPr>
            <w:rPr>
              <w:b/>
              <w:bCs/>
            </w:rPr>
            <w:alias w:val="Title"/>
            <w:id w:val="78735415"/>
            <w:placeholder>
              <w:docPart w:val="B13EDB8724B24147B01271679703D247"/>
            </w:placeholder>
            <w:dataBinding w:prefixMappings="xmlns:ns0='http://schemas.openxmlformats.org/package/2006/metadata/core-properties' xmlns:ns1='http://purl.org/dc/elements/1.1/'" w:xpath="/ns0:coreProperties[1]/ns1:title[1]" w:storeItemID="{6C3C8BC8-F283-45AE-878A-BAB7291924A1}"/>
            <w:text/>
          </w:sdtPr>
          <w:sdtEndPr/>
          <w:sdtContent>
            <w:p w:rsidR="0065355A" w:rsidRDefault="0065355A">
              <w:pPr>
                <w:pStyle w:val="Header"/>
                <w:jc w:val="right"/>
                <w:rPr>
                  <w:b/>
                  <w:bCs/>
                </w:rPr>
              </w:pPr>
              <w:r>
                <w:rPr>
                  <w:b/>
                  <w:bCs/>
                  <w:lang w:val="en-ZW"/>
                </w:rPr>
                <w:t>Criminal  Appeal No SC 292/12</w:t>
              </w:r>
            </w:p>
          </w:sdtContent>
        </w:sdt>
      </w:tc>
      <w:tc>
        <w:tcPr>
          <w:tcW w:w="1152" w:type="dxa"/>
          <w:tcBorders>
            <w:left w:val="single" w:sz="6" w:space="0" w:color="000000" w:themeColor="text1"/>
          </w:tcBorders>
        </w:tcPr>
        <w:p w:rsidR="0065355A" w:rsidRDefault="000015A8">
          <w:pPr>
            <w:pStyle w:val="Header"/>
            <w:rPr>
              <w:b/>
            </w:rPr>
          </w:pPr>
          <w:r>
            <w:fldChar w:fldCharType="begin"/>
          </w:r>
          <w:r>
            <w:instrText xml:space="preserve"> PAGE   \* MERGEFORMAT </w:instrText>
          </w:r>
          <w:r>
            <w:fldChar w:fldCharType="separate"/>
          </w:r>
          <w:r>
            <w:rPr>
              <w:noProof/>
            </w:rPr>
            <w:t>1</w:t>
          </w:r>
          <w:r>
            <w:rPr>
              <w:noProof/>
            </w:rPr>
            <w:fldChar w:fldCharType="end"/>
          </w:r>
        </w:p>
      </w:tc>
    </w:tr>
  </w:tbl>
  <w:p w:rsidR="008A031E" w:rsidRDefault="008A0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799"/>
    <w:multiLevelType w:val="hybridMultilevel"/>
    <w:tmpl w:val="7B9ED9C2"/>
    <w:lvl w:ilvl="0" w:tplc="19624D9A">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0C4C6E5D"/>
    <w:multiLevelType w:val="hybridMultilevel"/>
    <w:tmpl w:val="BFEC7898"/>
    <w:lvl w:ilvl="0" w:tplc="8CFC0C6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0FDC2505"/>
    <w:multiLevelType w:val="hybridMultilevel"/>
    <w:tmpl w:val="1E5AE566"/>
    <w:lvl w:ilvl="0" w:tplc="661CB95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D131158"/>
    <w:multiLevelType w:val="hybridMultilevel"/>
    <w:tmpl w:val="2000F9A4"/>
    <w:lvl w:ilvl="0" w:tplc="E524541C">
      <w:start w:val="1"/>
      <w:numFmt w:val="decimal"/>
      <w:lvlText w:val="(%1)"/>
      <w:lvlJc w:val="left"/>
      <w:pPr>
        <w:ind w:left="735" w:hanging="37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1182A60"/>
    <w:multiLevelType w:val="hybridMultilevel"/>
    <w:tmpl w:val="9A042622"/>
    <w:lvl w:ilvl="0" w:tplc="CDA6EBB8">
      <w:start w:val="3"/>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D953746"/>
    <w:multiLevelType w:val="hybridMultilevel"/>
    <w:tmpl w:val="BA061B6E"/>
    <w:lvl w:ilvl="0" w:tplc="FC829C4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441761CB"/>
    <w:multiLevelType w:val="hybridMultilevel"/>
    <w:tmpl w:val="C2FCCE58"/>
    <w:lvl w:ilvl="0" w:tplc="E4763FE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4C9657F8"/>
    <w:multiLevelType w:val="hybridMultilevel"/>
    <w:tmpl w:val="AA8C430A"/>
    <w:lvl w:ilvl="0" w:tplc="A816DB04">
      <w:start w:val="2"/>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7045EA2"/>
    <w:multiLevelType w:val="hybridMultilevel"/>
    <w:tmpl w:val="07EAE2F8"/>
    <w:lvl w:ilvl="0" w:tplc="9DDA42CC">
      <w:start w:val="1"/>
      <w:numFmt w:val="lowerRoman"/>
      <w:lvlText w:val="(%1)"/>
      <w:lvlJc w:val="left"/>
      <w:pPr>
        <w:ind w:left="3240" w:hanging="108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nsid w:val="6A550CFC"/>
    <w:multiLevelType w:val="hybridMultilevel"/>
    <w:tmpl w:val="9A5069C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728B18A5"/>
    <w:multiLevelType w:val="hybridMultilevel"/>
    <w:tmpl w:val="C0B0CF2C"/>
    <w:lvl w:ilvl="0" w:tplc="F9DE60A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nsid w:val="778A4377"/>
    <w:multiLevelType w:val="hybridMultilevel"/>
    <w:tmpl w:val="2D5A533E"/>
    <w:lvl w:ilvl="0" w:tplc="E524541C">
      <w:start w:val="1"/>
      <w:numFmt w:val="decimal"/>
      <w:lvlText w:val="(%1)"/>
      <w:lvlJc w:val="left"/>
      <w:pPr>
        <w:ind w:left="735" w:hanging="37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3"/>
  </w:num>
  <w:num w:numId="5">
    <w:abstractNumId w:val="7"/>
  </w:num>
  <w:num w:numId="6">
    <w:abstractNumId w:val="4"/>
  </w:num>
  <w:num w:numId="7">
    <w:abstractNumId w:val="5"/>
  </w:num>
  <w:num w:numId="8">
    <w:abstractNumId w:val="0"/>
  </w:num>
  <w:num w:numId="9">
    <w:abstractNumId w:val="2"/>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45"/>
    <w:rsid w:val="000015A8"/>
    <w:rsid w:val="00001C6C"/>
    <w:rsid w:val="00017BEC"/>
    <w:rsid w:val="00021224"/>
    <w:rsid w:val="000538B3"/>
    <w:rsid w:val="0008304F"/>
    <w:rsid w:val="000B634D"/>
    <w:rsid w:val="000C1294"/>
    <w:rsid w:val="000C5AC6"/>
    <w:rsid w:val="000D4373"/>
    <w:rsid w:val="000F2933"/>
    <w:rsid w:val="00113A72"/>
    <w:rsid w:val="001516B7"/>
    <w:rsid w:val="001632CF"/>
    <w:rsid w:val="0017323E"/>
    <w:rsid w:val="001B2145"/>
    <w:rsid w:val="00206F59"/>
    <w:rsid w:val="00210BD5"/>
    <w:rsid w:val="0021210B"/>
    <w:rsid w:val="00227029"/>
    <w:rsid w:val="00241B92"/>
    <w:rsid w:val="00262F71"/>
    <w:rsid w:val="00275FFD"/>
    <w:rsid w:val="002C4F8D"/>
    <w:rsid w:val="002D6C75"/>
    <w:rsid w:val="00302B37"/>
    <w:rsid w:val="00310FE5"/>
    <w:rsid w:val="00350D56"/>
    <w:rsid w:val="00361B54"/>
    <w:rsid w:val="00384D02"/>
    <w:rsid w:val="003C04FE"/>
    <w:rsid w:val="003F1E6F"/>
    <w:rsid w:val="003F66DE"/>
    <w:rsid w:val="00404749"/>
    <w:rsid w:val="00410E85"/>
    <w:rsid w:val="00441052"/>
    <w:rsid w:val="004441FE"/>
    <w:rsid w:val="00461978"/>
    <w:rsid w:val="004744C3"/>
    <w:rsid w:val="0048442E"/>
    <w:rsid w:val="004925F3"/>
    <w:rsid w:val="004B06F9"/>
    <w:rsid w:val="004B51CA"/>
    <w:rsid w:val="00506E40"/>
    <w:rsid w:val="0051634B"/>
    <w:rsid w:val="00527402"/>
    <w:rsid w:val="00540C0C"/>
    <w:rsid w:val="0056213B"/>
    <w:rsid w:val="00563EBD"/>
    <w:rsid w:val="00575448"/>
    <w:rsid w:val="00586223"/>
    <w:rsid w:val="00597E61"/>
    <w:rsid w:val="005F3EB2"/>
    <w:rsid w:val="006032BC"/>
    <w:rsid w:val="0061188B"/>
    <w:rsid w:val="0061465D"/>
    <w:rsid w:val="006430B8"/>
    <w:rsid w:val="0065355A"/>
    <w:rsid w:val="006710E8"/>
    <w:rsid w:val="006754E1"/>
    <w:rsid w:val="00682195"/>
    <w:rsid w:val="00693954"/>
    <w:rsid w:val="00697598"/>
    <w:rsid w:val="006A49A7"/>
    <w:rsid w:val="006A6F5C"/>
    <w:rsid w:val="006E4D90"/>
    <w:rsid w:val="006F216D"/>
    <w:rsid w:val="00702B90"/>
    <w:rsid w:val="00737254"/>
    <w:rsid w:val="00742253"/>
    <w:rsid w:val="00743989"/>
    <w:rsid w:val="00776CD1"/>
    <w:rsid w:val="00785426"/>
    <w:rsid w:val="00797A33"/>
    <w:rsid w:val="007B0FA7"/>
    <w:rsid w:val="007C1E59"/>
    <w:rsid w:val="007C5E62"/>
    <w:rsid w:val="007D76D6"/>
    <w:rsid w:val="008247DE"/>
    <w:rsid w:val="00832CC2"/>
    <w:rsid w:val="00834000"/>
    <w:rsid w:val="0084049A"/>
    <w:rsid w:val="00843487"/>
    <w:rsid w:val="00866722"/>
    <w:rsid w:val="0087282D"/>
    <w:rsid w:val="00880468"/>
    <w:rsid w:val="008A031E"/>
    <w:rsid w:val="008A1D7A"/>
    <w:rsid w:val="008A2D5F"/>
    <w:rsid w:val="008A3A05"/>
    <w:rsid w:val="008A646E"/>
    <w:rsid w:val="00936DB5"/>
    <w:rsid w:val="00955DB2"/>
    <w:rsid w:val="00966BAF"/>
    <w:rsid w:val="009C6F43"/>
    <w:rsid w:val="009F0447"/>
    <w:rsid w:val="009F6DEC"/>
    <w:rsid w:val="00A013CD"/>
    <w:rsid w:val="00A23A3E"/>
    <w:rsid w:val="00A516BB"/>
    <w:rsid w:val="00A51914"/>
    <w:rsid w:val="00A530F9"/>
    <w:rsid w:val="00A6070A"/>
    <w:rsid w:val="00A76B69"/>
    <w:rsid w:val="00A831DE"/>
    <w:rsid w:val="00AA1BEF"/>
    <w:rsid w:val="00B40478"/>
    <w:rsid w:val="00B91800"/>
    <w:rsid w:val="00BC5BA9"/>
    <w:rsid w:val="00C31878"/>
    <w:rsid w:val="00C31B27"/>
    <w:rsid w:val="00C93274"/>
    <w:rsid w:val="00CA0FE5"/>
    <w:rsid w:val="00CA42E8"/>
    <w:rsid w:val="00CB3CE3"/>
    <w:rsid w:val="00CE4B50"/>
    <w:rsid w:val="00D04890"/>
    <w:rsid w:val="00D448CB"/>
    <w:rsid w:val="00D44B09"/>
    <w:rsid w:val="00D4746F"/>
    <w:rsid w:val="00D645B4"/>
    <w:rsid w:val="00D820D2"/>
    <w:rsid w:val="00D844F0"/>
    <w:rsid w:val="00DC0BEE"/>
    <w:rsid w:val="00DC2663"/>
    <w:rsid w:val="00DC41AA"/>
    <w:rsid w:val="00DD043A"/>
    <w:rsid w:val="00DD4205"/>
    <w:rsid w:val="00E40075"/>
    <w:rsid w:val="00E65171"/>
    <w:rsid w:val="00E667DA"/>
    <w:rsid w:val="00E675B7"/>
    <w:rsid w:val="00E84849"/>
    <w:rsid w:val="00EA3906"/>
    <w:rsid w:val="00EA6611"/>
    <w:rsid w:val="00EC5D3A"/>
    <w:rsid w:val="00F12B13"/>
    <w:rsid w:val="00F15979"/>
    <w:rsid w:val="00F23B51"/>
    <w:rsid w:val="00F420EC"/>
    <w:rsid w:val="00F449BF"/>
    <w:rsid w:val="00F93587"/>
    <w:rsid w:val="00F97941"/>
    <w:rsid w:val="00F9794D"/>
    <w:rsid w:val="00FA0BE8"/>
    <w:rsid w:val="00FA1C5D"/>
    <w:rsid w:val="00FB653A"/>
    <w:rsid w:val="00FD01EE"/>
    <w:rsid w:val="00FD594F"/>
    <w:rsid w:val="00FE231E"/>
    <w:rsid w:val="00FE48D5"/>
    <w:rsid w:val="00FF0D2A"/>
    <w:rsid w:val="00FF621F"/>
    <w:rsid w:val="00FF7E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61"/>
    <w:pPr>
      <w:ind w:left="720"/>
      <w:contextualSpacing/>
    </w:pPr>
  </w:style>
  <w:style w:type="paragraph" w:styleId="BalloonText">
    <w:name w:val="Balloon Text"/>
    <w:basedOn w:val="Normal"/>
    <w:link w:val="BalloonTextChar"/>
    <w:uiPriority w:val="99"/>
    <w:semiHidden/>
    <w:unhideWhenUsed/>
    <w:rsid w:val="00611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88B"/>
    <w:rPr>
      <w:rFonts w:ascii="Tahoma" w:hAnsi="Tahoma" w:cs="Tahoma"/>
      <w:sz w:val="16"/>
      <w:szCs w:val="16"/>
    </w:rPr>
  </w:style>
  <w:style w:type="paragraph" w:styleId="Header">
    <w:name w:val="header"/>
    <w:basedOn w:val="Normal"/>
    <w:link w:val="HeaderChar"/>
    <w:uiPriority w:val="99"/>
    <w:unhideWhenUsed/>
    <w:rsid w:val="008A0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31E"/>
  </w:style>
  <w:style w:type="paragraph" w:styleId="Footer">
    <w:name w:val="footer"/>
    <w:basedOn w:val="Normal"/>
    <w:link w:val="FooterChar"/>
    <w:uiPriority w:val="99"/>
    <w:semiHidden/>
    <w:unhideWhenUsed/>
    <w:rsid w:val="008A03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031E"/>
  </w:style>
  <w:style w:type="table" w:styleId="TableGrid">
    <w:name w:val="Table Grid"/>
    <w:basedOn w:val="TableNormal"/>
    <w:uiPriority w:val="1"/>
    <w:rsid w:val="008A031E"/>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61"/>
    <w:pPr>
      <w:ind w:left="720"/>
      <w:contextualSpacing/>
    </w:pPr>
  </w:style>
  <w:style w:type="paragraph" w:styleId="BalloonText">
    <w:name w:val="Balloon Text"/>
    <w:basedOn w:val="Normal"/>
    <w:link w:val="BalloonTextChar"/>
    <w:uiPriority w:val="99"/>
    <w:semiHidden/>
    <w:unhideWhenUsed/>
    <w:rsid w:val="00611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88B"/>
    <w:rPr>
      <w:rFonts w:ascii="Tahoma" w:hAnsi="Tahoma" w:cs="Tahoma"/>
      <w:sz w:val="16"/>
      <w:szCs w:val="16"/>
    </w:rPr>
  </w:style>
  <w:style w:type="paragraph" w:styleId="Header">
    <w:name w:val="header"/>
    <w:basedOn w:val="Normal"/>
    <w:link w:val="HeaderChar"/>
    <w:uiPriority w:val="99"/>
    <w:unhideWhenUsed/>
    <w:rsid w:val="008A0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31E"/>
  </w:style>
  <w:style w:type="paragraph" w:styleId="Footer">
    <w:name w:val="footer"/>
    <w:basedOn w:val="Normal"/>
    <w:link w:val="FooterChar"/>
    <w:uiPriority w:val="99"/>
    <w:semiHidden/>
    <w:unhideWhenUsed/>
    <w:rsid w:val="008A03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031E"/>
  </w:style>
  <w:style w:type="table" w:styleId="TableGrid">
    <w:name w:val="Table Grid"/>
    <w:basedOn w:val="TableNormal"/>
    <w:uiPriority w:val="1"/>
    <w:rsid w:val="008A031E"/>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AE2A40F4D149978418CEE594D9151D"/>
        <w:category>
          <w:name w:val="General"/>
          <w:gallery w:val="placeholder"/>
        </w:category>
        <w:types>
          <w:type w:val="bbPlcHdr"/>
        </w:types>
        <w:behaviors>
          <w:behavior w:val="content"/>
        </w:behaviors>
        <w:guid w:val="{FE804FBA-092E-49F4-9D9D-C72645A6CB24}"/>
      </w:docPartPr>
      <w:docPartBody>
        <w:p w:rsidR="00332D0D" w:rsidRDefault="00834BB5" w:rsidP="00834BB5">
          <w:pPr>
            <w:pStyle w:val="96AE2A40F4D149978418CEE594D9151D"/>
          </w:pPr>
          <w:r>
            <w:t>[Type the company name]</w:t>
          </w:r>
        </w:p>
      </w:docPartBody>
    </w:docPart>
    <w:docPart>
      <w:docPartPr>
        <w:name w:val="B13EDB8724B24147B01271679703D247"/>
        <w:category>
          <w:name w:val="General"/>
          <w:gallery w:val="placeholder"/>
        </w:category>
        <w:types>
          <w:type w:val="bbPlcHdr"/>
        </w:types>
        <w:behaviors>
          <w:behavior w:val="content"/>
        </w:behaviors>
        <w:guid w:val="{1DCF038D-7C91-4160-8782-5966C2DA87AA}"/>
      </w:docPartPr>
      <w:docPartBody>
        <w:p w:rsidR="00332D0D" w:rsidRDefault="00834BB5" w:rsidP="00834BB5">
          <w:pPr>
            <w:pStyle w:val="B13EDB8724B24147B01271679703D24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0195F"/>
    <w:rsid w:val="000E3385"/>
    <w:rsid w:val="00332D0D"/>
    <w:rsid w:val="00564A44"/>
    <w:rsid w:val="00834BB5"/>
    <w:rsid w:val="00F0195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14811C96F4F728723755A6A77DF54">
    <w:name w:val="E2914811C96F4F728723755A6A77DF54"/>
    <w:rsid w:val="00F0195F"/>
  </w:style>
  <w:style w:type="paragraph" w:customStyle="1" w:styleId="6A6AB39B4C394545BC412D6E73320825">
    <w:name w:val="6A6AB39B4C394545BC412D6E73320825"/>
    <w:rsid w:val="00F0195F"/>
  </w:style>
  <w:style w:type="paragraph" w:customStyle="1" w:styleId="626146B7BD7F4EEC8FBCA6425E0283CD">
    <w:name w:val="626146B7BD7F4EEC8FBCA6425E0283CD"/>
    <w:rsid w:val="00564A44"/>
  </w:style>
  <w:style w:type="paragraph" w:customStyle="1" w:styleId="28756DDB378D45BCB5FDA402920E90B1">
    <w:name w:val="28756DDB378D45BCB5FDA402920E90B1"/>
    <w:rsid w:val="00564A44"/>
  </w:style>
  <w:style w:type="paragraph" w:customStyle="1" w:styleId="96AE2A40F4D149978418CEE594D9151D">
    <w:name w:val="96AE2A40F4D149978418CEE594D9151D"/>
    <w:rsid w:val="00834BB5"/>
  </w:style>
  <w:style w:type="paragraph" w:customStyle="1" w:styleId="B13EDB8724B24147B01271679703D247">
    <w:name w:val="B13EDB8724B24147B01271679703D247"/>
    <w:rsid w:val="00834B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Criminal  Appeal No SC 292/12</vt:lpstr>
    </vt:vector>
  </TitlesOfParts>
  <Company>Judgment No SC 36/14</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292/12</dc:title>
  <dc:creator>JSC5</dc:creator>
  <cp:lastModifiedBy>judge</cp:lastModifiedBy>
  <cp:revision>2</cp:revision>
  <cp:lastPrinted>2014-05-16T09:42:00Z</cp:lastPrinted>
  <dcterms:created xsi:type="dcterms:W3CDTF">2014-08-19T06:18:00Z</dcterms:created>
  <dcterms:modified xsi:type="dcterms:W3CDTF">2014-08-19T06:18:00Z</dcterms:modified>
</cp:coreProperties>
</file>