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09D2F" w14:textId="77777777" w:rsidR="00676E91" w:rsidRPr="00676E91" w:rsidRDefault="00676E91" w:rsidP="00676E91">
      <w:pPr>
        <w:spacing w:line="360" w:lineRule="auto"/>
        <w:jc w:val="both"/>
        <w:rPr>
          <w:b/>
        </w:rPr>
      </w:pPr>
      <w:bookmarkStart w:id="0" w:name="_GoBack"/>
      <w:bookmarkEnd w:id="0"/>
      <w:r w:rsidRPr="00676E91">
        <w:rPr>
          <w:b/>
          <w:i/>
          <w:u w:val="single"/>
        </w:rPr>
        <w:t>EX TEMPORE</w:t>
      </w:r>
    </w:p>
    <w:p w14:paraId="58FAD243" w14:textId="77777777" w:rsidR="00DB2839" w:rsidRPr="00272765" w:rsidRDefault="00DB2839">
      <w:pPr>
        <w:rPr>
          <w:rFonts w:ascii="Book Antiqua" w:hAnsi="Book Antiqua"/>
        </w:rPr>
      </w:pPr>
    </w:p>
    <w:p w14:paraId="29614B67" w14:textId="77777777" w:rsidR="00DB2839" w:rsidRPr="00272765" w:rsidRDefault="00DB2839">
      <w:pPr>
        <w:rPr>
          <w:rFonts w:ascii="Book Antiqua" w:hAnsi="Book Antiqua"/>
        </w:rPr>
      </w:pPr>
    </w:p>
    <w:p w14:paraId="149679F3" w14:textId="77777777" w:rsidR="00DB2839" w:rsidRPr="00272765" w:rsidRDefault="00DB2839">
      <w:pPr>
        <w:rPr>
          <w:rFonts w:ascii="Book Antiqua" w:hAnsi="Book Antiqua"/>
        </w:rPr>
      </w:pPr>
    </w:p>
    <w:p w14:paraId="6BD11659" w14:textId="77777777" w:rsidR="00DB2839" w:rsidRPr="00664AB9" w:rsidRDefault="00D71FDD" w:rsidP="00DB2839">
      <w:pPr>
        <w:jc w:val="center"/>
        <w:rPr>
          <w:b/>
        </w:rPr>
      </w:pPr>
      <w:r w:rsidRPr="00664AB9">
        <w:rPr>
          <w:b/>
        </w:rPr>
        <w:t xml:space="preserve">SERGEANT     </w:t>
      </w:r>
      <w:r w:rsidR="006F7B02" w:rsidRPr="00664AB9">
        <w:rPr>
          <w:b/>
        </w:rPr>
        <w:t>KHAUYEZA</w:t>
      </w:r>
    </w:p>
    <w:p w14:paraId="4F534194" w14:textId="77777777" w:rsidR="00383032" w:rsidRPr="00272765" w:rsidRDefault="00383032" w:rsidP="00DB2839">
      <w:pPr>
        <w:jc w:val="center"/>
        <w:rPr>
          <w:rFonts w:ascii="Book Antiqua" w:hAnsi="Book Antiqua"/>
          <w:b/>
        </w:rPr>
      </w:pPr>
      <w:r w:rsidRPr="00272765">
        <w:rPr>
          <w:rFonts w:ascii="Book Antiqua" w:hAnsi="Book Antiqua"/>
          <w:b/>
        </w:rPr>
        <w:t>v</w:t>
      </w:r>
    </w:p>
    <w:p w14:paraId="48079E4F" w14:textId="77777777" w:rsidR="0043329A" w:rsidRPr="00664AB9" w:rsidRDefault="00BE0423" w:rsidP="00BE0423">
      <w:pPr>
        <w:pStyle w:val="ListParagraph"/>
        <w:numPr>
          <w:ilvl w:val="0"/>
          <w:numId w:val="5"/>
        </w:numPr>
        <w:ind w:left="1134" w:firstLine="0"/>
        <w:jc w:val="center"/>
        <w:rPr>
          <w:b/>
        </w:rPr>
      </w:pPr>
      <w:r w:rsidRPr="00664AB9">
        <w:rPr>
          <w:b/>
        </w:rPr>
        <w:t xml:space="preserve">      </w:t>
      </w:r>
      <w:r w:rsidR="0043329A" w:rsidRPr="00664AB9">
        <w:rPr>
          <w:b/>
        </w:rPr>
        <w:t>THE</w:t>
      </w:r>
      <w:r w:rsidRPr="00664AB9">
        <w:rPr>
          <w:b/>
        </w:rPr>
        <w:t xml:space="preserve">     TRIAL     </w:t>
      </w:r>
      <w:r w:rsidR="0043329A" w:rsidRPr="00664AB9">
        <w:rPr>
          <w:b/>
        </w:rPr>
        <w:t xml:space="preserve">OFFICER  </w:t>
      </w:r>
      <w:proofErr w:type="gramStart"/>
      <w:r w:rsidR="0043329A" w:rsidRPr="00664AB9">
        <w:rPr>
          <w:b/>
        </w:rPr>
        <w:t xml:space="preserve">   (</w:t>
      </w:r>
      <w:proofErr w:type="gramEnd"/>
      <w:r w:rsidR="0043329A" w:rsidRPr="00664AB9">
        <w:rPr>
          <w:b/>
        </w:rPr>
        <w:t>2)     THE     COMMISSIONER    -</w:t>
      </w:r>
      <w:r w:rsidR="00664AB9" w:rsidRPr="00664AB9">
        <w:rPr>
          <w:b/>
        </w:rPr>
        <w:t xml:space="preserve"> </w:t>
      </w:r>
      <w:r w:rsidR="0043329A" w:rsidRPr="00664AB9">
        <w:rPr>
          <w:b/>
        </w:rPr>
        <w:t xml:space="preserve">    GENERAL</w:t>
      </w:r>
      <w:r w:rsidR="00664AB9" w:rsidRPr="00664AB9">
        <w:rPr>
          <w:b/>
        </w:rPr>
        <w:t xml:space="preserve">    </w:t>
      </w:r>
      <w:r w:rsidR="0043329A" w:rsidRPr="00664AB9">
        <w:rPr>
          <w:b/>
        </w:rPr>
        <w:t xml:space="preserve"> OF    </w:t>
      </w:r>
      <w:r w:rsidR="00664AB9" w:rsidRPr="00664AB9">
        <w:rPr>
          <w:b/>
        </w:rPr>
        <w:t xml:space="preserve"> </w:t>
      </w:r>
      <w:r w:rsidR="0043329A" w:rsidRPr="00664AB9">
        <w:rPr>
          <w:b/>
        </w:rPr>
        <w:t>POLICE</w:t>
      </w:r>
    </w:p>
    <w:p w14:paraId="67512AD7" w14:textId="77777777" w:rsidR="006E0951" w:rsidRPr="00272765" w:rsidRDefault="006E0951" w:rsidP="006E0951">
      <w:pPr>
        <w:jc w:val="both"/>
        <w:rPr>
          <w:rFonts w:ascii="Book Antiqua" w:hAnsi="Book Antiqua"/>
          <w:b/>
        </w:rPr>
      </w:pPr>
    </w:p>
    <w:p w14:paraId="2FE57AC2" w14:textId="77777777" w:rsidR="00E404FC" w:rsidRDefault="00E404FC" w:rsidP="006E0951">
      <w:pPr>
        <w:jc w:val="both"/>
        <w:rPr>
          <w:rFonts w:ascii="Book Antiqua" w:hAnsi="Book Antiqua"/>
          <w:b/>
        </w:rPr>
      </w:pPr>
    </w:p>
    <w:p w14:paraId="11A33999" w14:textId="77777777" w:rsidR="00676E91" w:rsidRPr="00272765" w:rsidRDefault="00676E91" w:rsidP="006E0951">
      <w:pPr>
        <w:jc w:val="both"/>
        <w:rPr>
          <w:rFonts w:ascii="Book Antiqua" w:hAnsi="Book Antiqua"/>
          <w:b/>
        </w:rPr>
      </w:pPr>
    </w:p>
    <w:p w14:paraId="3DE5633F" w14:textId="77777777" w:rsidR="00E404FC" w:rsidRPr="00AE5093" w:rsidRDefault="00E404FC" w:rsidP="006E0951">
      <w:pPr>
        <w:jc w:val="both"/>
        <w:rPr>
          <w:b/>
        </w:rPr>
      </w:pPr>
      <w:r w:rsidRPr="00AE5093">
        <w:rPr>
          <w:b/>
        </w:rPr>
        <w:t xml:space="preserve">SUPREME COURT OF </w:t>
      </w:r>
      <w:smartTag w:uri="urn:schemas-microsoft-com:office:smarttags" w:element="country-region">
        <w:smartTag w:uri="urn:schemas-microsoft-com:office:smarttags" w:element="place">
          <w:r w:rsidRPr="00AE5093">
            <w:rPr>
              <w:b/>
            </w:rPr>
            <w:t>ZIMBABWE</w:t>
          </w:r>
        </w:smartTag>
      </w:smartTag>
    </w:p>
    <w:p w14:paraId="241D385D" w14:textId="77777777" w:rsidR="00E404FC" w:rsidRPr="00AE5093" w:rsidRDefault="0070588D" w:rsidP="006E0951">
      <w:pPr>
        <w:jc w:val="both"/>
        <w:rPr>
          <w:b/>
        </w:rPr>
      </w:pPr>
      <w:r w:rsidRPr="00AE5093">
        <w:rPr>
          <w:b/>
        </w:rPr>
        <w:t>PATEL JA</w:t>
      </w:r>
      <w:r w:rsidR="00E404FC" w:rsidRPr="00AE5093">
        <w:rPr>
          <w:b/>
        </w:rPr>
        <w:t xml:space="preserve">, </w:t>
      </w:r>
      <w:r w:rsidRPr="00AE5093">
        <w:rPr>
          <w:b/>
        </w:rPr>
        <w:t>BHUNU JA</w:t>
      </w:r>
      <w:r w:rsidR="00AF48D9" w:rsidRPr="00AE5093">
        <w:rPr>
          <w:b/>
        </w:rPr>
        <w:t xml:space="preserve"> &amp; </w:t>
      </w:r>
      <w:r w:rsidRPr="00AE5093">
        <w:rPr>
          <w:b/>
        </w:rPr>
        <w:t>BERE JA</w:t>
      </w:r>
    </w:p>
    <w:p w14:paraId="1007FE69" w14:textId="77777777" w:rsidR="00AF48D9" w:rsidRPr="00AE5093" w:rsidRDefault="00AF48D9" w:rsidP="006E0951">
      <w:pPr>
        <w:jc w:val="both"/>
      </w:pPr>
      <w:r w:rsidRPr="00AE5093">
        <w:rPr>
          <w:b/>
        </w:rPr>
        <w:t>HARARE</w:t>
      </w:r>
      <w:r w:rsidR="00FA7284" w:rsidRPr="00AE5093">
        <w:rPr>
          <w:b/>
        </w:rPr>
        <w:t>, JANUARY</w:t>
      </w:r>
      <w:r w:rsidR="0070588D" w:rsidRPr="00AE5093">
        <w:rPr>
          <w:b/>
        </w:rPr>
        <w:t xml:space="preserve"> </w:t>
      </w:r>
      <w:r w:rsidR="00FA7284" w:rsidRPr="00AE5093">
        <w:rPr>
          <w:b/>
        </w:rPr>
        <w:t xml:space="preserve">25, </w:t>
      </w:r>
      <w:r w:rsidR="0070588D" w:rsidRPr="00AE5093">
        <w:rPr>
          <w:b/>
        </w:rPr>
        <w:t>2019</w:t>
      </w:r>
    </w:p>
    <w:p w14:paraId="1DB7C595" w14:textId="77777777" w:rsidR="0085089D" w:rsidRDefault="0085089D" w:rsidP="00412229">
      <w:pPr>
        <w:spacing w:line="360" w:lineRule="auto"/>
        <w:jc w:val="both"/>
        <w:rPr>
          <w:rFonts w:ascii="Book Antiqua" w:hAnsi="Book Antiqua"/>
        </w:rPr>
      </w:pPr>
    </w:p>
    <w:p w14:paraId="2E23AAE3" w14:textId="77777777" w:rsidR="00676E91" w:rsidRPr="0085089D" w:rsidRDefault="00676E91" w:rsidP="00676E91">
      <w:pPr>
        <w:spacing w:line="480" w:lineRule="auto"/>
        <w:jc w:val="both"/>
        <w:rPr>
          <w:rFonts w:ascii="Book Antiqua" w:hAnsi="Book Antiqua"/>
        </w:rPr>
      </w:pPr>
    </w:p>
    <w:p w14:paraId="295FA46D" w14:textId="77777777" w:rsidR="008E3E30" w:rsidRPr="00AE5093" w:rsidRDefault="00F611F0" w:rsidP="00676E91">
      <w:pPr>
        <w:spacing w:line="480" w:lineRule="auto"/>
        <w:jc w:val="both"/>
      </w:pPr>
      <w:r w:rsidRPr="00AE5093">
        <w:rPr>
          <w:i/>
        </w:rPr>
        <w:t xml:space="preserve">N. </w:t>
      </w:r>
      <w:proofErr w:type="spellStart"/>
      <w:r w:rsidRPr="00AE5093">
        <w:rPr>
          <w:i/>
        </w:rPr>
        <w:t>Mugiya</w:t>
      </w:r>
      <w:proofErr w:type="spellEnd"/>
      <w:r w:rsidR="002D0DAD" w:rsidRPr="00AE5093">
        <w:t>, for the appellant</w:t>
      </w:r>
    </w:p>
    <w:p w14:paraId="5533BAE5" w14:textId="77777777" w:rsidR="002D0DAD" w:rsidRPr="00AE5093" w:rsidRDefault="0099664A" w:rsidP="00676E91">
      <w:pPr>
        <w:spacing w:line="480" w:lineRule="auto"/>
        <w:jc w:val="both"/>
      </w:pPr>
      <w:r w:rsidRPr="00AE5093">
        <w:rPr>
          <w:i/>
        </w:rPr>
        <w:t xml:space="preserve">K. </w:t>
      </w:r>
      <w:proofErr w:type="spellStart"/>
      <w:r w:rsidRPr="00AE5093">
        <w:rPr>
          <w:i/>
        </w:rPr>
        <w:t>Chimhiti</w:t>
      </w:r>
      <w:proofErr w:type="spellEnd"/>
      <w:r w:rsidRPr="00AE5093">
        <w:rPr>
          <w:i/>
        </w:rPr>
        <w:t xml:space="preserve"> </w:t>
      </w:r>
      <w:r w:rsidRPr="00AE5093">
        <w:t xml:space="preserve">and </w:t>
      </w:r>
      <w:r w:rsidRPr="00AE5093">
        <w:rPr>
          <w:i/>
        </w:rPr>
        <w:t>D. Jaricha</w:t>
      </w:r>
      <w:r w:rsidR="002D0DAD" w:rsidRPr="00AE5093">
        <w:t>, for the respondent</w:t>
      </w:r>
      <w:r w:rsidR="005639C5" w:rsidRPr="00AE5093">
        <w:t>s</w:t>
      </w:r>
    </w:p>
    <w:p w14:paraId="3C95C01A" w14:textId="77777777" w:rsidR="00831669" w:rsidRPr="00831669" w:rsidRDefault="00831669" w:rsidP="004D7AD8">
      <w:pPr>
        <w:jc w:val="both"/>
        <w:rPr>
          <w:rFonts w:ascii="Book Antiqua" w:hAnsi="Book Antiqua"/>
          <w:b/>
          <w:i/>
          <w:u w:val="single"/>
        </w:rPr>
      </w:pPr>
    </w:p>
    <w:p w14:paraId="57F78846" w14:textId="77777777" w:rsidR="00B763ED" w:rsidRPr="00272765" w:rsidRDefault="00B763ED" w:rsidP="00676E91">
      <w:pPr>
        <w:spacing w:line="480" w:lineRule="auto"/>
        <w:jc w:val="both"/>
        <w:rPr>
          <w:rFonts w:ascii="Book Antiqua" w:hAnsi="Book Antiqua"/>
        </w:rPr>
      </w:pPr>
    </w:p>
    <w:p w14:paraId="4E33D5AC" w14:textId="77777777" w:rsidR="00222F74" w:rsidRPr="009B3F44" w:rsidRDefault="0002331C" w:rsidP="009B3F44">
      <w:pPr>
        <w:spacing w:line="480" w:lineRule="auto"/>
        <w:ind w:firstLine="1134"/>
        <w:jc w:val="both"/>
      </w:pPr>
      <w:r w:rsidRPr="009B3F44">
        <w:rPr>
          <w:b/>
        </w:rPr>
        <w:t xml:space="preserve">PATEL </w:t>
      </w:r>
      <w:r w:rsidR="00F7784D" w:rsidRPr="009B3F44">
        <w:rPr>
          <w:b/>
        </w:rPr>
        <w:t>JA:</w:t>
      </w:r>
      <w:r w:rsidR="00676E91" w:rsidRPr="009B3F44">
        <w:tab/>
      </w:r>
      <w:r w:rsidR="00FE3DF7" w:rsidRPr="009B3F44">
        <w:t>This is an appeal against the judgement of the High Court in Case No. HC 5569/17 in which the High Court dismissed an urgent chamber application seeking the stay of the appellant’s detention</w:t>
      </w:r>
      <w:r w:rsidR="00FA62F6" w:rsidRPr="009B3F44">
        <w:t>,</w:t>
      </w:r>
      <w:r w:rsidR="0007798B" w:rsidRPr="009B3F44">
        <w:t xml:space="preserve"> which </w:t>
      </w:r>
      <w:r w:rsidR="009B3F44">
        <w:t>was ordered by the Commissioner -</w:t>
      </w:r>
      <w:r w:rsidR="0007798B" w:rsidRPr="009B3F44">
        <w:t>General of Police</w:t>
      </w:r>
      <w:r w:rsidR="004E6DD3" w:rsidRPr="009B3F44">
        <w:t xml:space="preserve"> (the second respondent)</w:t>
      </w:r>
      <w:r w:rsidR="0007798B" w:rsidRPr="009B3F44">
        <w:t xml:space="preserve">, pending the </w:t>
      </w:r>
      <w:r w:rsidR="00F40917" w:rsidRPr="009B3F44">
        <w:t>finalisation</w:t>
      </w:r>
      <w:r w:rsidR="0007798B" w:rsidRPr="009B3F44">
        <w:t xml:space="preserve"> of an application for review by the High Court of the proceedings before the single trial officer</w:t>
      </w:r>
      <w:r w:rsidR="00F36D3B" w:rsidRPr="009B3F44">
        <w:t xml:space="preserve"> (the first respondent)</w:t>
      </w:r>
      <w:r w:rsidR="0007798B" w:rsidRPr="009B3F44">
        <w:t xml:space="preserve">. </w:t>
      </w:r>
    </w:p>
    <w:p w14:paraId="35990512" w14:textId="77777777" w:rsidR="00B80782" w:rsidRPr="009B3F44" w:rsidRDefault="00B80782" w:rsidP="009B3F44">
      <w:pPr>
        <w:spacing w:line="480" w:lineRule="auto"/>
        <w:jc w:val="both"/>
      </w:pPr>
    </w:p>
    <w:p w14:paraId="4A64585C" w14:textId="77777777" w:rsidR="00682B51" w:rsidRPr="009B3F44" w:rsidRDefault="00B80782" w:rsidP="009B3F44">
      <w:pPr>
        <w:spacing w:line="480" w:lineRule="auto"/>
        <w:jc w:val="both"/>
      </w:pPr>
      <w:r w:rsidRPr="009B3F44">
        <w:tab/>
        <w:t>The High Court dismissed the urgent chamber application on the basis that the appellant had already appealed against the decision of the single trial officer to the Commissioner-Gen</w:t>
      </w:r>
      <w:r w:rsidR="00085E53" w:rsidRPr="009B3F44">
        <w:t>eral</w:t>
      </w:r>
      <w:r w:rsidRPr="009B3F44">
        <w:t xml:space="preserve"> of Police</w:t>
      </w:r>
      <w:r w:rsidR="00F426D8" w:rsidRPr="009B3F44">
        <w:t xml:space="preserve"> and could not therefore seek a review of the decision of the trial officer. </w:t>
      </w:r>
      <w:r w:rsidR="00D95B21" w:rsidRPr="009B3F44">
        <w:t xml:space="preserve">The High Court </w:t>
      </w:r>
      <w:r w:rsidR="00D95B21" w:rsidRPr="009B3F44">
        <w:lastRenderedPageBreak/>
        <w:t xml:space="preserve">also found that the appellant could not seek the stay of the detention order imposed by the Commissioner-General as </w:t>
      </w:r>
      <w:r w:rsidR="004A2E03" w:rsidRPr="009B3F44">
        <w:t>he</w:t>
      </w:r>
      <w:r w:rsidR="00D95B21" w:rsidRPr="009B3F44">
        <w:t xml:space="preserve"> had not questioned the decision of the Commissioner-Gener</w:t>
      </w:r>
      <w:r w:rsidR="00682B51" w:rsidRPr="009B3F44">
        <w:t>al.</w:t>
      </w:r>
    </w:p>
    <w:p w14:paraId="069E8C94" w14:textId="77777777" w:rsidR="00682B51" w:rsidRPr="009B3F44" w:rsidRDefault="00682B51" w:rsidP="009B3F44">
      <w:pPr>
        <w:spacing w:line="480" w:lineRule="auto"/>
        <w:jc w:val="both"/>
      </w:pPr>
    </w:p>
    <w:p w14:paraId="0B83C45D" w14:textId="77777777" w:rsidR="00806E67" w:rsidRPr="009B3F44" w:rsidRDefault="00682B51" w:rsidP="00A062C9">
      <w:pPr>
        <w:spacing w:line="480" w:lineRule="auto"/>
        <w:ind w:firstLine="1134"/>
        <w:jc w:val="both"/>
      </w:pPr>
      <w:r w:rsidRPr="009B3F44">
        <w:t>At the hearing of th</w:t>
      </w:r>
      <w:r w:rsidR="00FC3D4B" w:rsidRPr="009B3F44">
        <w:t>e</w:t>
      </w:r>
      <w:r w:rsidRPr="009B3F44">
        <w:t xml:space="preserve"> appeal, the Court took the position that the present appeal should be confined to the specific facts pertaining to the appellant himself and the determination of the court </w:t>
      </w:r>
      <w:r w:rsidRPr="009B3F44">
        <w:rPr>
          <w:i/>
        </w:rPr>
        <w:t>a quo</w:t>
      </w:r>
      <w:r w:rsidRPr="009B3F44">
        <w:t xml:space="preserve"> in that regard. </w:t>
      </w:r>
      <w:r w:rsidR="00EF580C" w:rsidRPr="009B3F44">
        <w:t>The other questions raised on appeal were purely academic</w:t>
      </w:r>
      <w:r w:rsidR="00EA3755" w:rsidRPr="009B3F44">
        <w:t>, relating as they did to other cases before the High Court,</w:t>
      </w:r>
      <w:r w:rsidR="00EF580C" w:rsidRPr="009B3F44">
        <w:t xml:space="preserve"> and </w:t>
      </w:r>
      <w:r w:rsidR="00806E67" w:rsidRPr="009B3F44">
        <w:t>were</w:t>
      </w:r>
      <w:r w:rsidR="00EA3755" w:rsidRPr="009B3F44">
        <w:t xml:space="preserve"> therefore</w:t>
      </w:r>
      <w:r w:rsidR="00EF580C" w:rsidRPr="009B3F44">
        <w:t xml:space="preserve"> not properly be</w:t>
      </w:r>
      <w:r w:rsidR="00806E67" w:rsidRPr="009B3F44">
        <w:t>fore this Court.</w:t>
      </w:r>
    </w:p>
    <w:p w14:paraId="5910D8E8" w14:textId="77777777" w:rsidR="009B3F44" w:rsidRDefault="00EF580C" w:rsidP="009B3F44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14:paraId="765E342A" w14:textId="77777777" w:rsidR="00A33DCF" w:rsidRPr="00A062C9" w:rsidRDefault="00A33DCF" w:rsidP="00A062C9">
      <w:pPr>
        <w:spacing w:line="360" w:lineRule="auto"/>
        <w:ind w:firstLine="1134"/>
        <w:jc w:val="both"/>
      </w:pPr>
      <w:r w:rsidRPr="00A062C9">
        <w:t>As agreed with counsel, the issues to be determined herein were as follows:</w:t>
      </w:r>
    </w:p>
    <w:p w14:paraId="17042114" w14:textId="77777777" w:rsidR="00A062C9" w:rsidRPr="00A062C9" w:rsidRDefault="00A062C9" w:rsidP="00A062C9">
      <w:pPr>
        <w:spacing w:line="360" w:lineRule="auto"/>
        <w:ind w:firstLine="1134"/>
        <w:jc w:val="both"/>
      </w:pPr>
    </w:p>
    <w:p w14:paraId="1475AC73" w14:textId="77777777" w:rsidR="00E83FDB" w:rsidRPr="00A062C9" w:rsidRDefault="00A33DCF" w:rsidP="009B3F44">
      <w:pPr>
        <w:pStyle w:val="ListParagraph"/>
        <w:numPr>
          <w:ilvl w:val="0"/>
          <w:numId w:val="7"/>
        </w:numPr>
        <w:spacing w:line="480" w:lineRule="auto"/>
        <w:ind w:left="1077" w:hanging="357"/>
        <w:jc w:val="both"/>
      </w:pPr>
      <w:r w:rsidRPr="00A062C9">
        <w:t>Whether the appellant was entitled to approach the High Court on review of the trial officer’s decision after the dismissal of his appeal by the Commissioner-General</w:t>
      </w:r>
      <w:r w:rsidR="00DF7E48" w:rsidRPr="00A062C9">
        <w:t>.</w:t>
      </w:r>
    </w:p>
    <w:p w14:paraId="01656364" w14:textId="77777777" w:rsidR="00A33DCF" w:rsidRPr="00A062C9" w:rsidRDefault="00DF7E48" w:rsidP="009B3F44">
      <w:pPr>
        <w:pStyle w:val="ListParagraph"/>
        <w:numPr>
          <w:ilvl w:val="0"/>
          <w:numId w:val="7"/>
        </w:numPr>
        <w:spacing w:line="480" w:lineRule="auto"/>
        <w:ind w:left="1077" w:hanging="357"/>
        <w:jc w:val="both"/>
      </w:pPr>
      <w:r w:rsidRPr="00A062C9">
        <w:t>Whether the appellant was entitled to approach the High Court to stay the order of detention imposed by the Commissioner-General without having appealed his decision, pending the review of the trial officer’s decision by the High Court.</w:t>
      </w:r>
    </w:p>
    <w:p w14:paraId="29A29BDE" w14:textId="77777777" w:rsidR="00FA62F6" w:rsidRDefault="00FA62F6" w:rsidP="00FA62F6">
      <w:pPr>
        <w:spacing w:line="360" w:lineRule="auto"/>
        <w:jc w:val="both"/>
        <w:rPr>
          <w:rFonts w:ascii="Book Antiqua" w:hAnsi="Book Antiqua"/>
        </w:rPr>
      </w:pPr>
    </w:p>
    <w:p w14:paraId="5E425164" w14:textId="77777777" w:rsidR="005E0D30" w:rsidRPr="00A062C9" w:rsidRDefault="00FA62F6" w:rsidP="00A062C9">
      <w:pPr>
        <w:spacing w:line="480" w:lineRule="auto"/>
        <w:ind w:firstLine="1131"/>
        <w:jc w:val="both"/>
      </w:pPr>
      <w:r w:rsidRPr="00A062C9">
        <w:t>During the course of submissions by counsel, it became apparent</w:t>
      </w:r>
      <w:r w:rsidR="00CE4ECE" w:rsidRPr="00A062C9">
        <w:t xml:space="preserve"> that the review proceedings in Case No. </w:t>
      </w:r>
      <w:r w:rsidR="009742A6" w:rsidRPr="00A062C9">
        <w:t xml:space="preserve">HC </w:t>
      </w:r>
      <w:r w:rsidR="00CE4ECE" w:rsidRPr="00A062C9">
        <w:t>5385/17</w:t>
      </w:r>
      <w:r w:rsidR="009742A6" w:rsidRPr="00A062C9">
        <w:t xml:space="preserve"> were not actually pending at the time that the urgent chamber application was heard and determined by the court </w:t>
      </w:r>
      <w:r w:rsidR="009742A6" w:rsidRPr="00A062C9">
        <w:rPr>
          <w:i/>
        </w:rPr>
        <w:t>a quo</w:t>
      </w:r>
      <w:r w:rsidR="009742A6" w:rsidRPr="00A062C9">
        <w:t xml:space="preserve">. </w:t>
      </w:r>
      <w:r w:rsidR="001B346D" w:rsidRPr="00A062C9">
        <w:t xml:space="preserve">It was common cause that the decision of the trial officer was made on 29 March 2017. </w:t>
      </w:r>
      <w:r w:rsidR="00974103" w:rsidRPr="00A062C9">
        <w:t xml:space="preserve">However, the application for review of that decision was only filed on 15 June 2017, well beyond the eight weeks prescribed by the High Court Rules. </w:t>
      </w:r>
    </w:p>
    <w:p w14:paraId="31394215" w14:textId="77777777" w:rsidR="005E0D30" w:rsidRPr="00A062C9" w:rsidRDefault="005E0D30" w:rsidP="00A062C9">
      <w:pPr>
        <w:spacing w:line="480" w:lineRule="auto"/>
        <w:ind w:left="357" w:firstLine="360"/>
        <w:jc w:val="both"/>
      </w:pPr>
    </w:p>
    <w:p w14:paraId="7CA8EC34" w14:textId="77777777" w:rsidR="004A548D" w:rsidRPr="00A062C9" w:rsidRDefault="005E0D30" w:rsidP="00A062C9">
      <w:pPr>
        <w:spacing w:line="480" w:lineRule="auto"/>
        <w:ind w:firstLine="1134"/>
        <w:jc w:val="both"/>
      </w:pPr>
      <w:r w:rsidRPr="00A062C9">
        <w:lastRenderedPageBreak/>
        <w:t xml:space="preserve">Mr </w:t>
      </w:r>
      <w:proofErr w:type="spellStart"/>
      <w:r w:rsidRPr="00A062C9">
        <w:rPr>
          <w:i/>
        </w:rPr>
        <w:t>Mugiya</w:t>
      </w:r>
      <w:proofErr w:type="spellEnd"/>
      <w:r w:rsidRPr="00A062C9">
        <w:t>, for the appellant, claimed that he had filed an application for condonation, for the late noting of the application</w:t>
      </w:r>
      <w:r w:rsidR="00FA62F6" w:rsidRPr="00A062C9">
        <w:t xml:space="preserve"> </w:t>
      </w:r>
      <w:r w:rsidRPr="00A062C9">
        <w:t xml:space="preserve">for review, on 23 June 2017 and that the former application was still pending. </w:t>
      </w:r>
      <w:r w:rsidR="00C46A0E" w:rsidRPr="00A062C9">
        <w:t>He later contradicted himself by stating that the application for review had been amended by consent</w:t>
      </w:r>
      <w:r w:rsidR="006F19DE" w:rsidRPr="00A062C9">
        <w:t xml:space="preserve"> and therefore did not require any condonation</w:t>
      </w:r>
      <w:r w:rsidR="00C46A0E" w:rsidRPr="00A062C9">
        <w:t xml:space="preserve">. </w:t>
      </w:r>
      <w:r w:rsidR="00FD616D" w:rsidRPr="00A062C9">
        <w:t xml:space="preserve">All of these claims were categorically refuted by Mr </w:t>
      </w:r>
      <w:proofErr w:type="spellStart"/>
      <w:r w:rsidR="00FD616D" w:rsidRPr="00A062C9">
        <w:rPr>
          <w:i/>
        </w:rPr>
        <w:t>Chimhiti</w:t>
      </w:r>
      <w:proofErr w:type="spellEnd"/>
      <w:r w:rsidR="00FD616D" w:rsidRPr="00A062C9">
        <w:t xml:space="preserve">, for the respondents. </w:t>
      </w:r>
      <w:r w:rsidR="00824BA8" w:rsidRPr="00A062C9">
        <w:t xml:space="preserve">To further compound the matter, none of the documents relied upon by Mr </w:t>
      </w:r>
      <w:proofErr w:type="spellStart"/>
      <w:r w:rsidR="00824BA8" w:rsidRPr="00A062C9">
        <w:rPr>
          <w:i/>
        </w:rPr>
        <w:t>Mugiya</w:t>
      </w:r>
      <w:proofErr w:type="spellEnd"/>
      <w:r w:rsidR="00DA6CCE" w:rsidRPr="00A062C9">
        <w:t xml:space="preserve"> to support his contentions formed part of the record before us.</w:t>
      </w:r>
    </w:p>
    <w:p w14:paraId="777A7927" w14:textId="77777777" w:rsidR="004A548D" w:rsidRPr="00A062C9" w:rsidRDefault="004A548D" w:rsidP="00A062C9">
      <w:pPr>
        <w:spacing w:line="480" w:lineRule="auto"/>
        <w:ind w:left="357" w:firstLine="360"/>
        <w:jc w:val="both"/>
      </w:pPr>
    </w:p>
    <w:p w14:paraId="3086CD85" w14:textId="77777777" w:rsidR="007A131B" w:rsidRPr="00A062C9" w:rsidRDefault="004A548D" w:rsidP="00A062C9">
      <w:pPr>
        <w:spacing w:line="480" w:lineRule="auto"/>
        <w:ind w:firstLine="1134"/>
        <w:jc w:val="both"/>
      </w:pPr>
      <w:r w:rsidRPr="00A062C9">
        <w:t xml:space="preserve">Mr </w:t>
      </w:r>
      <w:proofErr w:type="spellStart"/>
      <w:r w:rsidRPr="00A062C9">
        <w:rPr>
          <w:i/>
        </w:rPr>
        <w:t>Mugiya</w:t>
      </w:r>
      <w:proofErr w:type="spellEnd"/>
      <w:r w:rsidRPr="00A062C9">
        <w:t xml:space="preserve"> eventually sought an order striking the matter off the roll with a tender of wasted costs. </w:t>
      </w:r>
      <w:r w:rsidR="006E31A6" w:rsidRPr="00A062C9">
        <w:t xml:space="preserve">Mr </w:t>
      </w:r>
      <w:proofErr w:type="spellStart"/>
      <w:r w:rsidR="006E31A6" w:rsidRPr="00A062C9">
        <w:rPr>
          <w:i/>
        </w:rPr>
        <w:t>Chimhiti</w:t>
      </w:r>
      <w:proofErr w:type="spellEnd"/>
      <w:r w:rsidR="006E31A6" w:rsidRPr="00A062C9">
        <w:t xml:space="preserve">, on the other hand, sought the dismissal of the matter with costs. </w:t>
      </w:r>
    </w:p>
    <w:p w14:paraId="3E874700" w14:textId="77777777" w:rsidR="007A131B" w:rsidRPr="00A062C9" w:rsidRDefault="007A131B" w:rsidP="00A062C9">
      <w:pPr>
        <w:spacing w:line="480" w:lineRule="auto"/>
        <w:ind w:left="357" w:firstLine="360"/>
        <w:jc w:val="both"/>
      </w:pPr>
    </w:p>
    <w:p w14:paraId="66BBA31D" w14:textId="77777777" w:rsidR="00220903" w:rsidRPr="00A062C9" w:rsidRDefault="007A131B" w:rsidP="00A062C9">
      <w:pPr>
        <w:spacing w:line="480" w:lineRule="auto"/>
        <w:ind w:firstLine="1134"/>
        <w:jc w:val="both"/>
      </w:pPr>
      <w:r w:rsidRPr="00A062C9">
        <w:t xml:space="preserve">In our view, there was no review </w:t>
      </w:r>
      <w:r w:rsidR="00261F74" w:rsidRPr="00A062C9">
        <w:t xml:space="preserve">properly </w:t>
      </w:r>
      <w:r w:rsidRPr="00A062C9">
        <w:t xml:space="preserve">pending before the High Court at the time that the urgent chamber application was heard and determined by the court </w:t>
      </w:r>
      <w:r w:rsidRPr="00A062C9">
        <w:rPr>
          <w:i/>
        </w:rPr>
        <w:t>a quo</w:t>
      </w:r>
      <w:r w:rsidRPr="00A062C9">
        <w:t>.</w:t>
      </w:r>
      <w:r w:rsidR="00EA3755" w:rsidRPr="00A062C9">
        <w:t xml:space="preserve"> </w:t>
      </w:r>
      <w:r w:rsidR="002D273B" w:rsidRPr="00A062C9">
        <w:t xml:space="preserve">Therefore, the entire proceedings before the court </w:t>
      </w:r>
      <w:r w:rsidR="002D273B" w:rsidRPr="00A062C9">
        <w:rPr>
          <w:i/>
        </w:rPr>
        <w:t>a quo</w:t>
      </w:r>
      <w:r w:rsidR="002D273B" w:rsidRPr="00A062C9">
        <w:t xml:space="preserve"> were premised on an erroneous factual background. </w:t>
      </w:r>
      <w:r w:rsidR="003745BC" w:rsidRPr="00A062C9">
        <w:t xml:space="preserve">Consequently and by the same token, the present appeal was also predicated on the same erroneous set of facts. </w:t>
      </w:r>
      <w:r w:rsidR="00BD220E" w:rsidRPr="00A062C9">
        <w:t>In the result, we are of the unanimous view that the appeal</w:t>
      </w:r>
      <w:r w:rsidR="00BE0D72" w:rsidRPr="00A062C9">
        <w:t>, having been lodged on an improper footing,</w:t>
      </w:r>
      <w:r w:rsidR="00BD220E" w:rsidRPr="00A062C9">
        <w:t xml:space="preserve"> should be dismissed rather than being struck off the roll. </w:t>
      </w:r>
    </w:p>
    <w:p w14:paraId="476D80C0" w14:textId="77777777" w:rsidR="000B0F03" w:rsidRPr="00A062C9" w:rsidRDefault="000B0F03" w:rsidP="00A062C9">
      <w:pPr>
        <w:spacing w:line="480" w:lineRule="auto"/>
        <w:ind w:left="357" w:firstLine="360"/>
        <w:jc w:val="both"/>
      </w:pPr>
    </w:p>
    <w:p w14:paraId="4EF13132" w14:textId="77777777" w:rsidR="000B0F03" w:rsidRPr="00A062C9" w:rsidRDefault="000B0F03" w:rsidP="00A062C9">
      <w:pPr>
        <w:spacing w:line="480" w:lineRule="auto"/>
        <w:ind w:firstLine="1134"/>
        <w:jc w:val="both"/>
      </w:pPr>
      <w:r w:rsidRPr="00A062C9">
        <w:tab/>
        <w:t>It is accordingly ordered that the appeal</w:t>
      </w:r>
      <w:r w:rsidR="00FD15AD" w:rsidRPr="00A062C9">
        <w:t xml:space="preserve"> be and is hereby dismissed with costs. </w:t>
      </w:r>
      <w:r w:rsidRPr="00A062C9">
        <w:t xml:space="preserve"> </w:t>
      </w:r>
    </w:p>
    <w:p w14:paraId="15F93723" w14:textId="77777777" w:rsidR="0002331C" w:rsidRDefault="0002331C" w:rsidP="00412229">
      <w:pPr>
        <w:spacing w:line="360" w:lineRule="auto"/>
        <w:jc w:val="both"/>
        <w:rPr>
          <w:rFonts w:ascii="Book Antiqua" w:hAnsi="Book Antiqua"/>
        </w:rPr>
      </w:pPr>
    </w:p>
    <w:p w14:paraId="14C509BE" w14:textId="77777777" w:rsidR="00AE5093" w:rsidRPr="00272765" w:rsidRDefault="00AE5093" w:rsidP="00412229">
      <w:pPr>
        <w:spacing w:line="360" w:lineRule="auto"/>
        <w:jc w:val="both"/>
        <w:rPr>
          <w:rFonts w:ascii="Book Antiqua" w:hAnsi="Book Antiqua"/>
        </w:rPr>
      </w:pPr>
    </w:p>
    <w:p w14:paraId="66137133" w14:textId="77777777" w:rsidR="0050064D" w:rsidRPr="00A062C9" w:rsidRDefault="00E53328" w:rsidP="00AE5093">
      <w:pPr>
        <w:spacing w:line="360" w:lineRule="auto"/>
        <w:ind w:left="306" w:firstLine="1134"/>
        <w:jc w:val="both"/>
      </w:pPr>
      <w:r w:rsidRPr="00A062C9">
        <w:t>BHUNU JA</w:t>
      </w:r>
      <w:r w:rsidR="00E91792" w:rsidRPr="00A062C9">
        <w:t>:</w:t>
      </w:r>
      <w:r w:rsidR="00F47370" w:rsidRPr="00A062C9">
        <w:tab/>
      </w:r>
      <w:r w:rsidR="00AE5093">
        <w:tab/>
      </w:r>
      <w:r w:rsidR="00E91792" w:rsidRPr="00A062C9">
        <w:tab/>
        <w:t>I agree.</w:t>
      </w:r>
    </w:p>
    <w:p w14:paraId="12EA8DB1" w14:textId="77777777" w:rsidR="00AA1529" w:rsidRPr="00A062C9" w:rsidRDefault="00AA1529" w:rsidP="00412229">
      <w:pPr>
        <w:spacing w:line="360" w:lineRule="auto"/>
        <w:jc w:val="both"/>
      </w:pPr>
    </w:p>
    <w:p w14:paraId="4B4A82D0" w14:textId="77777777" w:rsidR="00D46F42" w:rsidRPr="00A062C9" w:rsidRDefault="00E53328" w:rsidP="00AE5093">
      <w:pPr>
        <w:spacing w:line="360" w:lineRule="auto"/>
        <w:ind w:left="306" w:firstLine="1134"/>
        <w:jc w:val="both"/>
      </w:pPr>
      <w:r w:rsidRPr="00A062C9">
        <w:t>BERE JA</w:t>
      </w:r>
      <w:r w:rsidR="00D46F42" w:rsidRPr="00A062C9">
        <w:t>:</w:t>
      </w:r>
      <w:r w:rsidR="00F47370" w:rsidRPr="00A062C9">
        <w:tab/>
      </w:r>
      <w:r w:rsidR="00D46F42" w:rsidRPr="00A062C9">
        <w:tab/>
      </w:r>
      <w:r w:rsidR="00AE5093">
        <w:tab/>
      </w:r>
      <w:r w:rsidR="00D46F42" w:rsidRPr="00A062C9">
        <w:t>I agree.</w:t>
      </w:r>
    </w:p>
    <w:p w14:paraId="0489324B" w14:textId="77777777" w:rsidR="00D46F42" w:rsidRPr="00A062C9" w:rsidRDefault="00D46F42" w:rsidP="00412229">
      <w:pPr>
        <w:spacing w:line="360" w:lineRule="auto"/>
        <w:jc w:val="both"/>
      </w:pPr>
    </w:p>
    <w:p w14:paraId="1E5B1AB9" w14:textId="77777777" w:rsidR="003E0F83" w:rsidRPr="00A062C9" w:rsidRDefault="003E0F83" w:rsidP="00412229">
      <w:pPr>
        <w:spacing w:line="360" w:lineRule="auto"/>
        <w:jc w:val="both"/>
      </w:pPr>
    </w:p>
    <w:p w14:paraId="281CFCE1" w14:textId="77777777" w:rsidR="00412229" w:rsidRPr="00A062C9" w:rsidRDefault="00412229" w:rsidP="00412229">
      <w:pPr>
        <w:spacing w:line="360" w:lineRule="auto"/>
        <w:jc w:val="both"/>
      </w:pPr>
    </w:p>
    <w:p w14:paraId="7B1E1D20" w14:textId="77777777" w:rsidR="003E0F83" w:rsidRPr="00A062C9" w:rsidRDefault="00212572" w:rsidP="00AE5093">
      <w:pPr>
        <w:spacing w:line="480" w:lineRule="auto"/>
        <w:jc w:val="both"/>
      </w:pPr>
      <w:proofErr w:type="spellStart"/>
      <w:r w:rsidRPr="00A062C9">
        <w:rPr>
          <w:i/>
        </w:rPr>
        <w:t>Mugiya</w:t>
      </w:r>
      <w:proofErr w:type="spellEnd"/>
      <w:r w:rsidRPr="00A062C9">
        <w:t xml:space="preserve"> </w:t>
      </w:r>
      <w:r w:rsidRPr="00A062C9">
        <w:rPr>
          <w:i/>
        </w:rPr>
        <w:t>&amp;</w:t>
      </w:r>
      <w:r w:rsidRPr="00A062C9">
        <w:t xml:space="preserve"> </w:t>
      </w:r>
      <w:proofErr w:type="spellStart"/>
      <w:r w:rsidRPr="00A062C9">
        <w:rPr>
          <w:i/>
        </w:rPr>
        <w:t>Macharaga</w:t>
      </w:r>
      <w:proofErr w:type="spellEnd"/>
      <w:r w:rsidRPr="00A062C9">
        <w:rPr>
          <w:i/>
        </w:rPr>
        <w:t xml:space="preserve"> Law Chambers</w:t>
      </w:r>
      <w:r w:rsidR="00F1235E" w:rsidRPr="00A062C9">
        <w:t xml:space="preserve">, appellant’s </w:t>
      </w:r>
      <w:r w:rsidR="00F7784D" w:rsidRPr="00A062C9">
        <w:t>l</w:t>
      </w:r>
      <w:r w:rsidR="00F1235E" w:rsidRPr="00A062C9">
        <w:t xml:space="preserve">egal </w:t>
      </w:r>
      <w:r w:rsidR="00F7784D" w:rsidRPr="00A062C9">
        <w:t>p</w:t>
      </w:r>
      <w:r w:rsidR="00F1235E" w:rsidRPr="00A062C9">
        <w:t>ractitioners</w:t>
      </w:r>
    </w:p>
    <w:p w14:paraId="4D504937" w14:textId="77777777" w:rsidR="003E0F83" w:rsidRPr="00A062C9" w:rsidRDefault="005527E8" w:rsidP="00AE5093">
      <w:pPr>
        <w:spacing w:line="480" w:lineRule="auto"/>
        <w:jc w:val="both"/>
      </w:pPr>
      <w:r w:rsidRPr="00A062C9">
        <w:rPr>
          <w:i/>
        </w:rPr>
        <w:t>Civil Division of the Attorney-General’s Office</w:t>
      </w:r>
      <w:r w:rsidR="00E81D67" w:rsidRPr="00A062C9">
        <w:t>, respondents</w:t>
      </w:r>
      <w:r w:rsidR="0070731A" w:rsidRPr="00A062C9">
        <w:t>’</w:t>
      </w:r>
      <w:r w:rsidR="00E81D67" w:rsidRPr="00A062C9">
        <w:t xml:space="preserve"> </w:t>
      </w:r>
      <w:r w:rsidR="00F7784D" w:rsidRPr="00A062C9">
        <w:t>l</w:t>
      </w:r>
      <w:r w:rsidR="00E81D67" w:rsidRPr="00A062C9">
        <w:t xml:space="preserve">egal </w:t>
      </w:r>
      <w:r w:rsidR="00F7784D" w:rsidRPr="00A062C9">
        <w:t>p</w:t>
      </w:r>
      <w:r w:rsidR="00E81D67" w:rsidRPr="00A062C9">
        <w:t>ractitioners</w:t>
      </w:r>
      <w:r w:rsidR="008C56E1" w:rsidRPr="00A062C9">
        <w:t xml:space="preserve"> </w:t>
      </w:r>
    </w:p>
    <w:sectPr w:rsidR="003E0F83" w:rsidRPr="00A062C9" w:rsidSect="00A062C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FB2AD" w14:textId="77777777" w:rsidR="003070AE" w:rsidRDefault="003070AE">
      <w:r>
        <w:separator/>
      </w:r>
    </w:p>
  </w:endnote>
  <w:endnote w:type="continuationSeparator" w:id="0">
    <w:p w14:paraId="26EEA475" w14:textId="77777777" w:rsidR="003070AE" w:rsidRDefault="0030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0CB34" w14:textId="77777777" w:rsidR="003070AE" w:rsidRDefault="003070AE">
      <w:r>
        <w:separator/>
      </w:r>
    </w:p>
  </w:footnote>
  <w:footnote w:type="continuationSeparator" w:id="0">
    <w:p w14:paraId="0E285853" w14:textId="77777777" w:rsidR="003070AE" w:rsidRDefault="00307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20019" w14:textId="77777777" w:rsidR="00412229" w:rsidRDefault="00412229" w:rsidP="001F6C7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1A982B" w14:textId="77777777" w:rsidR="00412229" w:rsidRDefault="00412229" w:rsidP="007777D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208"/>
      <w:gridCol w:w="1152"/>
    </w:tblGrid>
    <w:tr w:rsidR="00D71FDD" w:rsidRPr="00977EB9" w14:paraId="19B23A6D" w14:textId="77777777" w:rsidTr="00D01193">
      <w:tc>
        <w:tcPr>
          <w:tcW w:w="0" w:type="auto"/>
          <w:tcBorders>
            <w:right w:val="single" w:sz="6" w:space="0" w:color="000000"/>
          </w:tcBorders>
        </w:tcPr>
        <w:p w14:paraId="29F0B744" w14:textId="77777777" w:rsidR="00D71FDD" w:rsidRPr="00977EB9" w:rsidRDefault="00D71FDD" w:rsidP="00D71FDD">
          <w:pPr>
            <w:pStyle w:val="Header"/>
            <w:jc w:val="right"/>
            <w:rPr>
              <w:b/>
            </w:rPr>
          </w:pPr>
          <w:r>
            <w:rPr>
              <w:b/>
            </w:rPr>
            <w:t>Judgment No. SC 23/19</w:t>
          </w:r>
          <w:r w:rsidRPr="00977EB9">
            <w:rPr>
              <w:b/>
            </w:rPr>
            <w:t xml:space="preserve">  </w:t>
          </w:r>
        </w:p>
        <w:p w14:paraId="12B3762F" w14:textId="77777777" w:rsidR="00D71FDD" w:rsidRPr="00977EB9" w:rsidRDefault="00D71FDD" w:rsidP="00D71FDD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                                                                         </w:t>
          </w:r>
          <w:r w:rsidR="009C1650">
            <w:rPr>
              <w:b/>
              <w:bCs/>
            </w:rPr>
            <w:t xml:space="preserve">            </w:t>
          </w:r>
          <w:r>
            <w:rPr>
              <w:b/>
              <w:bCs/>
            </w:rPr>
            <w:t xml:space="preserve"> Civil Appeal No. SC 474/18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14:paraId="09C9B1AF" w14:textId="77777777" w:rsidR="00D71FDD" w:rsidRPr="00977EB9" w:rsidRDefault="00D71FDD" w:rsidP="00D71FDD">
          <w:pPr>
            <w:pStyle w:val="Header"/>
            <w:rPr>
              <w:b/>
              <w:bCs/>
            </w:rPr>
          </w:pPr>
          <w:r w:rsidRPr="00977EB9">
            <w:rPr>
              <w:b/>
            </w:rPr>
            <w:fldChar w:fldCharType="begin"/>
          </w:r>
          <w:r w:rsidRPr="00977EB9">
            <w:rPr>
              <w:b/>
            </w:rPr>
            <w:instrText xml:space="preserve"> PAGE   \* MERGEFORMAT </w:instrText>
          </w:r>
          <w:r w:rsidRPr="00977EB9">
            <w:rPr>
              <w:b/>
            </w:rPr>
            <w:fldChar w:fldCharType="separate"/>
          </w:r>
          <w:r w:rsidR="0088206D">
            <w:rPr>
              <w:b/>
              <w:noProof/>
            </w:rPr>
            <w:t>1</w:t>
          </w:r>
          <w:r w:rsidRPr="00977EB9">
            <w:rPr>
              <w:b/>
              <w:noProof/>
            </w:rPr>
            <w:fldChar w:fldCharType="end"/>
          </w:r>
        </w:p>
      </w:tc>
    </w:tr>
  </w:tbl>
  <w:p w14:paraId="657835BF" w14:textId="77777777" w:rsidR="00412229" w:rsidRPr="00272765" w:rsidRDefault="00412229" w:rsidP="00386038">
    <w:pPr>
      <w:pStyle w:val="Header"/>
      <w:jc w:val="right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E1E"/>
    <w:multiLevelType w:val="hybridMultilevel"/>
    <w:tmpl w:val="5428D1EE"/>
    <w:lvl w:ilvl="0" w:tplc="43987052">
      <w:start w:val="11"/>
      <w:numFmt w:val="bullet"/>
      <w:lvlText w:val="-"/>
      <w:lvlJc w:val="left"/>
      <w:pPr>
        <w:ind w:left="1080" w:hanging="360"/>
      </w:pPr>
      <w:rPr>
        <w:rFonts w:ascii="Book Antiqua" w:eastAsia="Times New Roman" w:hAnsi="Book Antiqua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E2D96"/>
    <w:multiLevelType w:val="hybridMultilevel"/>
    <w:tmpl w:val="1978943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2F74E1"/>
    <w:multiLevelType w:val="hybridMultilevel"/>
    <w:tmpl w:val="5B149456"/>
    <w:lvl w:ilvl="0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081282D"/>
    <w:multiLevelType w:val="hybridMultilevel"/>
    <w:tmpl w:val="F86600FE"/>
    <w:lvl w:ilvl="0" w:tplc="DBDE90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05404"/>
    <w:multiLevelType w:val="hybridMultilevel"/>
    <w:tmpl w:val="AF80747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11671"/>
    <w:multiLevelType w:val="hybridMultilevel"/>
    <w:tmpl w:val="2B34E7C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4A7EE4"/>
    <w:multiLevelType w:val="hybridMultilevel"/>
    <w:tmpl w:val="6060C0CA"/>
    <w:lvl w:ilvl="0" w:tplc="B5260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B5"/>
    <w:rsid w:val="00002850"/>
    <w:rsid w:val="0002331C"/>
    <w:rsid w:val="000731C4"/>
    <w:rsid w:val="0007798B"/>
    <w:rsid w:val="00085E53"/>
    <w:rsid w:val="000A50AC"/>
    <w:rsid w:val="000B0F03"/>
    <w:rsid w:val="000E4042"/>
    <w:rsid w:val="00135615"/>
    <w:rsid w:val="00141378"/>
    <w:rsid w:val="001436F8"/>
    <w:rsid w:val="001A6718"/>
    <w:rsid w:val="001B346D"/>
    <w:rsid w:val="001E245B"/>
    <w:rsid w:val="001F6C7E"/>
    <w:rsid w:val="00212572"/>
    <w:rsid w:val="00220903"/>
    <w:rsid w:val="00222F74"/>
    <w:rsid w:val="00250283"/>
    <w:rsid w:val="00261F74"/>
    <w:rsid w:val="00272765"/>
    <w:rsid w:val="00273E40"/>
    <w:rsid w:val="002A2D30"/>
    <w:rsid w:val="002C737A"/>
    <w:rsid w:val="002D0DAD"/>
    <w:rsid w:val="002D273B"/>
    <w:rsid w:val="003070AE"/>
    <w:rsid w:val="003216B5"/>
    <w:rsid w:val="003235C5"/>
    <w:rsid w:val="00365A1C"/>
    <w:rsid w:val="003745BC"/>
    <w:rsid w:val="00383032"/>
    <w:rsid w:val="00386038"/>
    <w:rsid w:val="003B7E4F"/>
    <w:rsid w:val="003E0F83"/>
    <w:rsid w:val="00412229"/>
    <w:rsid w:val="00416D42"/>
    <w:rsid w:val="0043329A"/>
    <w:rsid w:val="004A0853"/>
    <w:rsid w:val="004A2E03"/>
    <w:rsid w:val="004A548D"/>
    <w:rsid w:val="004B026E"/>
    <w:rsid w:val="004D149D"/>
    <w:rsid w:val="004D17B7"/>
    <w:rsid w:val="004D7AD8"/>
    <w:rsid w:val="004E6DD3"/>
    <w:rsid w:val="004F020F"/>
    <w:rsid w:val="0050064D"/>
    <w:rsid w:val="005527E8"/>
    <w:rsid w:val="005639C5"/>
    <w:rsid w:val="005A10B0"/>
    <w:rsid w:val="005C6D91"/>
    <w:rsid w:val="005E0D30"/>
    <w:rsid w:val="005E4C64"/>
    <w:rsid w:val="00657433"/>
    <w:rsid w:val="00664AB9"/>
    <w:rsid w:val="00676E91"/>
    <w:rsid w:val="00682B51"/>
    <w:rsid w:val="006878C1"/>
    <w:rsid w:val="00690B38"/>
    <w:rsid w:val="006B7B5C"/>
    <w:rsid w:val="006C4E70"/>
    <w:rsid w:val="006E0951"/>
    <w:rsid w:val="006E31A6"/>
    <w:rsid w:val="006F19DE"/>
    <w:rsid w:val="006F26A7"/>
    <w:rsid w:val="006F72A9"/>
    <w:rsid w:val="006F7B02"/>
    <w:rsid w:val="0070588D"/>
    <w:rsid w:val="0070731A"/>
    <w:rsid w:val="00741128"/>
    <w:rsid w:val="007620DD"/>
    <w:rsid w:val="007777DD"/>
    <w:rsid w:val="007A131B"/>
    <w:rsid w:val="007C203F"/>
    <w:rsid w:val="00806E67"/>
    <w:rsid w:val="00815096"/>
    <w:rsid w:val="00824BA8"/>
    <w:rsid w:val="00831669"/>
    <w:rsid w:val="00837726"/>
    <w:rsid w:val="0085089D"/>
    <w:rsid w:val="00852612"/>
    <w:rsid w:val="0088206D"/>
    <w:rsid w:val="008A53DD"/>
    <w:rsid w:val="008C56E1"/>
    <w:rsid w:val="008E3E30"/>
    <w:rsid w:val="00912E63"/>
    <w:rsid w:val="009570E4"/>
    <w:rsid w:val="00974103"/>
    <w:rsid w:val="009742A6"/>
    <w:rsid w:val="00984A07"/>
    <w:rsid w:val="00992A2A"/>
    <w:rsid w:val="0099664A"/>
    <w:rsid w:val="009B3F44"/>
    <w:rsid w:val="009C1650"/>
    <w:rsid w:val="009C7FA3"/>
    <w:rsid w:val="009D728C"/>
    <w:rsid w:val="00A00250"/>
    <w:rsid w:val="00A062C9"/>
    <w:rsid w:val="00A33DCF"/>
    <w:rsid w:val="00A9178C"/>
    <w:rsid w:val="00AA1529"/>
    <w:rsid w:val="00AE5093"/>
    <w:rsid w:val="00AE5A97"/>
    <w:rsid w:val="00AF48D9"/>
    <w:rsid w:val="00B15EA2"/>
    <w:rsid w:val="00B15F4D"/>
    <w:rsid w:val="00B16387"/>
    <w:rsid w:val="00B21183"/>
    <w:rsid w:val="00B30AE0"/>
    <w:rsid w:val="00B52BA6"/>
    <w:rsid w:val="00B74196"/>
    <w:rsid w:val="00B763ED"/>
    <w:rsid w:val="00B7676F"/>
    <w:rsid w:val="00B80782"/>
    <w:rsid w:val="00BD220E"/>
    <w:rsid w:val="00BE0423"/>
    <w:rsid w:val="00BE0D72"/>
    <w:rsid w:val="00BE71BF"/>
    <w:rsid w:val="00C076D2"/>
    <w:rsid w:val="00C46A0E"/>
    <w:rsid w:val="00C94BDF"/>
    <w:rsid w:val="00CE4ECE"/>
    <w:rsid w:val="00D46F42"/>
    <w:rsid w:val="00D60394"/>
    <w:rsid w:val="00D71FDD"/>
    <w:rsid w:val="00D7375A"/>
    <w:rsid w:val="00D95B21"/>
    <w:rsid w:val="00DA6CCE"/>
    <w:rsid w:val="00DB2839"/>
    <w:rsid w:val="00DF7E48"/>
    <w:rsid w:val="00E404FC"/>
    <w:rsid w:val="00E53328"/>
    <w:rsid w:val="00E74FEB"/>
    <w:rsid w:val="00E81D67"/>
    <w:rsid w:val="00E829E0"/>
    <w:rsid w:val="00E83FDB"/>
    <w:rsid w:val="00E91792"/>
    <w:rsid w:val="00EA3755"/>
    <w:rsid w:val="00EF580C"/>
    <w:rsid w:val="00F1235E"/>
    <w:rsid w:val="00F36382"/>
    <w:rsid w:val="00F36D3B"/>
    <w:rsid w:val="00F40917"/>
    <w:rsid w:val="00F426D8"/>
    <w:rsid w:val="00F47370"/>
    <w:rsid w:val="00F611F0"/>
    <w:rsid w:val="00F7784D"/>
    <w:rsid w:val="00F905A6"/>
    <w:rsid w:val="00FA62F6"/>
    <w:rsid w:val="00FA7284"/>
    <w:rsid w:val="00FC3D4B"/>
    <w:rsid w:val="00FD15AD"/>
    <w:rsid w:val="00FD616D"/>
    <w:rsid w:val="00F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35D28D93"/>
  <w15:docId w15:val="{F731C978-A3CB-4211-A8C9-13CE5651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26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26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77DD"/>
  </w:style>
  <w:style w:type="character" w:customStyle="1" w:styleId="HeaderChar">
    <w:name w:val="Header Char"/>
    <w:basedOn w:val="DefaultParagraphFont"/>
    <w:link w:val="Header"/>
    <w:uiPriority w:val="99"/>
    <w:rsid w:val="00141378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A33DC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F72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72A9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BP%20present\ZSC%202019\ZZ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ZZ Template</Template>
  <TotalTime>0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</vt:lpstr>
    </vt:vector>
  </TitlesOfParts>
  <Company>rbz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</dc:title>
  <dc:creator>User</dc:creator>
  <cp:lastModifiedBy>Zimlii</cp:lastModifiedBy>
  <cp:revision>2</cp:revision>
  <cp:lastPrinted>2019-02-22T06:49:00Z</cp:lastPrinted>
  <dcterms:created xsi:type="dcterms:W3CDTF">2019-06-10T12:34:00Z</dcterms:created>
  <dcterms:modified xsi:type="dcterms:W3CDTF">2019-06-10T12:34:00Z</dcterms:modified>
</cp:coreProperties>
</file>