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019" w:rsidRPr="00201D8B" w:rsidRDefault="008A1019" w:rsidP="00225F5C">
      <w:pPr>
        <w:spacing w:after="0" w:line="240" w:lineRule="auto"/>
        <w:jc w:val="center"/>
        <w:rPr>
          <w:rFonts w:ascii="Times New Roman" w:hAnsi="Times New Roman" w:cs="Times New Roman"/>
          <w:b/>
          <w:sz w:val="24"/>
          <w:szCs w:val="24"/>
        </w:rPr>
      </w:pPr>
    </w:p>
    <w:p w:rsidR="008A1019" w:rsidRPr="00201D8B" w:rsidRDefault="008A1019" w:rsidP="00225F5C">
      <w:pPr>
        <w:spacing w:after="0" w:line="240" w:lineRule="auto"/>
        <w:jc w:val="center"/>
        <w:rPr>
          <w:rFonts w:ascii="Times New Roman" w:hAnsi="Times New Roman" w:cs="Times New Roman"/>
          <w:b/>
          <w:sz w:val="24"/>
          <w:szCs w:val="24"/>
        </w:rPr>
      </w:pPr>
      <w:r w:rsidRPr="00201D8B">
        <w:rPr>
          <w:rFonts w:ascii="Times New Roman" w:hAnsi="Times New Roman" w:cs="Times New Roman"/>
          <w:b/>
          <w:sz w:val="24"/>
          <w:szCs w:val="24"/>
        </w:rPr>
        <w:t>PAUL     SIMANGO</w:t>
      </w:r>
    </w:p>
    <w:p w:rsidR="008A1019" w:rsidRPr="00201D8B" w:rsidRDefault="008A1019" w:rsidP="00225F5C">
      <w:pPr>
        <w:spacing w:after="0" w:line="240" w:lineRule="auto"/>
        <w:jc w:val="center"/>
        <w:rPr>
          <w:rFonts w:ascii="Times New Roman" w:hAnsi="Times New Roman" w:cs="Times New Roman"/>
          <w:b/>
          <w:sz w:val="24"/>
          <w:szCs w:val="24"/>
        </w:rPr>
      </w:pPr>
      <w:proofErr w:type="gramStart"/>
      <w:r w:rsidRPr="00201D8B">
        <w:rPr>
          <w:rFonts w:ascii="Times New Roman" w:hAnsi="Times New Roman" w:cs="Times New Roman"/>
          <w:b/>
          <w:sz w:val="24"/>
          <w:szCs w:val="24"/>
        </w:rPr>
        <w:t>v</w:t>
      </w:r>
      <w:proofErr w:type="gramEnd"/>
    </w:p>
    <w:p w:rsidR="008A1019" w:rsidRPr="00201D8B" w:rsidRDefault="008A1019" w:rsidP="00225F5C">
      <w:pPr>
        <w:spacing w:after="0" w:line="240" w:lineRule="auto"/>
        <w:jc w:val="center"/>
        <w:rPr>
          <w:rFonts w:ascii="Times New Roman" w:hAnsi="Times New Roman" w:cs="Times New Roman"/>
          <w:b/>
          <w:sz w:val="24"/>
          <w:szCs w:val="24"/>
        </w:rPr>
      </w:pPr>
      <w:r w:rsidRPr="00201D8B">
        <w:rPr>
          <w:rFonts w:ascii="Times New Roman" w:hAnsi="Times New Roman" w:cs="Times New Roman"/>
          <w:b/>
          <w:sz w:val="24"/>
          <w:szCs w:val="24"/>
        </w:rPr>
        <w:t>MARTHA     SIMANGO</w:t>
      </w:r>
    </w:p>
    <w:p w:rsidR="008A1019" w:rsidRPr="00201D8B" w:rsidRDefault="008A1019" w:rsidP="00225F5C">
      <w:pPr>
        <w:spacing w:after="0" w:line="240" w:lineRule="auto"/>
        <w:jc w:val="center"/>
        <w:rPr>
          <w:rFonts w:ascii="Times New Roman" w:hAnsi="Times New Roman" w:cs="Times New Roman"/>
          <w:b/>
          <w:sz w:val="24"/>
          <w:szCs w:val="24"/>
        </w:rPr>
      </w:pPr>
    </w:p>
    <w:p w:rsidR="008A1019" w:rsidRPr="00201D8B" w:rsidRDefault="008A1019" w:rsidP="00225F5C">
      <w:pPr>
        <w:spacing w:after="0" w:line="240" w:lineRule="auto"/>
        <w:jc w:val="both"/>
        <w:rPr>
          <w:rFonts w:ascii="Times New Roman" w:hAnsi="Times New Roman" w:cs="Times New Roman"/>
          <w:b/>
          <w:sz w:val="24"/>
          <w:szCs w:val="24"/>
        </w:rPr>
      </w:pPr>
    </w:p>
    <w:p w:rsidR="008A1019" w:rsidRPr="00201D8B" w:rsidRDefault="008A1019" w:rsidP="00225F5C">
      <w:pPr>
        <w:spacing w:after="0" w:line="240" w:lineRule="auto"/>
        <w:jc w:val="both"/>
        <w:rPr>
          <w:rFonts w:ascii="Times New Roman" w:hAnsi="Times New Roman" w:cs="Times New Roman"/>
          <w:b/>
          <w:sz w:val="24"/>
          <w:szCs w:val="24"/>
        </w:rPr>
      </w:pPr>
    </w:p>
    <w:p w:rsidR="008A1019" w:rsidRPr="00201D8B" w:rsidRDefault="008A1019" w:rsidP="00225F5C">
      <w:pPr>
        <w:spacing w:after="0" w:line="240" w:lineRule="auto"/>
        <w:jc w:val="both"/>
        <w:rPr>
          <w:rFonts w:ascii="Times New Roman" w:hAnsi="Times New Roman" w:cs="Times New Roman"/>
          <w:b/>
          <w:sz w:val="24"/>
          <w:szCs w:val="24"/>
        </w:rPr>
      </w:pPr>
      <w:r w:rsidRPr="00201D8B">
        <w:rPr>
          <w:rFonts w:ascii="Times New Roman" w:hAnsi="Times New Roman" w:cs="Times New Roman"/>
          <w:b/>
          <w:sz w:val="24"/>
          <w:szCs w:val="24"/>
        </w:rPr>
        <w:t>SUPREME COURT OF ZIMBABWE</w:t>
      </w:r>
    </w:p>
    <w:p w:rsidR="008A1019" w:rsidRPr="00201D8B" w:rsidRDefault="008A1019" w:rsidP="00225F5C">
      <w:pPr>
        <w:spacing w:after="0" w:line="240" w:lineRule="auto"/>
        <w:jc w:val="both"/>
        <w:rPr>
          <w:rFonts w:ascii="Times New Roman" w:hAnsi="Times New Roman" w:cs="Times New Roman"/>
          <w:b/>
          <w:sz w:val="24"/>
          <w:szCs w:val="24"/>
        </w:rPr>
      </w:pPr>
      <w:r w:rsidRPr="00201D8B">
        <w:rPr>
          <w:rFonts w:ascii="Times New Roman" w:hAnsi="Times New Roman" w:cs="Times New Roman"/>
          <w:b/>
          <w:sz w:val="24"/>
          <w:szCs w:val="24"/>
        </w:rPr>
        <w:t xml:space="preserve">ZIYAMBI JA, GWAUNZA JA &amp; GOWORA JA </w:t>
      </w:r>
    </w:p>
    <w:p w:rsidR="008A1019" w:rsidRPr="00201D8B" w:rsidRDefault="008A1019" w:rsidP="00225F5C">
      <w:pPr>
        <w:spacing w:after="0" w:line="240" w:lineRule="auto"/>
        <w:jc w:val="both"/>
        <w:rPr>
          <w:rFonts w:ascii="Times New Roman" w:hAnsi="Times New Roman" w:cs="Times New Roman"/>
          <w:i/>
          <w:sz w:val="24"/>
          <w:szCs w:val="24"/>
        </w:rPr>
      </w:pPr>
      <w:r w:rsidRPr="00201D8B">
        <w:rPr>
          <w:rFonts w:ascii="Times New Roman" w:hAnsi="Times New Roman" w:cs="Times New Roman"/>
          <w:b/>
          <w:sz w:val="24"/>
          <w:szCs w:val="24"/>
        </w:rPr>
        <w:t xml:space="preserve">HARARE, SEPTEMBER 20, 2013 </w:t>
      </w:r>
    </w:p>
    <w:p w:rsidR="008A1019" w:rsidRPr="00201D8B" w:rsidRDefault="008A1019" w:rsidP="00225F5C">
      <w:pPr>
        <w:spacing w:after="0" w:line="240" w:lineRule="auto"/>
        <w:jc w:val="both"/>
        <w:rPr>
          <w:rFonts w:ascii="Times New Roman" w:hAnsi="Times New Roman" w:cs="Times New Roman"/>
          <w:i/>
          <w:sz w:val="24"/>
          <w:szCs w:val="24"/>
        </w:rPr>
      </w:pPr>
    </w:p>
    <w:p w:rsidR="008A1019" w:rsidRPr="00201D8B" w:rsidRDefault="008A1019" w:rsidP="00225F5C">
      <w:pPr>
        <w:spacing w:after="0" w:line="240" w:lineRule="auto"/>
        <w:jc w:val="both"/>
        <w:rPr>
          <w:rFonts w:ascii="Times New Roman" w:hAnsi="Times New Roman" w:cs="Times New Roman"/>
          <w:i/>
          <w:sz w:val="24"/>
          <w:szCs w:val="24"/>
        </w:rPr>
      </w:pPr>
    </w:p>
    <w:p w:rsidR="008A1019" w:rsidRPr="00201D8B" w:rsidRDefault="008A1019" w:rsidP="00225F5C">
      <w:pPr>
        <w:spacing w:after="0" w:line="240" w:lineRule="auto"/>
        <w:jc w:val="both"/>
        <w:rPr>
          <w:rFonts w:ascii="Times New Roman" w:hAnsi="Times New Roman" w:cs="Times New Roman"/>
          <w:i/>
          <w:sz w:val="24"/>
          <w:szCs w:val="24"/>
        </w:rPr>
      </w:pPr>
    </w:p>
    <w:p w:rsidR="008A1019" w:rsidRPr="00201D8B" w:rsidRDefault="008A1019" w:rsidP="00225F5C">
      <w:pPr>
        <w:spacing w:after="0" w:line="360" w:lineRule="auto"/>
        <w:jc w:val="both"/>
        <w:rPr>
          <w:rFonts w:ascii="Times New Roman" w:hAnsi="Times New Roman" w:cs="Times New Roman"/>
          <w:sz w:val="24"/>
          <w:szCs w:val="24"/>
        </w:rPr>
      </w:pPr>
      <w:r w:rsidRPr="00201D8B">
        <w:rPr>
          <w:rFonts w:ascii="Times New Roman" w:hAnsi="Times New Roman" w:cs="Times New Roman"/>
          <w:i/>
          <w:sz w:val="24"/>
          <w:szCs w:val="24"/>
        </w:rPr>
        <w:t>T.K. Hove</w:t>
      </w:r>
      <w:r w:rsidRPr="00201D8B">
        <w:rPr>
          <w:rFonts w:ascii="Times New Roman" w:hAnsi="Times New Roman" w:cs="Times New Roman"/>
          <w:sz w:val="24"/>
          <w:szCs w:val="24"/>
        </w:rPr>
        <w:t>, for the appellant</w:t>
      </w:r>
    </w:p>
    <w:p w:rsidR="008A1019" w:rsidRPr="00201D8B" w:rsidRDefault="008A1019" w:rsidP="00225F5C">
      <w:pPr>
        <w:spacing w:after="0" w:line="360" w:lineRule="auto"/>
        <w:jc w:val="both"/>
        <w:rPr>
          <w:rFonts w:ascii="Times New Roman" w:hAnsi="Times New Roman" w:cs="Times New Roman"/>
          <w:sz w:val="24"/>
          <w:szCs w:val="24"/>
        </w:rPr>
      </w:pPr>
      <w:r w:rsidRPr="00201D8B">
        <w:rPr>
          <w:rFonts w:ascii="Times New Roman" w:hAnsi="Times New Roman" w:cs="Times New Roman"/>
          <w:i/>
          <w:sz w:val="24"/>
          <w:szCs w:val="24"/>
        </w:rPr>
        <w:t xml:space="preserve">F. </w:t>
      </w:r>
      <w:proofErr w:type="spellStart"/>
      <w:r w:rsidRPr="00201D8B">
        <w:rPr>
          <w:rFonts w:ascii="Times New Roman" w:hAnsi="Times New Roman" w:cs="Times New Roman"/>
          <w:i/>
          <w:sz w:val="24"/>
          <w:szCs w:val="24"/>
        </w:rPr>
        <w:t>Mahere</w:t>
      </w:r>
      <w:proofErr w:type="spellEnd"/>
      <w:r w:rsidRPr="00201D8B">
        <w:rPr>
          <w:rFonts w:ascii="Times New Roman" w:hAnsi="Times New Roman" w:cs="Times New Roman"/>
          <w:sz w:val="24"/>
          <w:szCs w:val="24"/>
        </w:rPr>
        <w:t xml:space="preserve">, for the respondent </w:t>
      </w:r>
    </w:p>
    <w:p w:rsidR="008A1019" w:rsidRPr="00201D8B" w:rsidRDefault="008A1019" w:rsidP="00225F5C">
      <w:pPr>
        <w:spacing w:after="0" w:line="240" w:lineRule="auto"/>
        <w:rPr>
          <w:rFonts w:ascii="Times New Roman" w:hAnsi="Times New Roman" w:cs="Times New Roman"/>
          <w:sz w:val="24"/>
          <w:szCs w:val="24"/>
        </w:rPr>
      </w:pPr>
    </w:p>
    <w:p w:rsidR="008A1019" w:rsidRPr="00201D8B" w:rsidRDefault="008A1019" w:rsidP="00225F5C">
      <w:pPr>
        <w:spacing w:after="0" w:line="240" w:lineRule="auto"/>
        <w:rPr>
          <w:rFonts w:ascii="Times New Roman" w:hAnsi="Times New Roman" w:cs="Times New Roman"/>
          <w:sz w:val="24"/>
          <w:szCs w:val="24"/>
        </w:rPr>
      </w:pPr>
    </w:p>
    <w:p w:rsidR="008A1019" w:rsidRPr="00201D8B" w:rsidRDefault="008A1019" w:rsidP="00225F5C">
      <w:pPr>
        <w:spacing w:after="0" w:line="240" w:lineRule="auto"/>
        <w:jc w:val="both"/>
        <w:rPr>
          <w:rFonts w:ascii="Times New Roman" w:hAnsi="Times New Roman" w:cs="Times New Roman"/>
          <w:sz w:val="24"/>
          <w:szCs w:val="24"/>
        </w:rPr>
      </w:pPr>
    </w:p>
    <w:p w:rsidR="00826641" w:rsidRPr="00826641" w:rsidRDefault="008A1019" w:rsidP="00225F5C">
      <w:pPr>
        <w:spacing w:after="0" w:line="480" w:lineRule="auto"/>
        <w:jc w:val="both"/>
        <w:rPr>
          <w:rFonts w:ascii="Times New Roman" w:hAnsi="Times New Roman" w:cs="Times New Roman"/>
          <w:sz w:val="24"/>
          <w:szCs w:val="24"/>
        </w:rPr>
      </w:pPr>
      <w:r w:rsidRPr="00201D8B">
        <w:rPr>
          <w:rFonts w:ascii="Times New Roman" w:hAnsi="Times New Roman" w:cs="Times New Roman"/>
          <w:sz w:val="24"/>
          <w:szCs w:val="24"/>
        </w:rPr>
        <w:tab/>
      </w:r>
      <w:r w:rsidRPr="00201D8B">
        <w:rPr>
          <w:rFonts w:ascii="Times New Roman" w:hAnsi="Times New Roman" w:cs="Times New Roman"/>
          <w:sz w:val="24"/>
          <w:szCs w:val="24"/>
        </w:rPr>
        <w:tab/>
      </w:r>
      <w:r w:rsidRPr="00201D8B">
        <w:rPr>
          <w:rFonts w:ascii="Times New Roman" w:hAnsi="Times New Roman" w:cs="Times New Roman"/>
          <w:b/>
          <w:sz w:val="24"/>
          <w:szCs w:val="24"/>
        </w:rPr>
        <w:t>GWAUNZA JA:</w:t>
      </w:r>
      <w:r w:rsidRPr="00201D8B">
        <w:rPr>
          <w:rFonts w:ascii="Times New Roman" w:hAnsi="Times New Roman" w:cs="Times New Roman"/>
          <w:b/>
          <w:sz w:val="24"/>
          <w:szCs w:val="24"/>
        </w:rPr>
        <w:tab/>
      </w:r>
      <w:r w:rsidR="00826641" w:rsidRPr="00826641">
        <w:rPr>
          <w:rFonts w:ascii="Times New Roman" w:hAnsi="Times New Roman" w:cs="Times New Roman"/>
          <w:sz w:val="24"/>
          <w:szCs w:val="24"/>
        </w:rPr>
        <w:t xml:space="preserve">At the end of the hearing in this case, we dismissed the appeal </w:t>
      </w:r>
      <w:r w:rsidR="00826641">
        <w:rPr>
          <w:rFonts w:ascii="Times New Roman" w:hAnsi="Times New Roman" w:cs="Times New Roman"/>
          <w:sz w:val="24"/>
          <w:szCs w:val="24"/>
        </w:rPr>
        <w:t xml:space="preserve">with no order as to costs </w:t>
      </w:r>
      <w:r w:rsidR="00826641" w:rsidRPr="00826641">
        <w:rPr>
          <w:rFonts w:ascii="Times New Roman" w:hAnsi="Times New Roman" w:cs="Times New Roman"/>
          <w:sz w:val="24"/>
          <w:szCs w:val="24"/>
        </w:rPr>
        <w:t>and indicated that the reasons for the judgment would follow. These are the reasons.</w:t>
      </w:r>
    </w:p>
    <w:p w:rsidR="00826641" w:rsidRDefault="00826641" w:rsidP="00225F5C">
      <w:pPr>
        <w:spacing w:after="0" w:line="480" w:lineRule="auto"/>
        <w:jc w:val="both"/>
        <w:rPr>
          <w:rFonts w:ascii="Times New Roman" w:hAnsi="Times New Roman" w:cs="Times New Roman"/>
          <w:b/>
          <w:sz w:val="24"/>
          <w:szCs w:val="24"/>
        </w:rPr>
      </w:pPr>
    </w:p>
    <w:p w:rsidR="008A1019" w:rsidRPr="00201D8B" w:rsidRDefault="002B0C63" w:rsidP="00D40714">
      <w:pPr>
        <w:spacing w:after="0" w:line="480" w:lineRule="auto"/>
        <w:ind w:firstLine="1440"/>
        <w:jc w:val="both"/>
        <w:rPr>
          <w:rFonts w:ascii="Times New Roman" w:hAnsi="Times New Roman" w:cs="Times New Roman"/>
          <w:sz w:val="24"/>
          <w:szCs w:val="24"/>
        </w:rPr>
      </w:pPr>
      <w:r w:rsidRPr="002B0C63">
        <w:rPr>
          <w:rFonts w:ascii="Times New Roman" w:hAnsi="Times New Roman" w:cs="Times New Roman"/>
          <w:sz w:val="24"/>
          <w:szCs w:val="24"/>
        </w:rPr>
        <w:t>T</w:t>
      </w:r>
      <w:r w:rsidR="003B7F6F" w:rsidRPr="002B0C63">
        <w:rPr>
          <w:rFonts w:ascii="Times New Roman" w:hAnsi="Times New Roman" w:cs="Times New Roman"/>
          <w:sz w:val="24"/>
          <w:szCs w:val="24"/>
        </w:rPr>
        <w:t>he</w:t>
      </w:r>
      <w:r w:rsidR="00D40714">
        <w:rPr>
          <w:rFonts w:ascii="Times New Roman" w:hAnsi="Times New Roman" w:cs="Times New Roman"/>
          <w:sz w:val="24"/>
          <w:szCs w:val="24"/>
        </w:rPr>
        <w:t xml:space="preserve"> </w:t>
      </w:r>
      <w:r w:rsidR="008A1019" w:rsidRPr="00201D8B">
        <w:rPr>
          <w:rFonts w:ascii="Times New Roman" w:hAnsi="Times New Roman" w:cs="Times New Roman"/>
          <w:sz w:val="24"/>
          <w:szCs w:val="24"/>
        </w:rPr>
        <w:t>appellant appeals against the judgm</w:t>
      </w:r>
      <w:r w:rsidR="00D22C16" w:rsidRPr="00201D8B">
        <w:rPr>
          <w:rFonts w:ascii="Times New Roman" w:hAnsi="Times New Roman" w:cs="Times New Roman"/>
          <w:sz w:val="24"/>
          <w:szCs w:val="24"/>
        </w:rPr>
        <w:t>ent of the High Court, Harare</w:t>
      </w:r>
      <w:r w:rsidR="003374EE" w:rsidRPr="00201D8B">
        <w:rPr>
          <w:rFonts w:ascii="Times New Roman" w:hAnsi="Times New Roman" w:cs="Times New Roman"/>
          <w:sz w:val="24"/>
          <w:szCs w:val="24"/>
        </w:rPr>
        <w:t>, which was handed down on</w:t>
      </w:r>
      <w:r w:rsidR="00E34791">
        <w:rPr>
          <w:rFonts w:ascii="Times New Roman" w:hAnsi="Times New Roman" w:cs="Times New Roman"/>
          <w:sz w:val="24"/>
          <w:szCs w:val="24"/>
        </w:rPr>
        <w:t xml:space="preserve"> </w:t>
      </w:r>
      <w:r w:rsidR="008A1019" w:rsidRPr="00201D8B">
        <w:rPr>
          <w:rFonts w:ascii="Times New Roman" w:hAnsi="Times New Roman" w:cs="Times New Roman"/>
          <w:sz w:val="24"/>
          <w:szCs w:val="24"/>
        </w:rPr>
        <w:t xml:space="preserve">20 May 2010.  </w:t>
      </w:r>
      <w:r>
        <w:rPr>
          <w:rFonts w:ascii="Times New Roman" w:hAnsi="Times New Roman" w:cs="Times New Roman"/>
          <w:sz w:val="24"/>
          <w:szCs w:val="24"/>
        </w:rPr>
        <w:t xml:space="preserve">The court </w:t>
      </w:r>
      <w:r w:rsidRPr="002B0C63">
        <w:rPr>
          <w:rFonts w:ascii="Times New Roman" w:hAnsi="Times New Roman" w:cs="Times New Roman"/>
          <w:i/>
          <w:sz w:val="24"/>
          <w:szCs w:val="24"/>
        </w:rPr>
        <w:t>a quo</w:t>
      </w:r>
      <w:r>
        <w:rPr>
          <w:rFonts w:ascii="Times New Roman" w:hAnsi="Times New Roman" w:cs="Times New Roman"/>
          <w:sz w:val="24"/>
          <w:szCs w:val="24"/>
        </w:rPr>
        <w:t xml:space="preserve"> granted a decree of divorce, as well as other relief.  While the parties</w:t>
      </w:r>
      <w:r w:rsidR="008A1019" w:rsidRPr="00201D8B">
        <w:rPr>
          <w:rFonts w:ascii="Times New Roman" w:hAnsi="Times New Roman" w:cs="Times New Roman"/>
          <w:sz w:val="24"/>
          <w:szCs w:val="24"/>
        </w:rPr>
        <w:t xml:space="preserve"> reached settlement on a number of issues before the trial </w:t>
      </w:r>
      <w:r w:rsidR="008A1019" w:rsidRPr="00201D8B">
        <w:rPr>
          <w:rFonts w:ascii="Times New Roman" w:hAnsi="Times New Roman" w:cs="Times New Roman"/>
          <w:i/>
          <w:sz w:val="24"/>
          <w:szCs w:val="24"/>
        </w:rPr>
        <w:t>a quo</w:t>
      </w:r>
      <w:r w:rsidR="008A1019" w:rsidRPr="00201D8B">
        <w:rPr>
          <w:rFonts w:ascii="Times New Roman" w:hAnsi="Times New Roman" w:cs="Times New Roman"/>
          <w:sz w:val="24"/>
          <w:szCs w:val="24"/>
        </w:rPr>
        <w:t xml:space="preserve">, </w:t>
      </w:r>
      <w:r>
        <w:rPr>
          <w:rFonts w:ascii="Times New Roman" w:hAnsi="Times New Roman" w:cs="Times New Roman"/>
          <w:sz w:val="24"/>
          <w:szCs w:val="24"/>
        </w:rPr>
        <w:t>they</w:t>
      </w:r>
      <w:r w:rsidR="00E27BC1" w:rsidRPr="00201D8B">
        <w:rPr>
          <w:rFonts w:ascii="Times New Roman" w:hAnsi="Times New Roman" w:cs="Times New Roman"/>
          <w:sz w:val="24"/>
          <w:szCs w:val="24"/>
        </w:rPr>
        <w:t xml:space="preserve"> failed to do so with respect to the </w:t>
      </w:r>
      <w:r w:rsidR="008A1019" w:rsidRPr="00201D8B">
        <w:rPr>
          <w:rFonts w:ascii="Times New Roman" w:hAnsi="Times New Roman" w:cs="Times New Roman"/>
          <w:sz w:val="24"/>
          <w:szCs w:val="24"/>
        </w:rPr>
        <w:t>manner of distribution of the following;</w:t>
      </w:r>
    </w:p>
    <w:p w:rsidR="00E27BC1" w:rsidRPr="00201D8B" w:rsidRDefault="00E27BC1" w:rsidP="00E27BC1">
      <w:pPr>
        <w:spacing w:after="0" w:line="480" w:lineRule="auto"/>
        <w:ind w:left="360"/>
        <w:jc w:val="both"/>
        <w:rPr>
          <w:rFonts w:ascii="Times New Roman" w:hAnsi="Times New Roman" w:cs="Times New Roman"/>
          <w:sz w:val="24"/>
          <w:szCs w:val="24"/>
        </w:rPr>
      </w:pPr>
    </w:p>
    <w:p w:rsidR="008A1019" w:rsidRPr="00201D8B" w:rsidRDefault="00E27BC1" w:rsidP="00225F5C">
      <w:pPr>
        <w:pStyle w:val="ListParagraph"/>
        <w:numPr>
          <w:ilvl w:val="0"/>
          <w:numId w:val="7"/>
        </w:numPr>
        <w:spacing w:after="0" w:line="480" w:lineRule="auto"/>
        <w:jc w:val="both"/>
        <w:rPr>
          <w:rFonts w:ascii="Times New Roman" w:hAnsi="Times New Roman" w:cs="Times New Roman"/>
          <w:sz w:val="24"/>
          <w:szCs w:val="24"/>
        </w:rPr>
      </w:pPr>
      <w:r w:rsidRPr="00201D8B">
        <w:rPr>
          <w:rFonts w:ascii="Times New Roman" w:hAnsi="Times New Roman" w:cs="Times New Roman"/>
          <w:sz w:val="24"/>
          <w:szCs w:val="24"/>
        </w:rPr>
        <w:t>some movable assets, including t</w:t>
      </w:r>
      <w:r w:rsidR="008A1019" w:rsidRPr="00201D8B">
        <w:rPr>
          <w:rFonts w:ascii="Times New Roman" w:hAnsi="Times New Roman" w:cs="Times New Roman"/>
          <w:sz w:val="24"/>
          <w:szCs w:val="24"/>
        </w:rPr>
        <w:t>wo motor vehicles and</w:t>
      </w:r>
      <w:r w:rsidRPr="00201D8B">
        <w:rPr>
          <w:rFonts w:ascii="Times New Roman" w:hAnsi="Times New Roman" w:cs="Times New Roman"/>
          <w:sz w:val="24"/>
          <w:szCs w:val="24"/>
        </w:rPr>
        <w:t xml:space="preserve"> two refrigerators; and</w:t>
      </w:r>
    </w:p>
    <w:p w:rsidR="008A1019" w:rsidRPr="00201D8B" w:rsidRDefault="00E27BC1" w:rsidP="00225F5C">
      <w:pPr>
        <w:pStyle w:val="ListParagraph"/>
        <w:numPr>
          <w:ilvl w:val="0"/>
          <w:numId w:val="7"/>
        </w:numPr>
        <w:spacing w:after="0" w:line="480" w:lineRule="auto"/>
        <w:jc w:val="both"/>
        <w:rPr>
          <w:rFonts w:ascii="Times New Roman" w:hAnsi="Times New Roman" w:cs="Times New Roman"/>
          <w:sz w:val="24"/>
          <w:szCs w:val="24"/>
        </w:rPr>
      </w:pPr>
      <w:r w:rsidRPr="00201D8B">
        <w:rPr>
          <w:rFonts w:ascii="Times New Roman" w:hAnsi="Times New Roman" w:cs="Times New Roman"/>
          <w:sz w:val="24"/>
          <w:szCs w:val="24"/>
        </w:rPr>
        <w:t>t</w:t>
      </w:r>
      <w:r w:rsidR="008A1019" w:rsidRPr="00201D8B">
        <w:rPr>
          <w:rFonts w:ascii="Times New Roman" w:hAnsi="Times New Roman" w:cs="Times New Roman"/>
          <w:sz w:val="24"/>
          <w:szCs w:val="24"/>
        </w:rPr>
        <w:t>wo immovable properties</w:t>
      </w:r>
    </w:p>
    <w:p w:rsidR="008A1019" w:rsidRPr="00201D8B" w:rsidRDefault="008A1019" w:rsidP="00225F5C">
      <w:pPr>
        <w:spacing w:after="0" w:line="480" w:lineRule="auto"/>
        <w:jc w:val="both"/>
        <w:rPr>
          <w:rFonts w:ascii="Times New Roman" w:hAnsi="Times New Roman" w:cs="Times New Roman"/>
          <w:sz w:val="24"/>
          <w:szCs w:val="24"/>
        </w:rPr>
      </w:pPr>
    </w:p>
    <w:p w:rsidR="008A1019" w:rsidRPr="00201D8B" w:rsidRDefault="008A1019" w:rsidP="00225F5C">
      <w:pPr>
        <w:spacing w:after="0" w:line="480" w:lineRule="auto"/>
        <w:ind w:firstLine="1440"/>
        <w:jc w:val="both"/>
        <w:rPr>
          <w:rFonts w:ascii="Times New Roman" w:hAnsi="Times New Roman" w:cs="Times New Roman"/>
          <w:sz w:val="24"/>
          <w:szCs w:val="24"/>
        </w:rPr>
      </w:pPr>
      <w:r w:rsidRPr="00201D8B">
        <w:rPr>
          <w:rFonts w:ascii="Times New Roman" w:hAnsi="Times New Roman" w:cs="Times New Roman"/>
          <w:sz w:val="24"/>
          <w:szCs w:val="24"/>
        </w:rPr>
        <w:t xml:space="preserve">In respect of these items of property, the court </w:t>
      </w:r>
      <w:r w:rsidRPr="00201D8B">
        <w:rPr>
          <w:rFonts w:ascii="Times New Roman" w:hAnsi="Times New Roman" w:cs="Times New Roman"/>
          <w:i/>
          <w:sz w:val="24"/>
          <w:szCs w:val="24"/>
        </w:rPr>
        <w:t>a quo</w:t>
      </w:r>
      <w:r w:rsidRPr="00201D8B">
        <w:rPr>
          <w:rFonts w:ascii="Times New Roman" w:hAnsi="Times New Roman" w:cs="Times New Roman"/>
          <w:sz w:val="24"/>
          <w:szCs w:val="24"/>
        </w:rPr>
        <w:t xml:space="preserve"> made orders to the following effect;</w:t>
      </w:r>
    </w:p>
    <w:p w:rsidR="003374EE" w:rsidRPr="00201D8B" w:rsidRDefault="003374EE" w:rsidP="003374EE">
      <w:pPr>
        <w:spacing w:after="0" w:line="480" w:lineRule="auto"/>
        <w:ind w:left="450"/>
        <w:jc w:val="both"/>
        <w:rPr>
          <w:rFonts w:ascii="Times New Roman" w:hAnsi="Times New Roman" w:cs="Times New Roman"/>
          <w:sz w:val="24"/>
          <w:szCs w:val="24"/>
        </w:rPr>
      </w:pPr>
    </w:p>
    <w:p w:rsidR="00E96393" w:rsidRPr="00201D8B" w:rsidRDefault="003374EE" w:rsidP="003374EE">
      <w:pPr>
        <w:pStyle w:val="ListParagraph"/>
        <w:numPr>
          <w:ilvl w:val="0"/>
          <w:numId w:val="8"/>
        </w:numPr>
        <w:spacing w:after="0" w:line="480" w:lineRule="auto"/>
        <w:jc w:val="both"/>
        <w:rPr>
          <w:rFonts w:ascii="Times New Roman" w:hAnsi="Times New Roman" w:cs="Times New Roman"/>
          <w:sz w:val="24"/>
          <w:szCs w:val="24"/>
        </w:rPr>
      </w:pPr>
      <w:r w:rsidRPr="00201D8B">
        <w:rPr>
          <w:rFonts w:ascii="Times New Roman" w:hAnsi="Times New Roman" w:cs="Times New Roman"/>
          <w:sz w:val="24"/>
          <w:szCs w:val="24"/>
        </w:rPr>
        <w:lastRenderedPageBreak/>
        <w:t>t</w:t>
      </w:r>
      <w:r w:rsidR="008A1019" w:rsidRPr="00201D8B">
        <w:rPr>
          <w:rFonts w:ascii="Times New Roman" w:hAnsi="Times New Roman" w:cs="Times New Roman"/>
          <w:sz w:val="24"/>
          <w:szCs w:val="24"/>
        </w:rPr>
        <w:t xml:space="preserve">hat all moveable assets including the Daihatsu </w:t>
      </w:r>
      <w:r w:rsidRPr="00201D8B">
        <w:rPr>
          <w:rFonts w:ascii="Times New Roman" w:hAnsi="Times New Roman" w:cs="Times New Roman"/>
          <w:sz w:val="24"/>
          <w:szCs w:val="24"/>
        </w:rPr>
        <w:t>M</w:t>
      </w:r>
      <w:r w:rsidR="00E96393" w:rsidRPr="00201D8B">
        <w:rPr>
          <w:rFonts w:ascii="Times New Roman" w:hAnsi="Times New Roman" w:cs="Times New Roman"/>
          <w:sz w:val="24"/>
          <w:szCs w:val="24"/>
        </w:rPr>
        <w:t>ove v</w:t>
      </w:r>
      <w:r w:rsidR="008A1019" w:rsidRPr="00201D8B">
        <w:rPr>
          <w:rFonts w:ascii="Times New Roman" w:hAnsi="Times New Roman" w:cs="Times New Roman"/>
          <w:sz w:val="24"/>
          <w:szCs w:val="24"/>
        </w:rPr>
        <w:t>ehicle</w:t>
      </w:r>
      <w:r w:rsidR="00E96393" w:rsidRPr="00201D8B">
        <w:rPr>
          <w:rFonts w:ascii="Times New Roman" w:hAnsi="Times New Roman" w:cs="Times New Roman"/>
          <w:sz w:val="24"/>
          <w:szCs w:val="24"/>
        </w:rPr>
        <w:t xml:space="preserve"> be awarded to the respondent </w:t>
      </w:r>
      <w:r w:rsidR="00E96393" w:rsidRPr="00201D8B">
        <w:rPr>
          <w:rFonts w:ascii="Times New Roman" w:hAnsi="Times New Roman" w:cs="Times New Roman"/>
          <w:i/>
          <w:sz w:val="24"/>
          <w:szCs w:val="24"/>
        </w:rPr>
        <w:t xml:space="preserve">in </w:t>
      </w:r>
      <w:proofErr w:type="spellStart"/>
      <w:r w:rsidR="00E96393" w:rsidRPr="00201D8B">
        <w:rPr>
          <w:rFonts w:ascii="Times New Roman" w:hAnsi="Times New Roman" w:cs="Times New Roman"/>
          <w:i/>
          <w:sz w:val="24"/>
          <w:szCs w:val="24"/>
        </w:rPr>
        <w:t>casu</w:t>
      </w:r>
      <w:proofErr w:type="spellEnd"/>
      <w:r w:rsidR="00E96393" w:rsidRPr="00201D8B">
        <w:rPr>
          <w:rFonts w:ascii="Times New Roman" w:hAnsi="Times New Roman" w:cs="Times New Roman"/>
          <w:sz w:val="24"/>
          <w:szCs w:val="24"/>
        </w:rPr>
        <w:t xml:space="preserve"> save that she was to choose one of the functional refrigerators and hand over the other one to the appellant</w:t>
      </w:r>
      <w:r w:rsidRPr="00201D8B">
        <w:rPr>
          <w:rFonts w:ascii="Times New Roman" w:hAnsi="Times New Roman" w:cs="Times New Roman"/>
          <w:sz w:val="24"/>
          <w:szCs w:val="24"/>
        </w:rPr>
        <w:t>;</w:t>
      </w:r>
    </w:p>
    <w:p w:rsidR="00E96393" w:rsidRPr="00201D8B" w:rsidRDefault="003374EE" w:rsidP="00225F5C">
      <w:pPr>
        <w:pStyle w:val="ListParagraph"/>
        <w:numPr>
          <w:ilvl w:val="0"/>
          <w:numId w:val="8"/>
        </w:numPr>
        <w:spacing w:after="0" w:line="480" w:lineRule="auto"/>
        <w:jc w:val="both"/>
        <w:rPr>
          <w:rFonts w:ascii="Times New Roman" w:hAnsi="Times New Roman" w:cs="Times New Roman"/>
          <w:sz w:val="24"/>
          <w:szCs w:val="24"/>
        </w:rPr>
      </w:pPr>
      <w:r w:rsidRPr="00201D8B">
        <w:rPr>
          <w:rFonts w:ascii="Times New Roman" w:hAnsi="Times New Roman" w:cs="Times New Roman"/>
          <w:sz w:val="24"/>
          <w:szCs w:val="24"/>
        </w:rPr>
        <w:t>that b</w:t>
      </w:r>
      <w:r w:rsidR="00E96393" w:rsidRPr="00201D8B">
        <w:rPr>
          <w:rFonts w:ascii="Times New Roman" w:hAnsi="Times New Roman" w:cs="Times New Roman"/>
          <w:sz w:val="24"/>
          <w:szCs w:val="24"/>
        </w:rPr>
        <w:t>oth parties be awarded an equal share (50%) of the property known as No. 17170 Sable Street, Borrowdale</w:t>
      </w:r>
      <w:r w:rsidRPr="00201D8B">
        <w:rPr>
          <w:rFonts w:ascii="Times New Roman" w:hAnsi="Times New Roman" w:cs="Times New Roman"/>
          <w:sz w:val="24"/>
          <w:szCs w:val="24"/>
        </w:rPr>
        <w:t>,</w:t>
      </w:r>
      <w:r w:rsidR="00E96393" w:rsidRPr="00201D8B">
        <w:rPr>
          <w:rFonts w:ascii="Times New Roman" w:hAnsi="Times New Roman" w:cs="Times New Roman"/>
          <w:sz w:val="24"/>
          <w:szCs w:val="24"/>
        </w:rPr>
        <w:t xml:space="preserve"> and</w:t>
      </w:r>
    </w:p>
    <w:p w:rsidR="00E96393" w:rsidRPr="00201D8B" w:rsidRDefault="003374EE" w:rsidP="00225F5C">
      <w:pPr>
        <w:pStyle w:val="ListParagraph"/>
        <w:numPr>
          <w:ilvl w:val="0"/>
          <w:numId w:val="8"/>
        </w:numPr>
        <w:spacing w:after="0" w:line="480" w:lineRule="auto"/>
        <w:jc w:val="both"/>
        <w:rPr>
          <w:rFonts w:ascii="Times New Roman" w:hAnsi="Times New Roman" w:cs="Times New Roman"/>
          <w:sz w:val="24"/>
          <w:szCs w:val="24"/>
        </w:rPr>
      </w:pPr>
      <w:r w:rsidRPr="00201D8B">
        <w:rPr>
          <w:rFonts w:ascii="Times New Roman" w:hAnsi="Times New Roman" w:cs="Times New Roman"/>
          <w:sz w:val="24"/>
          <w:szCs w:val="24"/>
        </w:rPr>
        <w:t>t</w:t>
      </w:r>
      <w:r w:rsidR="00E96393" w:rsidRPr="00201D8B">
        <w:rPr>
          <w:rFonts w:ascii="Times New Roman" w:hAnsi="Times New Roman" w:cs="Times New Roman"/>
          <w:sz w:val="24"/>
          <w:szCs w:val="24"/>
        </w:rPr>
        <w:t>hat the respondent be awarded 95% and the appellant 5%</w:t>
      </w:r>
      <w:r w:rsidRPr="00201D8B">
        <w:rPr>
          <w:rFonts w:ascii="Times New Roman" w:hAnsi="Times New Roman" w:cs="Times New Roman"/>
          <w:sz w:val="24"/>
          <w:szCs w:val="24"/>
        </w:rPr>
        <w:t>,</w:t>
      </w:r>
      <w:r w:rsidR="00E96393" w:rsidRPr="00201D8B">
        <w:rPr>
          <w:rFonts w:ascii="Times New Roman" w:hAnsi="Times New Roman" w:cs="Times New Roman"/>
          <w:sz w:val="24"/>
          <w:szCs w:val="24"/>
        </w:rPr>
        <w:t xml:space="preserve"> of the property (a flat) known as No. 3 </w:t>
      </w:r>
      <w:proofErr w:type="spellStart"/>
      <w:r w:rsidR="00E96393" w:rsidRPr="00201D8B">
        <w:rPr>
          <w:rFonts w:ascii="Times New Roman" w:hAnsi="Times New Roman" w:cs="Times New Roman"/>
          <w:sz w:val="24"/>
          <w:szCs w:val="24"/>
        </w:rPr>
        <w:t>Selmont</w:t>
      </w:r>
      <w:proofErr w:type="spellEnd"/>
      <w:r w:rsidR="00E96393" w:rsidRPr="00201D8B">
        <w:rPr>
          <w:rFonts w:ascii="Times New Roman" w:hAnsi="Times New Roman" w:cs="Times New Roman"/>
          <w:sz w:val="24"/>
          <w:szCs w:val="24"/>
        </w:rPr>
        <w:t xml:space="preserve"> Gardens.</w:t>
      </w:r>
    </w:p>
    <w:p w:rsidR="00E96393" w:rsidRPr="00201D8B" w:rsidRDefault="00E96393" w:rsidP="00225F5C">
      <w:pPr>
        <w:spacing w:after="0" w:line="480" w:lineRule="auto"/>
        <w:jc w:val="both"/>
        <w:rPr>
          <w:rFonts w:ascii="Times New Roman" w:hAnsi="Times New Roman" w:cs="Times New Roman"/>
          <w:sz w:val="24"/>
          <w:szCs w:val="24"/>
        </w:rPr>
      </w:pPr>
    </w:p>
    <w:p w:rsidR="008A1019" w:rsidRPr="00201D8B" w:rsidRDefault="00E96393" w:rsidP="00225F5C">
      <w:pPr>
        <w:spacing w:after="0" w:line="480" w:lineRule="auto"/>
        <w:ind w:firstLine="1440"/>
        <w:jc w:val="both"/>
        <w:rPr>
          <w:rFonts w:ascii="Times New Roman" w:hAnsi="Times New Roman" w:cs="Times New Roman"/>
          <w:sz w:val="24"/>
          <w:szCs w:val="24"/>
        </w:rPr>
      </w:pPr>
      <w:r w:rsidRPr="00201D8B">
        <w:rPr>
          <w:rFonts w:ascii="Times New Roman" w:hAnsi="Times New Roman" w:cs="Times New Roman"/>
          <w:sz w:val="24"/>
          <w:szCs w:val="24"/>
        </w:rPr>
        <w:t xml:space="preserve">The court </w:t>
      </w:r>
      <w:r w:rsidRPr="00201D8B">
        <w:rPr>
          <w:rFonts w:ascii="Times New Roman" w:hAnsi="Times New Roman" w:cs="Times New Roman"/>
          <w:i/>
          <w:sz w:val="24"/>
          <w:szCs w:val="24"/>
        </w:rPr>
        <w:t>a quo</w:t>
      </w:r>
      <w:r w:rsidRPr="00201D8B">
        <w:rPr>
          <w:rFonts w:ascii="Times New Roman" w:hAnsi="Times New Roman" w:cs="Times New Roman"/>
          <w:sz w:val="24"/>
          <w:szCs w:val="24"/>
        </w:rPr>
        <w:t xml:space="preserve"> further ordered that the respondent be</w:t>
      </w:r>
      <w:r w:rsidR="00D40714">
        <w:rPr>
          <w:rFonts w:ascii="Times New Roman" w:hAnsi="Times New Roman" w:cs="Times New Roman"/>
          <w:sz w:val="24"/>
          <w:szCs w:val="24"/>
        </w:rPr>
        <w:t xml:space="preserve"> </w:t>
      </w:r>
      <w:r w:rsidRPr="00201D8B">
        <w:rPr>
          <w:rFonts w:ascii="Times New Roman" w:hAnsi="Times New Roman" w:cs="Times New Roman"/>
          <w:sz w:val="24"/>
          <w:szCs w:val="24"/>
        </w:rPr>
        <w:t xml:space="preserve">given the right to remain in occupation of Stand No. 17170 Sable Street, Borrowdale, until the minor child of the marriage, </w:t>
      </w:r>
      <w:r w:rsidR="00257566">
        <w:rPr>
          <w:rFonts w:ascii="Times New Roman" w:hAnsi="Times New Roman" w:cs="Times New Roman"/>
          <w:sz w:val="24"/>
          <w:szCs w:val="24"/>
        </w:rPr>
        <w:t>Y</w:t>
      </w:r>
      <w:bookmarkStart w:id="0" w:name="_GoBack"/>
      <w:bookmarkEnd w:id="0"/>
      <w:r w:rsidR="002C56B4" w:rsidRPr="00201D8B">
        <w:rPr>
          <w:rFonts w:ascii="Times New Roman" w:hAnsi="Times New Roman" w:cs="Times New Roman"/>
          <w:sz w:val="24"/>
          <w:szCs w:val="24"/>
        </w:rPr>
        <w:t>,</w:t>
      </w:r>
      <w:r w:rsidRPr="00201D8B">
        <w:rPr>
          <w:rFonts w:ascii="Times New Roman" w:hAnsi="Times New Roman" w:cs="Times New Roman"/>
          <w:sz w:val="24"/>
          <w:szCs w:val="24"/>
        </w:rPr>
        <w:t xml:space="preserve"> attained majority age.  Upon this event, the respondent was given the right to buy out the appellant’s share, failing which that option was to be given to the appellant.</w:t>
      </w:r>
    </w:p>
    <w:p w:rsidR="00E96393" w:rsidRPr="00201D8B" w:rsidRDefault="00E96393" w:rsidP="00225F5C">
      <w:pPr>
        <w:spacing w:after="0" w:line="480" w:lineRule="auto"/>
        <w:ind w:firstLine="1440"/>
        <w:jc w:val="both"/>
        <w:rPr>
          <w:rFonts w:ascii="Times New Roman" w:hAnsi="Times New Roman" w:cs="Times New Roman"/>
          <w:sz w:val="24"/>
          <w:szCs w:val="24"/>
        </w:rPr>
      </w:pPr>
    </w:p>
    <w:p w:rsidR="00E96393" w:rsidRPr="00201D8B" w:rsidRDefault="00E96393" w:rsidP="00225F5C">
      <w:pPr>
        <w:spacing w:after="0" w:line="480" w:lineRule="auto"/>
        <w:ind w:firstLine="1440"/>
        <w:jc w:val="both"/>
        <w:rPr>
          <w:rFonts w:ascii="Times New Roman" w:hAnsi="Times New Roman" w:cs="Times New Roman"/>
          <w:sz w:val="24"/>
          <w:szCs w:val="24"/>
        </w:rPr>
      </w:pPr>
      <w:r w:rsidRPr="00201D8B">
        <w:rPr>
          <w:rFonts w:ascii="Times New Roman" w:hAnsi="Times New Roman" w:cs="Times New Roman"/>
          <w:sz w:val="24"/>
          <w:szCs w:val="24"/>
        </w:rPr>
        <w:t xml:space="preserve">The appellant </w:t>
      </w:r>
      <w:r w:rsidR="00E27BC1" w:rsidRPr="00201D8B">
        <w:rPr>
          <w:rFonts w:ascii="Times New Roman" w:hAnsi="Times New Roman" w:cs="Times New Roman"/>
          <w:sz w:val="24"/>
          <w:szCs w:val="24"/>
        </w:rPr>
        <w:t xml:space="preserve">charges </w:t>
      </w:r>
      <w:r w:rsidRPr="00201D8B">
        <w:rPr>
          <w:rFonts w:ascii="Times New Roman" w:hAnsi="Times New Roman" w:cs="Times New Roman"/>
          <w:sz w:val="24"/>
          <w:szCs w:val="24"/>
        </w:rPr>
        <w:t xml:space="preserve">that in making the awards it did in respect of the property referred to above, the court </w:t>
      </w:r>
      <w:r w:rsidRPr="00201D8B">
        <w:rPr>
          <w:rFonts w:ascii="Times New Roman" w:hAnsi="Times New Roman" w:cs="Times New Roman"/>
          <w:i/>
          <w:sz w:val="24"/>
          <w:szCs w:val="24"/>
        </w:rPr>
        <w:t>a quo</w:t>
      </w:r>
      <w:r w:rsidRPr="00201D8B">
        <w:rPr>
          <w:rFonts w:ascii="Times New Roman" w:hAnsi="Times New Roman" w:cs="Times New Roman"/>
          <w:sz w:val="24"/>
          <w:szCs w:val="24"/>
        </w:rPr>
        <w:t xml:space="preserve"> erred in the main by not taking into account his direct and indirect contribution to the acquisition of such property.</w:t>
      </w:r>
    </w:p>
    <w:p w:rsidR="00E96393" w:rsidRPr="00201D8B" w:rsidRDefault="00E96393" w:rsidP="00225F5C">
      <w:pPr>
        <w:spacing w:after="0" w:line="480" w:lineRule="auto"/>
        <w:ind w:firstLine="1440"/>
        <w:jc w:val="both"/>
        <w:rPr>
          <w:rFonts w:ascii="Times New Roman" w:hAnsi="Times New Roman" w:cs="Times New Roman"/>
          <w:sz w:val="24"/>
          <w:szCs w:val="24"/>
        </w:rPr>
      </w:pPr>
    </w:p>
    <w:p w:rsidR="00E96393" w:rsidRPr="00201D8B" w:rsidRDefault="00E96393" w:rsidP="00225F5C">
      <w:pPr>
        <w:spacing w:after="0" w:line="480" w:lineRule="auto"/>
        <w:ind w:firstLine="1440"/>
        <w:jc w:val="both"/>
        <w:rPr>
          <w:rFonts w:ascii="Times New Roman" w:hAnsi="Times New Roman" w:cs="Times New Roman"/>
          <w:sz w:val="24"/>
          <w:szCs w:val="24"/>
        </w:rPr>
      </w:pPr>
      <w:r w:rsidRPr="00201D8B">
        <w:rPr>
          <w:rFonts w:ascii="Times New Roman" w:hAnsi="Times New Roman" w:cs="Times New Roman"/>
          <w:sz w:val="24"/>
          <w:szCs w:val="24"/>
        </w:rPr>
        <w:t>He accordingly prays that he be awarded;</w:t>
      </w:r>
    </w:p>
    <w:p w:rsidR="001626B6" w:rsidRPr="00201D8B" w:rsidRDefault="001626B6" w:rsidP="001626B6">
      <w:pPr>
        <w:ind w:left="720"/>
        <w:rPr>
          <w:rFonts w:ascii="Times New Roman" w:hAnsi="Times New Roman" w:cs="Times New Roman"/>
          <w:sz w:val="24"/>
          <w:szCs w:val="24"/>
        </w:rPr>
      </w:pPr>
    </w:p>
    <w:p w:rsidR="003374EE" w:rsidRPr="00201D8B" w:rsidRDefault="00D22C16" w:rsidP="001626B6">
      <w:pPr>
        <w:pStyle w:val="ListParagraph"/>
        <w:numPr>
          <w:ilvl w:val="0"/>
          <w:numId w:val="15"/>
        </w:numPr>
        <w:rPr>
          <w:rFonts w:ascii="Times New Roman" w:hAnsi="Times New Roman" w:cs="Times New Roman"/>
          <w:sz w:val="24"/>
          <w:szCs w:val="24"/>
        </w:rPr>
      </w:pPr>
      <w:r w:rsidRPr="00201D8B">
        <w:rPr>
          <w:rFonts w:ascii="Times New Roman" w:hAnsi="Times New Roman" w:cs="Times New Roman"/>
          <w:sz w:val="24"/>
          <w:szCs w:val="24"/>
        </w:rPr>
        <w:t>50% of the value of the parties’ movable assets</w:t>
      </w:r>
      <w:r w:rsidR="001626B6" w:rsidRPr="00201D8B">
        <w:rPr>
          <w:rFonts w:ascii="Times New Roman" w:hAnsi="Times New Roman" w:cs="Times New Roman"/>
          <w:sz w:val="24"/>
          <w:szCs w:val="24"/>
        </w:rPr>
        <w:t>,</w:t>
      </w:r>
    </w:p>
    <w:p w:rsidR="00E27BC1" w:rsidRPr="00201D8B" w:rsidRDefault="00E27BC1" w:rsidP="00E27BC1">
      <w:pPr>
        <w:pStyle w:val="ListParagraph"/>
        <w:ind w:left="1080"/>
        <w:rPr>
          <w:rFonts w:ascii="Times New Roman" w:hAnsi="Times New Roman" w:cs="Times New Roman"/>
          <w:sz w:val="24"/>
          <w:szCs w:val="24"/>
        </w:rPr>
      </w:pPr>
    </w:p>
    <w:p w:rsidR="003374EE" w:rsidRDefault="00E27BC1" w:rsidP="00E27BC1">
      <w:pPr>
        <w:pStyle w:val="ListParagraph"/>
        <w:numPr>
          <w:ilvl w:val="0"/>
          <w:numId w:val="15"/>
        </w:numPr>
        <w:rPr>
          <w:rFonts w:ascii="Times New Roman" w:hAnsi="Times New Roman" w:cs="Times New Roman"/>
          <w:sz w:val="24"/>
          <w:szCs w:val="24"/>
        </w:rPr>
      </w:pPr>
      <w:proofErr w:type="gramStart"/>
      <w:r w:rsidRPr="00201D8B">
        <w:rPr>
          <w:rFonts w:ascii="Times New Roman" w:hAnsi="Times New Roman" w:cs="Times New Roman"/>
          <w:sz w:val="24"/>
          <w:szCs w:val="24"/>
        </w:rPr>
        <w:t>the</w:t>
      </w:r>
      <w:proofErr w:type="gramEnd"/>
      <w:r w:rsidRPr="00201D8B">
        <w:rPr>
          <w:rFonts w:ascii="Times New Roman" w:hAnsi="Times New Roman" w:cs="Times New Roman"/>
          <w:sz w:val="24"/>
          <w:szCs w:val="24"/>
        </w:rPr>
        <w:t xml:space="preserve"> Daihatsu Move, Registration No. AAG 752, </w:t>
      </w:r>
    </w:p>
    <w:p w:rsidR="00E34791" w:rsidRPr="00E34791" w:rsidRDefault="00E34791" w:rsidP="00E34791">
      <w:pPr>
        <w:pStyle w:val="ListParagraph"/>
        <w:rPr>
          <w:rFonts w:ascii="Times New Roman" w:hAnsi="Times New Roman" w:cs="Times New Roman"/>
          <w:sz w:val="24"/>
          <w:szCs w:val="24"/>
        </w:rPr>
      </w:pPr>
    </w:p>
    <w:p w:rsidR="003374EE" w:rsidRPr="00E34791" w:rsidRDefault="003374EE" w:rsidP="00E34791">
      <w:pPr>
        <w:pStyle w:val="ListParagraph"/>
        <w:numPr>
          <w:ilvl w:val="0"/>
          <w:numId w:val="15"/>
        </w:numPr>
        <w:rPr>
          <w:rFonts w:ascii="Times New Roman" w:hAnsi="Times New Roman" w:cs="Times New Roman"/>
          <w:sz w:val="24"/>
          <w:szCs w:val="24"/>
        </w:rPr>
      </w:pPr>
      <w:r w:rsidRPr="00E34791">
        <w:rPr>
          <w:rFonts w:ascii="Times New Roman" w:hAnsi="Times New Roman" w:cs="Times New Roman"/>
          <w:sz w:val="24"/>
          <w:szCs w:val="24"/>
        </w:rPr>
        <w:t>70% of the value of Stand 17170 Sable Street,</w:t>
      </w:r>
      <w:r w:rsidR="00E34791" w:rsidRPr="00E34791">
        <w:rPr>
          <w:rFonts w:ascii="Times New Roman" w:hAnsi="Times New Roman" w:cs="Times New Roman"/>
          <w:sz w:val="24"/>
          <w:szCs w:val="24"/>
        </w:rPr>
        <w:t xml:space="preserve"> </w:t>
      </w:r>
      <w:r w:rsidRPr="00E34791">
        <w:rPr>
          <w:rFonts w:ascii="Times New Roman" w:hAnsi="Times New Roman" w:cs="Times New Roman"/>
          <w:sz w:val="24"/>
          <w:szCs w:val="24"/>
        </w:rPr>
        <w:t xml:space="preserve">Borrowdale, Harare, which was the </w:t>
      </w:r>
      <w:r w:rsidR="00E34791" w:rsidRPr="00E34791">
        <w:rPr>
          <w:rFonts w:ascii="Times New Roman" w:hAnsi="Times New Roman" w:cs="Times New Roman"/>
          <w:sz w:val="24"/>
          <w:szCs w:val="24"/>
        </w:rPr>
        <w:t xml:space="preserve">   </w:t>
      </w:r>
      <w:r w:rsidRPr="00E34791">
        <w:rPr>
          <w:rFonts w:ascii="Times New Roman" w:hAnsi="Times New Roman" w:cs="Times New Roman"/>
          <w:sz w:val="24"/>
          <w:szCs w:val="24"/>
        </w:rPr>
        <w:t xml:space="preserve">parties’ matrimonial </w:t>
      </w:r>
      <w:r w:rsidR="00581D19" w:rsidRPr="00E34791">
        <w:rPr>
          <w:rFonts w:ascii="Times New Roman" w:hAnsi="Times New Roman" w:cs="Times New Roman"/>
          <w:sz w:val="24"/>
          <w:szCs w:val="24"/>
        </w:rPr>
        <w:t>h</w:t>
      </w:r>
      <w:r w:rsidR="001626B6" w:rsidRPr="00E34791">
        <w:rPr>
          <w:rFonts w:ascii="Times New Roman" w:hAnsi="Times New Roman" w:cs="Times New Roman"/>
          <w:sz w:val="24"/>
          <w:szCs w:val="24"/>
        </w:rPr>
        <w:t>ome,</w:t>
      </w:r>
      <w:r w:rsidR="00E34791">
        <w:rPr>
          <w:rFonts w:ascii="Times New Roman" w:hAnsi="Times New Roman" w:cs="Times New Roman"/>
          <w:sz w:val="24"/>
          <w:szCs w:val="24"/>
        </w:rPr>
        <w:t xml:space="preserve"> </w:t>
      </w:r>
      <w:r w:rsidR="00364B53" w:rsidRPr="00E34791">
        <w:rPr>
          <w:rFonts w:ascii="Times New Roman" w:hAnsi="Times New Roman" w:cs="Times New Roman"/>
          <w:sz w:val="24"/>
          <w:szCs w:val="24"/>
        </w:rPr>
        <w:t>and</w:t>
      </w:r>
    </w:p>
    <w:p w:rsidR="00E34791" w:rsidRPr="00E34791" w:rsidRDefault="00E34791" w:rsidP="00E34791">
      <w:pPr>
        <w:pStyle w:val="ListParagraph"/>
        <w:rPr>
          <w:rFonts w:ascii="Times New Roman" w:hAnsi="Times New Roman" w:cs="Times New Roman"/>
          <w:sz w:val="24"/>
          <w:szCs w:val="24"/>
        </w:rPr>
      </w:pPr>
    </w:p>
    <w:p w:rsidR="00E34791" w:rsidRPr="00E34791" w:rsidRDefault="00E34791" w:rsidP="00E34791">
      <w:pPr>
        <w:pStyle w:val="ListParagraph"/>
        <w:ind w:left="1080"/>
        <w:rPr>
          <w:rFonts w:ascii="Times New Roman" w:hAnsi="Times New Roman" w:cs="Times New Roman"/>
          <w:sz w:val="24"/>
          <w:szCs w:val="24"/>
        </w:rPr>
      </w:pPr>
    </w:p>
    <w:p w:rsidR="00E96393" w:rsidRPr="00201D8B" w:rsidRDefault="00E96393" w:rsidP="00E27BC1">
      <w:pPr>
        <w:pStyle w:val="ListParagraph"/>
        <w:numPr>
          <w:ilvl w:val="0"/>
          <w:numId w:val="15"/>
        </w:numPr>
        <w:spacing w:after="0" w:line="480" w:lineRule="auto"/>
        <w:jc w:val="both"/>
        <w:rPr>
          <w:rFonts w:ascii="Times New Roman" w:hAnsi="Times New Roman" w:cs="Times New Roman"/>
          <w:sz w:val="24"/>
          <w:szCs w:val="24"/>
        </w:rPr>
      </w:pPr>
      <w:r w:rsidRPr="00201D8B">
        <w:rPr>
          <w:rFonts w:ascii="Times New Roman" w:hAnsi="Times New Roman" w:cs="Times New Roman"/>
          <w:sz w:val="24"/>
          <w:szCs w:val="24"/>
        </w:rPr>
        <w:t xml:space="preserve">50% of the value of Flat No. 3 </w:t>
      </w:r>
      <w:proofErr w:type="spellStart"/>
      <w:r w:rsidRPr="00201D8B">
        <w:rPr>
          <w:rFonts w:ascii="Times New Roman" w:hAnsi="Times New Roman" w:cs="Times New Roman"/>
          <w:sz w:val="24"/>
          <w:szCs w:val="24"/>
        </w:rPr>
        <w:t>Selmont</w:t>
      </w:r>
      <w:proofErr w:type="spellEnd"/>
      <w:r w:rsidRPr="00201D8B">
        <w:rPr>
          <w:rFonts w:ascii="Times New Roman" w:hAnsi="Times New Roman" w:cs="Times New Roman"/>
          <w:sz w:val="24"/>
          <w:szCs w:val="24"/>
        </w:rPr>
        <w:t xml:space="preserve"> Gardens, 228 Samora</w:t>
      </w:r>
      <w:r w:rsidR="00E34791">
        <w:rPr>
          <w:rFonts w:ascii="Times New Roman" w:hAnsi="Times New Roman" w:cs="Times New Roman"/>
          <w:sz w:val="24"/>
          <w:szCs w:val="24"/>
        </w:rPr>
        <w:t xml:space="preserve"> </w:t>
      </w:r>
      <w:r w:rsidRPr="00201D8B">
        <w:rPr>
          <w:rFonts w:ascii="Times New Roman" w:hAnsi="Times New Roman" w:cs="Times New Roman"/>
          <w:sz w:val="24"/>
          <w:szCs w:val="24"/>
        </w:rPr>
        <w:t>Machel Avenue, Harare.</w:t>
      </w:r>
    </w:p>
    <w:p w:rsidR="00E96393" w:rsidRPr="00201D8B" w:rsidRDefault="00E96393" w:rsidP="00D22C16">
      <w:pPr>
        <w:pStyle w:val="ListParagraph"/>
        <w:spacing w:after="0" w:line="480" w:lineRule="auto"/>
        <w:ind w:left="1800"/>
        <w:jc w:val="both"/>
        <w:rPr>
          <w:rFonts w:ascii="Times New Roman" w:hAnsi="Times New Roman" w:cs="Times New Roman"/>
          <w:sz w:val="24"/>
          <w:szCs w:val="24"/>
        </w:rPr>
      </w:pPr>
    </w:p>
    <w:p w:rsidR="001626B6" w:rsidRPr="00201D8B" w:rsidRDefault="00C86BF1" w:rsidP="00201D8B">
      <w:pPr>
        <w:spacing w:after="0" w:line="480" w:lineRule="auto"/>
        <w:ind w:firstLine="1440"/>
        <w:jc w:val="both"/>
        <w:rPr>
          <w:rFonts w:ascii="Times New Roman" w:hAnsi="Times New Roman" w:cs="Times New Roman"/>
          <w:sz w:val="24"/>
          <w:szCs w:val="24"/>
        </w:rPr>
      </w:pPr>
      <w:r w:rsidRPr="00201D8B">
        <w:rPr>
          <w:rFonts w:ascii="Times New Roman" w:hAnsi="Times New Roman" w:cs="Times New Roman"/>
          <w:sz w:val="24"/>
          <w:szCs w:val="24"/>
        </w:rPr>
        <w:t>Before considering the appellant’s grounds of appeal</w:t>
      </w:r>
      <w:r w:rsidR="00D40714">
        <w:rPr>
          <w:rFonts w:ascii="Times New Roman" w:hAnsi="Times New Roman" w:cs="Times New Roman"/>
          <w:sz w:val="24"/>
          <w:szCs w:val="24"/>
        </w:rPr>
        <w:t xml:space="preserve"> </w:t>
      </w:r>
      <w:r w:rsidRPr="00201D8B">
        <w:rPr>
          <w:rFonts w:ascii="Times New Roman" w:hAnsi="Times New Roman" w:cs="Times New Roman"/>
          <w:sz w:val="24"/>
          <w:szCs w:val="24"/>
        </w:rPr>
        <w:t>in detail, it is pertinent</w:t>
      </w:r>
      <w:r w:rsidR="00D22C16" w:rsidRPr="00201D8B">
        <w:rPr>
          <w:rFonts w:ascii="Times New Roman" w:hAnsi="Times New Roman" w:cs="Times New Roman"/>
          <w:sz w:val="24"/>
          <w:szCs w:val="24"/>
        </w:rPr>
        <w:t xml:space="preserve"> to note</w:t>
      </w:r>
      <w:r w:rsidRPr="00201D8B">
        <w:rPr>
          <w:rFonts w:ascii="Times New Roman" w:hAnsi="Times New Roman" w:cs="Times New Roman"/>
          <w:sz w:val="24"/>
          <w:szCs w:val="24"/>
        </w:rPr>
        <w:t xml:space="preserve"> that in arrivi</w:t>
      </w:r>
      <w:r w:rsidR="00D22C16" w:rsidRPr="00201D8B">
        <w:rPr>
          <w:rFonts w:ascii="Times New Roman" w:hAnsi="Times New Roman" w:cs="Times New Roman"/>
          <w:sz w:val="24"/>
          <w:szCs w:val="24"/>
        </w:rPr>
        <w:t>ng at the various awards that it</w:t>
      </w:r>
      <w:r w:rsidRPr="00201D8B">
        <w:rPr>
          <w:rFonts w:ascii="Times New Roman" w:hAnsi="Times New Roman" w:cs="Times New Roman"/>
          <w:sz w:val="24"/>
          <w:szCs w:val="24"/>
        </w:rPr>
        <w:t xml:space="preserve"> made in terms of s 7 of </w:t>
      </w:r>
      <w:r w:rsidR="00D22C16" w:rsidRPr="00201D8B">
        <w:rPr>
          <w:rFonts w:ascii="Times New Roman" w:hAnsi="Times New Roman" w:cs="Times New Roman"/>
          <w:sz w:val="24"/>
          <w:szCs w:val="24"/>
        </w:rPr>
        <w:t xml:space="preserve">the </w:t>
      </w:r>
      <w:r w:rsidR="00231E16" w:rsidRPr="00201D8B">
        <w:rPr>
          <w:rFonts w:ascii="Times New Roman" w:hAnsi="Times New Roman" w:cs="Times New Roman"/>
          <w:sz w:val="24"/>
          <w:szCs w:val="24"/>
        </w:rPr>
        <w:t>M</w:t>
      </w:r>
      <w:r w:rsidR="00D22C16" w:rsidRPr="00201D8B">
        <w:rPr>
          <w:rFonts w:ascii="Times New Roman" w:hAnsi="Times New Roman" w:cs="Times New Roman"/>
          <w:sz w:val="24"/>
          <w:szCs w:val="24"/>
        </w:rPr>
        <w:t xml:space="preserve">atrimonial </w:t>
      </w:r>
      <w:r w:rsidR="00231E16" w:rsidRPr="00201D8B">
        <w:rPr>
          <w:rFonts w:ascii="Times New Roman" w:hAnsi="Times New Roman" w:cs="Times New Roman"/>
          <w:sz w:val="24"/>
          <w:szCs w:val="24"/>
        </w:rPr>
        <w:t>C</w:t>
      </w:r>
      <w:r w:rsidR="00D22C16" w:rsidRPr="00201D8B">
        <w:rPr>
          <w:rFonts w:ascii="Times New Roman" w:hAnsi="Times New Roman" w:cs="Times New Roman"/>
          <w:sz w:val="24"/>
          <w:szCs w:val="24"/>
        </w:rPr>
        <w:t xml:space="preserve">auses Act </w:t>
      </w:r>
      <w:r w:rsidR="00EC3E41" w:rsidRPr="00201D8B">
        <w:rPr>
          <w:rFonts w:ascii="Times New Roman" w:hAnsi="Times New Roman" w:cs="Times New Roman"/>
          <w:sz w:val="24"/>
          <w:szCs w:val="24"/>
        </w:rPr>
        <w:t>{</w:t>
      </w:r>
      <w:r w:rsidR="00D22C16" w:rsidRPr="00201D8B">
        <w:rPr>
          <w:rFonts w:ascii="Times New Roman" w:hAnsi="Times New Roman" w:cs="Times New Roman"/>
          <w:i/>
          <w:sz w:val="24"/>
          <w:szCs w:val="24"/>
        </w:rPr>
        <w:t>Cap</w:t>
      </w:r>
      <w:r w:rsidR="00EC3E41" w:rsidRPr="00201D8B">
        <w:rPr>
          <w:rFonts w:ascii="Times New Roman" w:hAnsi="Times New Roman" w:cs="Times New Roman"/>
          <w:i/>
          <w:sz w:val="24"/>
          <w:szCs w:val="24"/>
        </w:rPr>
        <w:t xml:space="preserve"> 5:13</w:t>
      </w:r>
      <w:r w:rsidR="00EC3E41" w:rsidRPr="00201D8B">
        <w:rPr>
          <w:rFonts w:ascii="Times New Roman" w:hAnsi="Times New Roman" w:cs="Times New Roman"/>
          <w:sz w:val="24"/>
          <w:szCs w:val="24"/>
        </w:rPr>
        <w:t>],</w:t>
      </w:r>
      <w:r w:rsidR="00D22C16" w:rsidRPr="00201D8B">
        <w:rPr>
          <w:rFonts w:ascii="Times New Roman" w:hAnsi="Times New Roman" w:cs="Times New Roman"/>
          <w:sz w:val="24"/>
          <w:szCs w:val="24"/>
        </w:rPr>
        <w:t xml:space="preserve"> (“The Act”)</w:t>
      </w:r>
      <w:r w:rsidRPr="00201D8B">
        <w:rPr>
          <w:rFonts w:ascii="Times New Roman" w:hAnsi="Times New Roman" w:cs="Times New Roman"/>
          <w:sz w:val="24"/>
          <w:szCs w:val="24"/>
        </w:rPr>
        <w:t xml:space="preserve">, the court </w:t>
      </w:r>
      <w:r w:rsidRPr="00201D8B">
        <w:rPr>
          <w:rFonts w:ascii="Times New Roman" w:hAnsi="Times New Roman" w:cs="Times New Roman"/>
          <w:i/>
          <w:sz w:val="24"/>
          <w:szCs w:val="24"/>
        </w:rPr>
        <w:t>a quo</w:t>
      </w:r>
      <w:r w:rsidRPr="00201D8B">
        <w:rPr>
          <w:rFonts w:ascii="Times New Roman" w:hAnsi="Times New Roman" w:cs="Times New Roman"/>
          <w:sz w:val="24"/>
          <w:szCs w:val="24"/>
        </w:rPr>
        <w:t xml:space="preserve"> used its discretion.  It is in this respect correctly argued for the respondent that it is a firmly entrenched principle of our law that the discretion exercised by a trial court in dividing property in terms of s 7 of the Act cannot be interfered with on appeal unless the trial court exercised the discretion erroneously, acted on a wrong principle, mistook facts or did not take into account some relevant consideration.  Indeed, in </w:t>
      </w:r>
      <w:proofErr w:type="spellStart"/>
      <w:r w:rsidRPr="00201D8B">
        <w:rPr>
          <w:rFonts w:ascii="Times New Roman" w:hAnsi="Times New Roman" w:cs="Times New Roman"/>
          <w:i/>
          <w:sz w:val="24"/>
          <w:szCs w:val="24"/>
        </w:rPr>
        <w:t>Shenje</w:t>
      </w:r>
      <w:proofErr w:type="spellEnd"/>
      <w:r w:rsidRPr="00201D8B">
        <w:rPr>
          <w:rFonts w:ascii="Times New Roman" w:hAnsi="Times New Roman" w:cs="Times New Roman"/>
          <w:i/>
          <w:sz w:val="24"/>
          <w:szCs w:val="24"/>
        </w:rPr>
        <w:t xml:space="preserve"> v </w:t>
      </w:r>
      <w:proofErr w:type="spellStart"/>
      <w:r w:rsidRPr="00201D8B">
        <w:rPr>
          <w:rFonts w:ascii="Times New Roman" w:hAnsi="Times New Roman" w:cs="Times New Roman"/>
          <w:i/>
          <w:sz w:val="24"/>
          <w:szCs w:val="24"/>
        </w:rPr>
        <w:t>Shenj</w:t>
      </w:r>
      <w:r w:rsidR="001626B6" w:rsidRPr="00201D8B">
        <w:rPr>
          <w:rFonts w:ascii="Times New Roman" w:hAnsi="Times New Roman" w:cs="Times New Roman"/>
          <w:i/>
          <w:sz w:val="24"/>
          <w:szCs w:val="24"/>
        </w:rPr>
        <w:t>e</w:t>
      </w:r>
      <w:proofErr w:type="spellEnd"/>
      <w:r w:rsidR="001626B6" w:rsidRPr="00201D8B">
        <w:rPr>
          <w:rFonts w:ascii="Times New Roman" w:hAnsi="Times New Roman" w:cs="Times New Roman"/>
          <w:sz w:val="24"/>
          <w:szCs w:val="24"/>
        </w:rPr>
        <w:t xml:space="preserve"> (2001 (2) ZLR 1</w:t>
      </w:r>
      <w:r w:rsidR="002A567D" w:rsidRPr="00201D8B">
        <w:rPr>
          <w:rFonts w:ascii="Times New Roman" w:hAnsi="Times New Roman" w:cs="Times New Roman"/>
          <w:sz w:val="24"/>
          <w:szCs w:val="24"/>
        </w:rPr>
        <w:t>6</w:t>
      </w:r>
      <w:r w:rsidR="001626B6" w:rsidRPr="00201D8B">
        <w:rPr>
          <w:rFonts w:ascii="Times New Roman" w:hAnsi="Times New Roman" w:cs="Times New Roman"/>
          <w:sz w:val="24"/>
          <w:szCs w:val="24"/>
        </w:rPr>
        <w:t>0) the same principle was emphasised differently as follows;</w:t>
      </w:r>
    </w:p>
    <w:p w:rsidR="00C86BF1" w:rsidRPr="00201D8B" w:rsidRDefault="00C86BF1" w:rsidP="00A25573">
      <w:pPr>
        <w:spacing w:after="0" w:line="240" w:lineRule="auto"/>
        <w:jc w:val="both"/>
        <w:rPr>
          <w:rFonts w:ascii="Times New Roman" w:hAnsi="Times New Roman" w:cs="Times New Roman"/>
          <w:sz w:val="24"/>
          <w:szCs w:val="24"/>
        </w:rPr>
      </w:pPr>
    </w:p>
    <w:p w:rsidR="00C86BF1" w:rsidRPr="00201D8B" w:rsidRDefault="00C86BF1" w:rsidP="00174EFC">
      <w:pPr>
        <w:spacing w:after="0" w:line="240" w:lineRule="auto"/>
        <w:ind w:left="720"/>
        <w:jc w:val="both"/>
        <w:rPr>
          <w:rFonts w:ascii="Times New Roman" w:hAnsi="Times New Roman" w:cs="Times New Roman"/>
          <w:sz w:val="24"/>
          <w:szCs w:val="24"/>
        </w:rPr>
      </w:pPr>
      <w:r w:rsidRPr="00201D8B">
        <w:rPr>
          <w:rFonts w:ascii="Times New Roman" w:hAnsi="Times New Roman" w:cs="Times New Roman"/>
          <w:sz w:val="24"/>
          <w:szCs w:val="24"/>
        </w:rPr>
        <w:t xml:space="preserve">“… All in all, the </w:t>
      </w:r>
      <w:r w:rsidR="00B573AA" w:rsidRPr="00201D8B">
        <w:rPr>
          <w:rFonts w:ascii="Times New Roman" w:hAnsi="Times New Roman" w:cs="Times New Roman"/>
          <w:sz w:val="24"/>
          <w:szCs w:val="24"/>
        </w:rPr>
        <w:t>l</w:t>
      </w:r>
      <w:r w:rsidRPr="00201D8B">
        <w:rPr>
          <w:rFonts w:ascii="Times New Roman" w:hAnsi="Times New Roman" w:cs="Times New Roman"/>
          <w:sz w:val="24"/>
          <w:szCs w:val="24"/>
        </w:rPr>
        <w:t>egislat</w:t>
      </w:r>
      <w:r w:rsidR="002C56B4" w:rsidRPr="00201D8B">
        <w:rPr>
          <w:rFonts w:ascii="Times New Roman" w:hAnsi="Times New Roman" w:cs="Times New Roman"/>
          <w:sz w:val="24"/>
          <w:szCs w:val="24"/>
        </w:rPr>
        <w:t>ion</w:t>
      </w:r>
      <w:r w:rsidRPr="00201D8B">
        <w:rPr>
          <w:rFonts w:ascii="Times New Roman" w:hAnsi="Times New Roman" w:cs="Times New Roman"/>
          <w:sz w:val="24"/>
          <w:szCs w:val="24"/>
        </w:rPr>
        <w:t xml:space="preserve"> gives the courts a very broad discretion to achieve the fairest possible settlement.  There are only a few limits on the court’s power to distribute property</w:t>
      </w:r>
      <w:r w:rsidR="002C56B4" w:rsidRPr="00201D8B">
        <w:rPr>
          <w:rFonts w:ascii="Times New Roman" w:hAnsi="Times New Roman" w:cs="Times New Roman"/>
          <w:sz w:val="24"/>
          <w:szCs w:val="24"/>
        </w:rPr>
        <w:t>…</w:t>
      </w:r>
      <w:r w:rsidR="00174EFC" w:rsidRPr="00201D8B">
        <w:rPr>
          <w:rFonts w:ascii="Times New Roman" w:hAnsi="Times New Roman" w:cs="Times New Roman"/>
          <w:sz w:val="24"/>
          <w:szCs w:val="24"/>
        </w:rPr>
        <w:t>”</w:t>
      </w:r>
    </w:p>
    <w:p w:rsidR="00174EFC" w:rsidRPr="00201D8B" w:rsidRDefault="00174EFC" w:rsidP="00174EFC">
      <w:pPr>
        <w:spacing w:after="0" w:line="240" w:lineRule="auto"/>
        <w:jc w:val="both"/>
        <w:rPr>
          <w:rFonts w:ascii="Times New Roman" w:hAnsi="Times New Roman" w:cs="Times New Roman"/>
          <w:sz w:val="24"/>
          <w:szCs w:val="24"/>
        </w:rPr>
      </w:pPr>
    </w:p>
    <w:p w:rsidR="00615806" w:rsidRPr="00201D8B" w:rsidRDefault="00615806" w:rsidP="00174EFC">
      <w:pPr>
        <w:spacing w:after="0" w:line="240" w:lineRule="auto"/>
        <w:jc w:val="both"/>
        <w:rPr>
          <w:rFonts w:ascii="Times New Roman" w:hAnsi="Times New Roman" w:cs="Times New Roman"/>
          <w:sz w:val="24"/>
          <w:szCs w:val="24"/>
        </w:rPr>
      </w:pPr>
    </w:p>
    <w:p w:rsidR="00174EFC" w:rsidRPr="00201D8B" w:rsidRDefault="001626B6" w:rsidP="00174EFC">
      <w:pPr>
        <w:spacing w:after="0" w:line="240" w:lineRule="auto"/>
        <w:jc w:val="both"/>
        <w:rPr>
          <w:rFonts w:ascii="Times New Roman" w:hAnsi="Times New Roman" w:cs="Times New Roman"/>
          <w:sz w:val="24"/>
          <w:szCs w:val="24"/>
        </w:rPr>
      </w:pPr>
      <w:r w:rsidRPr="00201D8B">
        <w:rPr>
          <w:rFonts w:ascii="Times New Roman" w:hAnsi="Times New Roman" w:cs="Times New Roman"/>
          <w:sz w:val="24"/>
          <w:szCs w:val="24"/>
        </w:rPr>
        <w:t xml:space="preserve">See also </w:t>
      </w:r>
      <w:proofErr w:type="spellStart"/>
      <w:r w:rsidRPr="00201D8B">
        <w:rPr>
          <w:rFonts w:ascii="Times New Roman" w:hAnsi="Times New Roman" w:cs="Times New Roman"/>
          <w:i/>
          <w:sz w:val="24"/>
          <w:szCs w:val="24"/>
        </w:rPr>
        <w:t>Hatendi</w:t>
      </w:r>
      <w:proofErr w:type="spellEnd"/>
      <w:r w:rsidRPr="00201D8B">
        <w:rPr>
          <w:rFonts w:ascii="Times New Roman" w:hAnsi="Times New Roman" w:cs="Times New Roman"/>
          <w:i/>
          <w:sz w:val="24"/>
          <w:szCs w:val="24"/>
        </w:rPr>
        <w:t xml:space="preserve"> v </w:t>
      </w:r>
      <w:proofErr w:type="spellStart"/>
      <w:r w:rsidRPr="00201D8B">
        <w:rPr>
          <w:rFonts w:ascii="Times New Roman" w:hAnsi="Times New Roman" w:cs="Times New Roman"/>
          <w:i/>
          <w:sz w:val="24"/>
          <w:szCs w:val="24"/>
        </w:rPr>
        <w:t>Hatendi</w:t>
      </w:r>
      <w:proofErr w:type="spellEnd"/>
      <w:r w:rsidRPr="00201D8B">
        <w:rPr>
          <w:rFonts w:ascii="Times New Roman" w:hAnsi="Times New Roman" w:cs="Times New Roman"/>
          <w:sz w:val="24"/>
          <w:szCs w:val="24"/>
        </w:rPr>
        <w:t xml:space="preserve"> (2001 (2) ZLR 530 SC) </w:t>
      </w:r>
    </w:p>
    <w:p w:rsidR="00A25573" w:rsidRPr="00201D8B" w:rsidRDefault="00A25573" w:rsidP="00174EFC">
      <w:pPr>
        <w:spacing w:after="0" w:line="480" w:lineRule="auto"/>
        <w:ind w:firstLine="720"/>
        <w:jc w:val="both"/>
        <w:rPr>
          <w:rFonts w:ascii="Times New Roman" w:hAnsi="Times New Roman" w:cs="Times New Roman"/>
          <w:sz w:val="24"/>
          <w:szCs w:val="24"/>
        </w:rPr>
      </w:pPr>
    </w:p>
    <w:p w:rsidR="002A567D" w:rsidRPr="00201D8B" w:rsidRDefault="00272439" w:rsidP="00174EFC">
      <w:pPr>
        <w:spacing w:after="0" w:line="480" w:lineRule="auto"/>
        <w:ind w:firstLine="720"/>
        <w:jc w:val="both"/>
        <w:rPr>
          <w:rFonts w:ascii="Times New Roman" w:hAnsi="Times New Roman" w:cs="Times New Roman"/>
          <w:sz w:val="24"/>
          <w:szCs w:val="24"/>
        </w:rPr>
      </w:pPr>
      <w:r w:rsidRPr="00201D8B">
        <w:rPr>
          <w:rFonts w:ascii="Times New Roman" w:hAnsi="Times New Roman" w:cs="Times New Roman"/>
          <w:sz w:val="24"/>
          <w:szCs w:val="24"/>
        </w:rPr>
        <w:t xml:space="preserve">In </w:t>
      </w:r>
      <w:proofErr w:type="spellStart"/>
      <w:r w:rsidRPr="00201D8B">
        <w:rPr>
          <w:rFonts w:ascii="Times New Roman" w:hAnsi="Times New Roman" w:cs="Times New Roman"/>
          <w:i/>
          <w:sz w:val="24"/>
          <w:szCs w:val="24"/>
        </w:rPr>
        <w:t>Ncube</w:t>
      </w:r>
      <w:proofErr w:type="spellEnd"/>
      <w:r w:rsidRPr="00201D8B">
        <w:rPr>
          <w:rFonts w:ascii="Times New Roman" w:hAnsi="Times New Roman" w:cs="Times New Roman"/>
          <w:i/>
          <w:sz w:val="24"/>
          <w:szCs w:val="24"/>
        </w:rPr>
        <w:t xml:space="preserve"> v </w:t>
      </w:r>
      <w:proofErr w:type="spellStart"/>
      <w:r w:rsidRPr="00201D8B">
        <w:rPr>
          <w:rFonts w:ascii="Times New Roman" w:hAnsi="Times New Roman" w:cs="Times New Roman"/>
          <w:i/>
          <w:sz w:val="24"/>
          <w:szCs w:val="24"/>
        </w:rPr>
        <w:t>Ncube</w:t>
      </w:r>
      <w:proofErr w:type="spellEnd"/>
      <w:r w:rsidR="002A567D" w:rsidRPr="00201D8B">
        <w:rPr>
          <w:rFonts w:ascii="Times New Roman" w:hAnsi="Times New Roman" w:cs="Times New Roman"/>
          <w:i/>
          <w:sz w:val="24"/>
          <w:szCs w:val="24"/>
        </w:rPr>
        <w:t xml:space="preserve"> (1993 (1)39 (S) at 40H-41A) </w:t>
      </w:r>
      <w:r w:rsidR="00174EFC" w:rsidRPr="00201D8B">
        <w:rPr>
          <w:rFonts w:ascii="Times New Roman" w:hAnsi="Times New Roman" w:cs="Times New Roman"/>
          <w:i/>
          <w:sz w:val="24"/>
          <w:szCs w:val="24"/>
        </w:rPr>
        <w:t>th</w:t>
      </w:r>
      <w:r w:rsidRPr="00201D8B">
        <w:rPr>
          <w:rFonts w:ascii="Times New Roman" w:hAnsi="Times New Roman" w:cs="Times New Roman"/>
          <w:sz w:val="24"/>
          <w:szCs w:val="24"/>
        </w:rPr>
        <w:t>e point was stressed that</w:t>
      </w:r>
      <w:r w:rsidR="002A567D" w:rsidRPr="00201D8B">
        <w:rPr>
          <w:rFonts w:ascii="Times New Roman" w:hAnsi="Times New Roman" w:cs="Times New Roman"/>
          <w:sz w:val="24"/>
          <w:szCs w:val="24"/>
        </w:rPr>
        <w:t>;</w:t>
      </w:r>
    </w:p>
    <w:p w:rsidR="002A567D" w:rsidRPr="00201D8B" w:rsidRDefault="002A567D" w:rsidP="00A25573">
      <w:pPr>
        <w:spacing w:after="0" w:line="240" w:lineRule="auto"/>
        <w:ind w:firstLine="720"/>
        <w:jc w:val="both"/>
        <w:rPr>
          <w:rFonts w:ascii="Times New Roman" w:hAnsi="Times New Roman" w:cs="Times New Roman"/>
          <w:sz w:val="24"/>
          <w:szCs w:val="24"/>
        </w:rPr>
      </w:pPr>
    </w:p>
    <w:p w:rsidR="002C56B4" w:rsidRPr="00201D8B" w:rsidRDefault="00615806" w:rsidP="00615806">
      <w:pPr>
        <w:spacing w:after="0" w:line="240" w:lineRule="auto"/>
        <w:ind w:left="720"/>
        <w:jc w:val="both"/>
        <w:rPr>
          <w:rFonts w:ascii="Times New Roman" w:hAnsi="Times New Roman" w:cs="Times New Roman"/>
          <w:sz w:val="24"/>
          <w:szCs w:val="24"/>
        </w:rPr>
      </w:pPr>
      <w:r w:rsidRPr="00201D8B">
        <w:rPr>
          <w:rFonts w:ascii="Times New Roman" w:hAnsi="Times New Roman" w:cs="Times New Roman"/>
          <w:sz w:val="24"/>
          <w:szCs w:val="24"/>
        </w:rPr>
        <w:t xml:space="preserve">“… </w:t>
      </w:r>
      <w:r w:rsidR="00272439" w:rsidRPr="00201D8B">
        <w:rPr>
          <w:rFonts w:ascii="Times New Roman" w:hAnsi="Times New Roman" w:cs="Times New Roman"/>
          <w:sz w:val="24"/>
          <w:szCs w:val="24"/>
        </w:rPr>
        <w:t xml:space="preserve">in circumstances where factors </w:t>
      </w:r>
      <w:r w:rsidR="00F12514" w:rsidRPr="00201D8B">
        <w:rPr>
          <w:rFonts w:ascii="Times New Roman" w:hAnsi="Times New Roman" w:cs="Times New Roman"/>
          <w:sz w:val="24"/>
          <w:szCs w:val="24"/>
        </w:rPr>
        <w:t xml:space="preserve">exist </w:t>
      </w:r>
      <w:r w:rsidR="00272439" w:rsidRPr="00201D8B">
        <w:rPr>
          <w:rFonts w:ascii="Times New Roman" w:hAnsi="Times New Roman" w:cs="Times New Roman"/>
          <w:sz w:val="24"/>
          <w:szCs w:val="24"/>
        </w:rPr>
        <w:t xml:space="preserve">that are not </w:t>
      </w:r>
      <w:r w:rsidR="002A567D" w:rsidRPr="00201D8B">
        <w:rPr>
          <w:rFonts w:ascii="Times New Roman" w:hAnsi="Times New Roman" w:cs="Times New Roman"/>
          <w:sz w:val="24"/>
          <w:szCs w:val="24"/>
        </w:rPr>
        <w:t>e</w:t>
      </w:r>
      <w:r w:rsidR="00272439" w:rsidRPr="00201D8B">
        <w:rPr>
          <w:rFonts w:ascii="Times New Roman" w:hAnsi="Times New Roman" w:cs="Times New Roman"/>
          <w:sz w:val="24"/>
          <w:szCs w:val="24"/>
        </w:rPr>
        <w:t>asily quantifiable in terms of money, the determination of the strict property rights of each spouse is invariably a theoretical exercise for which the courts are indubitably</w:t>
      </w:r>
      <w:r w:rsidR="00174EFC" w:rsidRPr="00201D8B">
        <w:rPr>
          <w:rFonts w:ascii="Times New Roman" w:hAnsi="Times New Roman" w:cs="Times New Roman"/>
          <w:sz w:val="24"/>
          <w:szCs w:val="24"/>
        </w:rPr>
        <w:t xml:space="preserve"> imbued with a </w:t>
      </w:r>
      <w:r w:rsidR="002A567D" w:rsidRPr="00201D8B">
        <w:rPr>
          <w:rFonts w:ascii="Times New Roman" w:hAnsi="Times New Roman" w:cs="Times New Roman"/>
          <w:sz w:val="24"/>
          <w:szCs w:val="24"/>
        </w:rPr>
        <w:t>wide</w:t>
      </w:r>
      <w:r w:rsidR="00D40714">
        <w:rPr>
          <w:rFonts w:ascii="Times New Roman" w:hAnsi="Times New Roman" w:cs="Times New Roman"/>
          <w:sz w:val="24"/>
          <w:szCs w:val="24"/>
        </w:rPr>
        <w:t xml:space="preserve"> </w:t>
      </w:r>
      <w:r w:rsidR="00174EFC" w:rsidRPr="00201D8B">
        <w:rPr>
          <w:rFonts w:ascii="Times New Roman" w:hAnsi="Times New Roman" w:cs="Times New Roman"/>
          <w:sz w:val="24"/>
          <w:szCs w:val="24"/>
        </w:rPr>
        <w:t>discretion.</w:t>
      </w:r>
      <w:r w:rsidR="002C56B4" w:rsidRPr="00201D8B">
        <w:rPr>
          <w:rFonts w:ascii="Times New Roman" w:hAnsi="Times New Roman" w:cs="Times New Roman"/>
          <w:sz w:val="24"/>
          <w:szCs w:val="24"/>
        </w:rPr>
        <w:t>”</w:t>
      </w:r>
    </w:p>
    <w:p w:rsidR="002C56B4" w:rsidRPr="00201D8B" w:rsidRDefault="002C56B4" w:rsidP="002C56B4">
      <w:pPr>
        <w:spacing w:after="0" w:line="480" w:lineRule="auto"/>
        <w:ind w:firstLine="720"/>
        <w:jc w:val="both"/>
        <w:rPr>
          <w:rFonts w:ascii="Times New Roman" w:hAnsi="Times New Roman" w:cs="Times New Roman"/>
          <w:sz w:val="24"/>
          <w:szCs w:val="24"/>
        </w:rPr>
      </w:pPr>
    </w:p>
    <w:p w:rsidR="002C56B4" w:rsidRPr="00201D8B" w:rsidRDefault="002C56B4" w:rsidP="002C56B4">
      <w:pPr>
        <w:spacing w:after="0" w:line="240" w:lineRule="auto"/>
        <w:ind w:firstLine="720"/>
        <w:jc w:val="both"/>
        <w:rPr>
          <w:rFonts w:ascii="Times New Roman" w:hAnsi="Times New Roman" w:cs="Times New Roman"/>
          <w:sz w:val="24"/>
          <w:szCs w:val="24"/>
        </w:rPr>
      </w:pPr>
    </w:p>
    <w:p w:rsidR="002A567D" w:rsidRPr="00201D8B" w:rsidRDefault="002C56B4" w:rsidP="002C56B4">
      <w:pPr>
        <w:spacing w:after="0" w:line="480" w:lineRule="auto"/>
        <w:ind w:firstLine="1440"/>
        <w:jc w:val="both"/>
        <w:rPr>
          <w:rFonts w:ascii="Times New Roman" w:hAnsi="Times New Roman" w:cs="Times New Roman"/>
          <w:sz w:val="24"/>
          <w:szCs w:val="24"/>
        </w:rPr>
      </w:pPr>
      <w:r w:rsidRPr="00201D8B">
        <w:rPr>
          <w:rFonts w:ascii="Times New Roman" w:hAnsi="Times New Roman" w:cs="Times New Roman"/>
          <w:sz w:val="24"/>
          <w:szCs w:val="24"/>
        </w:rPr>
        <w:t>I</w:t>
      </w:r>
      <w:r w:rsidR="002A567D" w:rsidRPr="00201D8B">
        <w:rPr>
          <w:rFonts w:ascii="Times New Roman" w:hAnsi="Times New Roman" w:cs="Times New Roman"/>
          <w:sz w:val="24"/>
          <w:szCs w:val="24"/>
        </w:rPr>
        <w:t>ndirect contribution in the context of the Act, in my view, would fall into the category described in this excerpt.</w:t>
      </w:r>
    </w:p>
    <w:p w:rsidR="00272439" w:rsidRPr="00201D8B" w:rsidRDefault="00272439" w:rsidP="00225F5C">
      <w:pPr>
        <w:spacing w:after="0" w:line="480" w:lineRule="auto"/>
        <w:jc w:val="both"/>
        <w:rPr>
          <w:rFonts w:ascii="Times New Roman" w:hAnsi="Times New Roman" w:cs="Times New Roman"/>
          <w:sz w:val="24"/>
          <w:szCs w:val="24"/>
        </w:rPr>
      </w:pPr>
    </w:p>
    <w:p w:rsidR="00272439" w:rsidRPr="00201D8B" w:rsidRDefault="00272439" w:rsidP="00225F5C">
      <w:pPr>
        <w:spacing w:after="0" w:line="480" w:lineRule="auto"/>
        <w:jc w:val="both"/>
        <w:rPr>
          <w:rFonts w:ascii="Times New Roman" w:hAnsi="Times New Roman" w:cs="Times New Roman"/>
          <w:b/>
          <w:sz w:val="24"/>
          <w:szCs w:val="24"/>
        </w:rPr>
      </w:pPr>
      <w:r w:rsidRPr="00201D8B">
        <w:rPr>
          <w:rFonts w:ascii="Times New Roman" w:hAnsi="Times New Roman" w:cs="Times New Roman"/>
          <w:sz w:val="24"/>
          <w:szCs w:val="24"/>
        </w:rPr>
        <w:tab/>
      </w:r>
      <w:r w:rsidRPr="00201D8B">
        <w:rPr>
          <w:rFonts w:ascii="Times New Roman" w:hAnsi="Times New Roman" w:cs="Times New Roman"/>
          <w:sz w:val="24"/>
          <w:szCs w:val="24"/>
        </w:rPr>
        <w:tab/>
      </w:r>
      <w:r w:rsidR="00F12514" w:rsidRPr="00201D8B">
        <w:rPr>
          <w:rFonts w:ascii="Times New Roman" w:hAnsi="Times New Roman" w:cs="Times New Roman"/>
          <w:sz w:val="24"/>
          <w:szCs w:val="24"/>
        </w:rPr>
        <w:t>W</w:t>
      </w:r>
      <w:r w:rsidRPr="00201D8B">
        <w:rPr>
          <w:rFonts w:ascii="Times New Roman" w:hAnsi="Times New Roman" w:cs="Times New Roman"/>
          <w:sz w:val="24"/>
          <w:szCs w:val="24"/>
        </w:rPr>
        <w:t>ith this background on the relevant law and principles</w:t>
      </w:r>
      <w:r w:rsidR="00F12514" w:rsidRPr="00201D8B">
        <w:rPr>
          <w:rFonts w:ascii="Times New Roman" w:hAnsi="Times New Roman" w:cs="Times New Roman"/>
          <w:sz w:val="24"/>
          <w:szCs w:val="24"/>
        </w:rPr>
        <w:t>, I will now</w:t>
      </w:r>
      <w:r w:rsidRPr="00201D8B">
        <w:rPr>
          <w:rFonts w:ascii="Times New Roman" w:hAnsi="Times New Roman" w:cs="Times New Roman"/>
          <w:sz w:val="24"/>
          <w:szCs w:val="24"/>
        </w:rPr>
        <w:t xml:space="preserve"> consider the appellant’s grounds of appeal in relation to the items of property whose distribution he challenges.</w:t>
      </w:r>
    </w:p>
    <w:p w:rsidR="00201D8B" w:rsidRPr="00201D8B" w:rsidRDefault="00201D8B" w:rsidP="00F12514">
      <w:pPr>
        <w:spacing w:after="0" w:line="480" w:lineRule="auto"/>
        <w:jc w:val="both"/>
        <w:rPr>
          <w:rFonts w:ascii="Times New Roman" w:hAnsi="Times New Roman" w:cs="Times New Roman"/>
          <w:b/>
          <w:sz w:val="24"/>
          <w:szCs w:val="24"/>
        </w:rPr>
      </w:pPr>
    </w:p>
    <w:p w:rsidR="00F12514" w:rsidRPr="00201D8B" w:rsidRDefault="00F12514" w:rsidP="00F12514">
      <w:pPr>
        <w:spacing w:after="0" w:line="480" w:lineRule="auto"/>
        <w:jc w:val="both"/>
        <w:rPr>
          <w:rFonts w:ascii="Times New Roman" w:hAnsi="Times New Roman" w:cs="Times New Roman"/>
          <w:b/>
          <w:sz w:val="24"/>
          <w:szCs w:val="24"/>
        </w:rPr>
      </w:pPr>
      <w:r w:rsidRPr="00201D8B">
        <w:rPr>
          <w:rFonts w:ascii="Times New Roman" w:hAnsi="Times New Roman" w:cs="Times New Roman"/>
          <w:b/>
          <w:sz w:val="24"/>
          <w:szCs w:val="24"/>
        </w:rPr>
        <w:t>1.</w:t>
      </w:r>
      <w:r w:rsidRPr="00201D8B">
        <w:rPr>
          <w:rFonts w:ascii="Times New Roman" w:hAnsi="Times New Roman" w:cs="Times New Roman"/>
          <w:b/>
          <w:sz w:val="24"/>
          <w:szCs w:val="24"/>
        </w:rPr>
        <w:tab/>
      </w:r>
      <w:r w:rsidR="00B573AA" w:rsidRPr="00201D8B">
        <w:rPr>
          <w:rFonts w:ascii="Times New Roman" w:hAnsi="Times New Roman" w:cs="Times New Roman"/>
          <w:b/>
          <w:sz w:val="24"/>
          <w:szCs w:val="24"/>
        </w:rPr>
        <w:t>MOVABLE ASSETS, INCLUDING THE D</w:t>
      </w:r>
      <w:r w:rsidRPr="00201D8B">
        <w:rPr>
          <w:rFonts w:ascii="Times New Roman" w:hAnsi="Times New Roman" w:cs="Times New Roman"/>
          <w:b/>
          <w:sz w:val="24"/>
          <w:szCs w:val="24"/>
        </w:rPr>
        <w:t>A</w:t>
      </w:r>
      <w:r w:rsidR="00B573AA" w:rsidRPr="00201D8B">
        <w:rPr>
          <w:rFonts w:ascii="Times New Roman" w:hAnsi="Times New Roman" w:cs="Times New Roman"/>
          <w:b/>
          <w:sz w:val="24"/>
          <w:szCs w:val="24"/>
        </w:rPr>
        <w:t>I</w:t>
      </w:r>
      <w:r w:rsidRPr="00201D8B">
        <w:rPr>
          <w:rFonts w:ascii="Times New Roman" w:hAnsi="Times New Roman" w:cs="Times New Roman"/>
          <w:b/>
          <w:sz w:val="24"/>
          <w:szCs w:val="24"/>
        </w:rPr>
        <w:t>HATSU MOVE</w:t>
      </w:r>
    </w:p>
    <w:p w:rsidR="002A567D" w:rsidRPr="00201D8B" w:rsidRDefault="002A567D" w:rsidP="00A25573">
      <w:pPr>
        <w:spacing w:after="0" w:line="240" w:lineRule="auto"/>
        <w:jc w:val="both"/>
        <w:rPr>
          <w:rFonts w:ascii="Times New Roman" w:hAnsi="Times New Roman" w:cs="Times New Roman"/>
          <w:b/>
          <w:sz w:val="24"/>
          <w:szCs w:val="24"/>
        </w:rPr>
      </w:pPr>
    </w:p>
    <w:p w:rsidR="00F12514" w:rsidRPr="00201D8B" w:rsidRDefault="00F12514" w:rsidP="00F12514">
      <w:pPr>
        <w:spacing w:after="0" w:line="480" w:lineRule="auto"/>
        <w:jc w:val="both"/>
        <w:rPr>
          <w:rFonts w:ascii="Times New Roman" w:hAnsi="Times New Roman" w:cs="Times New Roman"/>
          <w:sz w:val="24"/>
          <w:szCs w:val="24"/>
        </w:rPr>
      </w:pPr>
      <w:r w:rsidRPr="00201D8B">
        <w:rPr>
          <w:rFonts w:ascii="Times New Roman" w:hAnsi="Times New Roman" w:cs="Times New Roman"/>
          <w:sz w:val="24"/>
          <w:szCs w:val="24"/>
        </w:rPr>
        <w:t xml:space="preserve">The only moveable assets that the court </w:t>
      </w:r>
      <w:r w:rsidRPr="00201D8B">
        <w:rPr>
          <w:rFonts w:ascii="Times New Roman" w:hAnsi="Times New Roman" w:cs="Times New Roman"/>
          <w:i/>
          <w:sz w:val="24"/>
          <w:szCs w:val="24"/>
        </w:rPr>
        <w:t>a quo</w:t>
      </w:r>
      <w:r w:rsidRPr="00201D8B">
        <w:rPr>
          <w:rFonts w:ascii="Times New Roman" w:hAnsi="Times New Roman" w:cs="Times New Roman"/>
          <w:sz w:val="24"/>
          <w:szCs w:val="24"/>
        </w:rPr>
        <w:t xml:space="preserve"> specifically mentioned and considered wer</w:t>
      </w:r>
      <w:r w:rsidR="00B573AA" w:rsidRPr="00201D8B">
        <w:rPr>
          <w:rFonts w:ascii="Times New Roman" w:hAnsi="Times New Roman" w:cs="Times New Roman"/>
          <w:sz w:val="24"/>
          <w:szCs w:val="24"/>
        </w:rPr>
        <w:t>e a Nissan Sunny vehicle, the D</w:t>
      </w:r>
      <w:r w:rsidRPr="00201D8B">
        <w:rPr>
          <w:rFonts w:ascii="Times New Roman" w:hAnsi="Times New Roman" w:cs="Times New Roman"/>
          <w:sz w:val="24"/>
          <w:szCs w:val="24"/>
        </w:rPr>
        <w:t>a</w:t>
      </w:r>
      <w:r w:rsidR="00B573AA" w:rsidRPr="00201D8B">
        <w:rPr>
          <w:rFonts w:ascii="Times New Roman" w:hAnsi="Times New Roman" w:cs="Times New Roman"/>
          <w:sz w:val="24"/>
          <w:szCs w:val="24"/>
        </w:rPr>
        <w:t>i</w:t>
      </w:r>
      <w:r w:rsidRPr="00201D8B">
        <w:rPr>
          <w:rFonts w:ascii="Times New Roman" w:hAnsi="Times New Roman" w:cs="Times New Roman"/>
          <w:sz w:val="24"/>
          <w:szCs w:val="24"/>
        </w:rPr>
        <w:t xml:space="preserve">hatsu Move and two refrigerators.  In respect of the latter the </w:t>
      </w:r>
      <w:r w:rsidR="00B573AA" w:rsidRPr="00201D8B">
        <w:rPr>
          <w:rFonts w:ascii="Times New Roman" w:hAnsi="Times New Roman" w:cs="Times New Roman"/>
          <w:sz w:val="24"/>
          <w:szCs w:val="24"/>
        </w:rPr>
        <w:t xml:space="preserve">learned </w:t>
      </w:r>
      <w:r w:rsidRPr="00201D8B">
        <w:rPr>
          <w:rFonts w:ascii="Times New Roman" w:hAnsi="Times New Roman" w:cs="Times New Roman"/>
          <w:sz w:val="24"/>
          <w:szCs w:val="24"/>
        </w:rPr>
        <w:t>judge stated at page 8 of his judgment;</w:t>
      </w:r>
    </w:p>
    <w:p w:rsidR="0024360E" w:rsidRDefault="0024360E" w:rsidP="00B573AA">
      <w:pPr>
        <w:spacing w:after="0" w:line="240" w:lineRule="auto"/>
        <w:ind w:left="720"/>
        <w:jc w:val="both"/>
        <w:rPr>
          <w:rFonts w:ascii="Times New Roman" w:hAnsi="Times New Roman" w:cs="Times New Roman"/>
          <w:sz w:val="24"/>
          <w:szCs w:val="24"/>
        </w:rPr>
      </w:pPr>
    </w:p>
    <w:p w:rsidR="00F12514" w:rsidRPr="00201D8B" w:rsidRDefault="00F12514" w:rsidP="00B573AA">
      <w:pPr>
        <w:spacing w:after="0" w:line="240" w:lineRule="auto"/>
        <w:ind w:left="720"/>
        <w:jc w:val="both"/>
        <w:rPr>
          <w:rFonts w:ascii="Times New Roman" w:hAnsi="Times New Roman" w:cs="Times New Roman"/>
          <w:sz w:val="24"/>
          <w:szCs w:val="24"/>
        </w:rPr>
      </w:pPr>
      <w:r w:rsidRPr="00201D8B">
        <w:rPr>
          <w:rFonts w:ascii="Times New Roman" w:hAnsi="Times New Roman" w:cs="Times New Roman"/>
          <w:sz w:val="24"/>
          <w:szCs w:val="24"/>
        </w:rPr>
        <w:t>“In respect of household goods the only contested items are the two refrigerators.”</w:t>
      </w:r>
    </w:p>
    <w:p w:rsidR="00F12514" w:rsidRPr="00201D8B" w:rsidRDefault="00F12514" w:rsidP="00F12514">
      <w:pPr>
        <w:spacing w:after="0" w:line="480" w:lineRule="auto"/>
        <w:jc w:val="both"/>
        <w:rPr>
          <w:rFonts w:ascii="Times New Roman" w:hAnsi="Times New Roman" w:cs="Times New Roman"/>
          <w:b/>
          <w:sz w:val="24"/>
          <w:szCs w:val="24"/>
        </w:rPr>
      </w:pPr>
    </w:p>
    <w:p w:rsidR="00F12514" w:rsidRPr="00201D8B" w:rsidRDefault="00F12514" w:rsidP="00F12514">
      <w:pPr>
        <w:spacing w:after="0" w:line="480" w:lineRule="auto"/>
        <w:jc w:val="both"/>
        <w:rPr>
          <w:rFonts w:ascii="Times New Roman" w:hAnsi="Times New Roman" w:cs="Times New Roman"/>
          <w:sz w:val="24"/>
          <w:szCs w:val="24"/>
        </w:rPr>
      </w:pPr>
      <w:r w:rsidRPr="00201D8B">
        <w:rPr>
          <w:rFonts w:ascii="Times New Roman" w:hAnsi="Times New Roman" w:cs="Times New Roman"/>
          <w:b/>
          <w:sz w:val="24"/>
          <w:szCs w:val="24"/>
        </w:rPr>
        <w:tab/>
      </w:r>
      <w:r w:rsidRPr="00201D8B">
        <w:rPr>
          <w:rFonts w:ascii="Times New Roman" w:hAnsi="Times New Roman" w:cs="Times New Roman"/>
          <w:b/>
          <w:sz w:val="24"/>
          <w:szCs w:val="24"/>
        </w:rPr>
        <w:tab/>
      </w:r>
      <w:r w:rsidRPr="00201D8B">
        <w:rPr>
          <w:rFonts w:ascii="Times New Roman" w:hAnsi="Times New Roman" w:cs="Times New Roman"/>
          <w:sz w:val="24"/>
          <w:szCs w:val="24"/>
        </w:rPr>
        <w:t xml:space="preserve">As for the two vehicles, the </w:t>
      </w:r>
      <w:r w:rsidR="00B573AA" w:rsidRPr="00201D8B">
        <w:rPr>
          <w:rFonts w:ascii="Times New Roman" w:hAnsi="Times New Roman" w:cs="Times New Roman"/>
          <w:sz w:val="24"/>
          <w:szCs w:val="24"/>
        </w:rPr>
        <w:t xml:space="preserve">learned </w:t>
      </w:r>
      <w:r w:rsidRPr="00201D8B">
        <w:rPr>
          <w:rFonts w:ascii="Times New Roman" w:hAnsi="Times New Roman" w:cs="Times New Roman"/>
          <w:sz w:val="24"/>
          <w:szCs w:val="24"/>
        </w:rPr>
        <w:t xml:space="preserve">judge analysed the evidence before him and gave </w:t>
      </w:r>
      <w:r w:rsidR="002A567D" w:rsidRPr="00201D8B">
        <w:rPr>
          <w:rFonts w:ascii="Times New Roman" w:hAnsi="Times New Roman" w:cs="Times New Roman"/>
          <w:sz w:val="24"/>
          <w:szCs w:val="24"/>
        </w:rPr>
        <w:t xml:space="preserve">the </w:t>
      </w:r>
      <w:r w:rsidRPr="00201D8B">
        <w:rPr>
          <w:rFonts w:ascii="Times New Roman" w:hAnsi="Times New Roman" w:cs="Times New Roman"/>
          <w:sz w:val="24"/>
          <w:szCs w:val="24"/>
        </w:rPr>
        <w:t xml:space="preserve">reasons for his determination as follows: </w:t>
      </w:r>
    </w:p>
    <w:p w:rsidR="00F12514" w:rsidRPr="00201D8B" w:rsidRDefault="00F12514" w:rsidP="00201D8B">
      <w:pPr>
        <w:spacing w:after="0" w:line="240" w:lineRule="auto"/>
        <w:ind w:left="720"/>
        <w:jc w:val="both"/>
        <w:rPr>
          <w:rFonts w:ascii="Times New Roman" w:hAnsi="Times New Roman" w:cs="Times New Roman"/>
          <w:sz w:val="24"/>
          <w:szCs w:val="24"/>
        </w:rPr>
      </w:pPr>
      <w:r w:rsidRPr="00201D8B">
        <w:rPr>
          <w:rFonts w:ascii="Times New Roman" w:hAnsi="Times New Roman" w:cs="Times New Roman"/>
          <w:sz w:val="24"/>
          <w:szCs w:val="24"/>
        </w:rPr>
        <w:t xml:space="preserve">“As regards the movables, the documentary evidence before the court shows that the Nissan Sunny vehicle was acquired by defendant through a loan from her employer.  It would not constitute her property until the loan was discharged.  It is therefore not subject to distribution.  As for the Daihatsu Move, the documentary evidence shows that the defendant received a substantial retrenchment package from the Reserve Bank in 2004.  She invested the money with Highveld Financial Services.  She subsequently applied for holiday travel allowance.  When the vehicle was imported, she paid for the duty from funds from her </w:t>
      </w:r>
      <w:proofErr w:type="spellStart"/>
      <w:r w:rsidRPr="00201D8B">
        <w:rPr>
          <w:rFonts w:ascii="Times New Roman" w:hAnsi="Times New Roman" w:cs="Times New Roman"/>
          <w:sz w:val="24"/>
          <w:szCs w:val="24"/>
        </w:rPr>
        <w:t>Agribank</w:t>
      </w:r>
      <w:proofErr w:type="spellEnd"/>
      <w:r w:rsidRPr="00201D8B">
        <w:rPr>
          <w:rFonts w:ascii="Times New Roman" w:hAnsi="Times New Roman" w:cs="Times New Roman"/>
          <w:sz w:val="24"/>
          <w:szCs w:val="24"/>
        </w:rPr>
        <w:t xml:space="preserve"> account and in this case she accessed the account through the </w:t>
      </w:r>
      <w:proofErr w:type="spellStart"/>
      <w:r w:rsidRPr="00201D8B">
        <w:rPr>
          <w:rFonts w:ascii="Times New Roman" w:hAnsi="Times New Roman" w:cs="Times New Roman"/>
          <w:sz w:val="24"/>
          <w:szCs w:val="24"/>
        </w:rPr>
        <w:t>Agribank</w:t>
      </w:r>
      <w:proofErr w:type="spellEnd"/>
      <w:r w:rsidRPr="00201D8B">
        <w:rPr>
          <w:rFonts w:ascii="Times New Roman" w:hAnsi="Times New Roman" w:cs="Times New Roman"/>
          <w:sz w:val="24"/>
          <w:szCs w:val="24"/>
        </w:rPr>
        <w:t xml:space="preserve"> branch at </w:t>
      </w:r>
      <w:proofErr w:type="spellStart"/>
      <w:r w:rsidRPr="00201D8B">
        <w:rPr>
          <w:rFonts w:ascii="Times New Roman" w:hAnsi="Times New Roman" w:cs="Times New Roman"/>
          <w:sz w:val="24"/>
          <w:szCs w:val="24"/>
        </w:rPr>
        <w:t>Beitbridge</w:t>
      </w:r>
      <w:proofErr w:type="spellEnd"/>
      <w:r w:rsidRPr="00201D8B">
        <w:rPr>
          <w:rFonts w:ascii="Times New Roman" w:hAnsi="Times New Roman" w:cs="Times New Roman"/>
          <w:sz w:val="24"/>
          <w:szCs w:val="24"/>
        </w:rPr>
        <w:t xml:space="preserve">.  Taking into account that the defendant played a more significant role in the vehicle’s acquisition and the fact that she is going to be awarded custody of the minor child, it is only fair that the Daihatsu Move be awarded to her.” </w:t>
      </w:r>
    </w:p>
    <w:p w:rsidR="00F12514" w:rsidRPr="00201D8B" w:rsidRDefault="00F12514" w:rsidP="00F12514">
      <w:pPr>
        <w:spacing w:after="0" w:line="480" w:lineRule="auto"/>
        <w:jc w:val="both"/>
        <w:rPr>
          <w:rFonts w:ascii="Times New Roman" w:hAnsi="Times New Roman" w:cs="Times New Roman"/>
          <w:sz w:val="24"/>
          <w:szCs w:val="24"/>
        </w:rPr>
      </w:pPr>
    </w:p>
    <w:p w:rsidR="00F12514" w:rsidRPr="00201D8B" w:rsidRDefault="00F12514" w:rsidP="002C56B4">
      <w:pPr>
        <w:spacing w:after="0" w:line="240" w:lineRule="auto"/>
        <w:jc w:val="both"/>
        <w:rPr>
          <w:rFonts w:ascii="Times New Roman" w:hAnsi="Times New Roman" w:cs="Times New Roman"/>
          <w:sz w:val="24"/>
          <w:szCs w:val="24"/>
        </w:rPr>
      </w:pPr>
    </w:p>
    <w:p w:rsidR="00826641" w:rsidRDefault="00DE3710" w:rsidP="002C56B4">
      <w:pPr>
        <w:spacing w:after="0" w:line="480" w:lineRule="auto"/>
        <w:ind w:firstLine="1440"/>
        <w:jc w:val="both"/>
        <w:rPr>
          <w:rFonts w:ascii="Times New Roman" w:hAnsi="Times New Roman" w:cs="Times New Roman"/>
          <w:sz w:val="24"/>
          <w:szCs w:val="24"/>
        </w:rPr>
      </w:pPr>
      <w:r w:rsidRPr="00201D8B">
        <w:rPr>
          <w:rFonts w:ascii="Times New Roman" w:hAnsi="Times New Roman" w:cs="Times New Roman"/>
          <w:sz w:val="24"/>
          <w:szCs w:val="24"/>
        </w:rPr>
        <w:t>T</w:t>
      </w:r>
      <w:r w:rsidR="00F12514" w:rsidRPr="00201D8B">
        <w:rPr>
          <w:rFonts w:ascii="Times New Roman" w:hAnsi="Times New Roman" w:cs="Times New Roman"/>
          <w:sz w:val="24"/>
          <w:szCs w:val="24"/>
        </w:rPr>
        <w:t xml:space="preserve">he appellant has not </w:t>
      </w:r>
      <w:r w:rsidRPr="00201D8B">
        <w:rPr>
          <w:rFonts w:ascii="Times New Roman" w:hAnsi="Times New Roman" w:cs="Times New Roman"/>
          <w:sz w:val="24"/>
          <w:szCs w:val="24"/>
        </w:rPr>
        <w:t xml:space="preserve">specifically </w:t>
      </w:r>
      <w:r w:rsidR="002C56B4" w:rsidRPr="00201D8B">
        <w:rPr>
          <w:rFonts w:ascii="Times New Roman" w:hAnsi="Times New Roman" w:cs="Times New Roman"/>
          <w:sz w:val="24"/>
          <w:szCs w:val="24"/>
        </w:rPr>
        <w:t xml:space="preserve">challenged the </w:t>
      </w:r>
      <w:r w:rsidR="002C56B4" w:rsidRPr="00E34791">
        <w:rPr>
          <w:rFonts w:ascii="Times New Roman" w:hAnsi="Times New Roman" w:cs="Times New Roman"/>
          <w:sz w:val="24"/>
          <w:szCs w:val="24"/>
        </w:rPr>
        <w:t>court</w:t>
      </w:r>
      <w:r w:rsidR="002C56B4" w:rsidRPr="00201D8B">
        <w:rPr>
          <w:rFonts w:ascii="Times New Roman" w:hAnsi="Times New Roman" w:cs="Times New Roman"/>
          <w:i/>
          <w:sz w:val="24"/>
          <w:szCs w:val="24"/>
        </w:rPr>
        <w:t xml:space="preserve"> a </w:t>
      </w:r>
      <w:r w:rsidR="00F12514" w:rsidRPr="00201D8B">
        <w:rPr>
          <w:rFonts w:ascii="Times New Roman" w:hAnsi="Times New Roman" w:cs="Times New Roman"/>
          <w:i/>
          <w:sz w:val="24"/>
          <w:szCs w:val="24"/>
        </w:rPr>
        <w:t>quo’</w:t>
      </w:r>
      <w:r w:rsidR="00F12514" w:rsidRPr="00201D8B">
        <w:rPr>
          <w:rFonts w:ascii="Times New Roman" w:hAnsi="Times New Roman" w:cs="Times New Roman"/>
          <w:sz w:val="24"/>
          <w:szCs w:val="24"/>
        </w:rPr>
        <w:t>s finding and determination in regard to the Nissan Sunny vehicle.</w:t>
      </w:r>
      <w:r w:rsidR="00E34791">
        <w:rPr>
          <w:rFonts w:ascii="Times New Roman" w:hAnsi="Times New Roman" w:cs="Times New Roman"/>
          <w:sz w:val="24"/>
          <w:szCs w:val="24"/>
        </w:rPr>
        <w:t xml:space="preserve"> </w:t>
      </w:r>
      <w:r w:rsidRPr="00201D8B">
        <w:rPr>
          <w:rFonts w:ascii="Times New Roman" w:hAnsi="Times New Roman" w:cs="Times New Roman"/>
          <w:sz w:val="24"/>
          <w:szCs w:val="24"/>
        </w:rPr>
        <w:t xml:space="preserve"> He has possibly included such challenge in his</w:t>
      </w:r>
      <w:r w:rsidR="00F11DB9" w:rsidRPr="00201D8B">
        <w:rPr>
          <w:rFonts w:ascii="Times New Roman" w:hAnsi="Times New Roman" w:cs="Times New Roman"/>
          <w:sz w:val="24"/>
          <w:szCs w:val="24"/>
        </w:rPr>
        <w:t xml:space="preserve"> claim</w:t>
      </w:r>
      <w:r w:rsidRPr="00201D8B">
        <w:rPr>
          <w:rFonts w:ascii="Times New Roman" w:hAnsi="Times New Roman" w:cs="Times New Roman"/>
          <w:sz w:val="24"/>
          <w:szCs w:val="24"/>
        </w:rPr>
        <w:t xml:space="preserve"> for</w:t>
      </w:r>
      <w:r w:rsidR="00F11DB9" w:rsidRPr="00201D8B">
        <w:rPr>
          <w:rFonts w:ascii="Times New Roman" w:hAnsi="Times New Roman" w:cs="Times New Roman"/>
          <w:sz w:val="24"/>
          <w:szCs w:val="24"/>
        </w:rPr>
        <w:t xml:space="preserve"> 50%</w:t>
      </w:r>
      <w:r w:rsidRPr="00201D8B">
        <w:rPr>
          <w:rFonts w:ascii="Times New Roman" w:hAnsi="Times New Roman" w:cs="Times New Roman"/>
          <w:sz w:val="24"/>
          <w:szCs w:val="24"/>
        </w:rPr>
        <w:t xml:space="preserve"> of the value</w:t>
      </w:r>
      <w:r w:rsidR="00F11DB9" w:rsidRPr="00201D8B">
        <w:rPr>
          <w:rFonts w:ascii="Times New Roman" w:hAnsi="Times New Roman" w:cs="Times New Roman"/>
          <w:sz w:val="24"/>
          <w:szCs w:val="24"/>
        </w:rPr>
        <w:t xml:space="preserve"> of all the parties’ moveable assets.</w:t>
      </w:r>
      <w:r w:rsidR="00E34791">
        <w:rPr>
          <w:rFonts w:ascii="Times New Roman" w:hAnsi="Times New Roman" w:cs="Times New Roman"/>
          <w:sz w:val="24"/>
          <w:szCs w:val="24"/>
        </w:rPr>
        <w:t xml:space="preserve">  </w:t>
      </w:r>
      <w:r w:rsidR="00F11DB9" w:rsidRPr="00201D8B">
        <w:rPr>
          <w:rFonts w:ascii="Times New Roman" w:hAnsi="Times New Roman" w:cs="Times New Roman"/>
          <w:sz w:val="24"/>
          <w:szCs w:val="24"/>
        </w:rPr>
        <w:t xml:space="preserve">He argues that the court </w:t>
      </w:r>
      <w:r w:rsidR="00F11DB9" w:rsidRPr="00201D8B">
        <w:rPr>
          <w:rFonts w:ascii="Times New Roman" w:hAnsi="Times New Roman" w:cs="Times New Roman"/>
          <w:i/>
          <w:sz w:val="24"/>
          <w:szCs w:val="24"/>
        </w:rPr>
        <w:t>a quo</w:t>
      </w:r>
      <w:r w:rsidR="00F11DB9" w:rsidRPr="00201D8B">
        <w:rPr>
          <w:rFonts w:ascii="Times New Roman" w:hAnsi="Times New Roman" w:cs="Times New Roman"/>
          <w:sz w:val="24"/>
          <w:szCs w:val="24"/>
        </w:rPr>
        <w:t xml:space="preserve"> misdirected itself in awarding all moveable assets </w:t>
      </w:r>
      <w:r w:rsidRPr="00201D8B">
        <w:rPr>
          <w:rFonts w:ascii="Times New Roman" w:hAnsi="Times New Roman" w:cs="Times New Roman"/>
          <w:sz w:val="24"/>
          <w:szCs w:val="24"/>
        </w:rPr>
        <w:t xml:space="preserve">except </w:t>
      </w:r>
      <w:r w:rsidR="00F11DB9" w:rsidRPr="00201D8B">
        <w:rPr>
          <w:rFonts w:ascii="Times New Roman" w:hAnsi="Times New Roman" w:cs="Times New Roman"/>
          <w:sz w:val="24"/>
          <w:szCs w:val="24"/>
        </w:rPr>
        <w:t>for one refrigerator,</w:t>
      </w:r>
      <w:r w:rsidR="00581D19" w:rsidRPr="00201D8B">
        <w:rPr>
          <w:rFonts w:ascii="Times New Roman" w:hAnsi="Times New Roman" w:cs="Times New Roman"/>
          <w:sz w:val="24"/>
          <w:szCs w:val="24"/>
        </w:rPr>
        <w:t xml:space="preserve"> to the respondent,</w:t>
      </w:r>
      <w:r w:rsidR="00F11DB9" w:rsidRPr="00201D8B">
        <w:rPr>
          <w:rFonts w:ascii="Times New Roman" w:hAnsi="Times New Roman" w:cs="Times New Roman"/>
          <w:sz w:val="24"/>
          <w:szCs w:val="24"/>
        </w:rPr>
        <w:t xml:space="preserve"> thus disregarding his own contribution to</w:t>
      </w:r>
      <w:r w:rsidRPr="00201D8B">
        <w:rPr>
          <w:rFonts w:ascii="Times New Roman" w:hAnsi="Times New Roman" w:cs="Times New Roman"/>
          <w:sz w:val="24"/>
          <w:szCs w:val="24"/>
        </w:rPr>
        <w:t xml:space="preserve"> t</w:t>
      </w:r>
      <w:r w:rsidR="00F11DB9" w:rsidRPr="00201D8B">
        <w:rPr>
          <w:rFonts w:ascii="Times New Roman" w:hAnsi="Times New Roman" w:cs="Times New Roman"/>
          <w:sz w:val="24"/>
          <w:szCs w:val="24"/>
        </w:rPr>
        <w:t xml:space="preserve">he acquisition of such assets.  </w:t>
      </w:r>
    </w:p>
    <w:p w:rsidR="00826641" w:rsidRPr="00826641" w:rsidRDefault="00826641" w:rsidP="0024360E">
      <w:pPr>
        <w:spacing w:after="0" w:line="480" w:lineRule="auto"/>
        <w:ind w:firstLine="720"/>
        <w:jc w:val="both"/>
        <w:rPr>
          <w:rFonts w:ascii="Times New Roman" w:hAnsi="Times New Roman" w:cs="Times New Roman"/>
          <w:sz w:val="24"/>
          <w:szCs w:val="24"/>
        </w:rPr>
      </w:pPr>
      <w:r w:rsidRPr="00826641">
        <w:rPr>
          <w:rFonts w:ascii="Times New Roman" w:hAnsi="Times New Roman" w:cs="Times New Roman"/>
          <w:sz w:val="24"/>
          <w:szCs w:val="24"/>
        </w:rPr>
        <w:t xml:space="preserve">The reasoning of the court </w:t>
      </w:r>
      <w:r w:rsidRPr="00826641">
        <w:rPr>
          <w:rFonts w:ascii="Times New Roman" w:hAnsi="Times New Roman" w:cs="Times New Roman"/>
          <w:i/>
          <w:sz w:val="24"/>
          <w:szCs w:val="24"/>
        </w:rPr>
        <w:t>a quo</w:t>
      </w:r>
      <w:r w:rsidRPr="00826641">
        <w:rPr>
          <w:rFonts w:ascii="Times New Roman" w:hAnsi="Times New Roman" w:cs="Times New Roman"/>
          <w:sz w:val="24"/>
          <w:szCs w:val="24"/>
        </w:rPr>
        <w:t xml:space="preserve"> on the matter of the two motor vehicles,</w:t>
      </w:r>
      <w:r w:rsidR="0024360E">
        <w:rPr>
          <w:rFonts w:ascii="Times New Roman" w:hAnsi="Times New Roman" w:cs="Times New Roman"/>
          <w:sz w:val="24"/>
          <w:szCs w:val="24"/>
        </w:rPr>
        <w:t xml:space="preserve"> including </w:t>
      </w:r>
      <w:r w:rsidRPr="00826641">
        <w:rPr>
          <w:rFonts w:ascii="Times New Roman" w:hAnsi="Times New Roman" w:cs="Times New Roman"/>
          <w:sz w:val="24"/>
          <w:szCs w:val="24"/>
        </w:rPr>
        <w:t xml:space="preserve"> the evidence it relied on and the legal principles applied in reaching the determination it made on these vehicles</w:t>
      </w:r>
      <w:r w:rsidR="0024360E">
        <w:rPr>
          <w:rFonts w:ascii="Times New Roman" w:hAnsi="Times New Roman" w:cs="Times New Roman"/>
          <w:sz w:val="24"/>
          <w:szCs w:val="24"/>
        </w:rPr>
        <w:t>,</w:t>
      </w:r>
      <w:r w:rsidRPr="00826641">
        <w:rPr>
          <w:rFonts w:ascii="Times New Roman" w:hAnsi="Times New Roman" w:cs="Times New Roman"/>
          <w:sz w:val="24"/>
          <w:szCs w:val="24"/>
        </w:rPr>
        <w:t xml:space="preserve"> is well articulated in the excerpt of </w:t>
      </w:r>
      <w:r>
        <w:rPr>
          <w:rFonts w:ascii="Times New Roman" w:hAnsi="Times New Roman" w:cs="Times New Roman"/>
          <w:sz w:val="24"/>
          <w:szCs w:val="24"/>
        </w:rPr>
        <w:t xml:space="preserve">its </w:t>
      </w:r>
      <w:r w:rsidRPr="00826641">
        <w:rPr>
          <w:rFonts w:ascii="Times New Roman" w:hAnsi="Times New Roman" w:cs="Times New Roman"/>
          <w:sz w:val="24"/>
          <w:szCs w:val="24"/>
        </w:rPr>
        <w:t xml:space="preserve">judgment cited above.  Against this </w:t>
      </w:r>
      <w:r w:rsidRPr="00826641">
        <w:rPr>
          <w:rFonts w:ascii="Times New Roman" w:hAnsi="Times New Roman" w:cs="Times New Roman"/>
          <w:sz w:val="24"/>
          <w:szCs w:val="24"/>
        </w:rPr>
        <w:lastRenderedPageBreak/>
        <w:t>sound reasoning, I do not find merit in the appellant’s submission that the principle of fairness was flouted when the court made the awards it did in respect of the two motor vehicles.  The appellant in any case does not charge that the court a quo applied a wrong principle of law, took into account irrelevant factors nor exercised its discretion improperly.</w:t>
      </w:r>
    </w:p>
    <w:p w:rsidR="00826641" w:rsidRPr="00826641" w:rsidRDefault="00826641" w:rsidP="00826641">
      <w:pPr>
        <w:spacing w:after="0" w:line="480" w:lineRule="auto"/>
        <w:ind w:firstLine="1440"/>
        <w:jc w:val="both"/>
        <w:rPr>
          <w:rFonts w:ascii="Times New Roman" w:hAnsi="Times New Roman" w:cs="Times New Roman"/>
          <w:sz w:val="24"/>
          <w:szCs w:val="24"/>
        </w:rPr>
      </w:pPr>
      <w:r w:rsidRPr="00826641">
        <w:rPr>
          <w:rFonts w:ascii="Times New Roman" w:hAnsi="Times New Roman" w:cs="Times New Roman"/>
          <w:sz w:val="24"/>
          <w:szCs w:val="24"/>
        </w:rPr>
        <w:t xml:space="preserve">As already stressed above, these averments and substantiation thereof, are relevant to a determination of whether or not this court will interfere with what in fact would have been the exercise of a wide discretion enjoyed by the court </w:t>
      </w:r>
      <w:r w:rsidRPr="00E34791">
        <w:rPr>
          <w:rFonts w:ascii="Times New Roman" w:hAnsi="Times New Roman" w:cs="Times New Roman"/>
          <w:i/>
          <w:sz w:val="24"/>
          <w:szCs w:val="24"/>
        </w:rPr>
        <w:t>a quo</w:t>
      </w:r>
      <w:r w:rsidRPr="00826641">
        <w:rPr>
          <w:rFonts w:ascii="Times New Roman" w:hAnsi="Times New Roman" w:cs="Times New Roman"/>
          <w:sz w:val="24"/>
          <w:szCs w:val="24"/>
        </w:rPr>
        <w:t xml:space="preserve"> in matters of this nature.</w:t>
      </w:r>
    </w:p>
    <w:p w:rsidR="00826641" w:rsidRDefault="00826641" w:rsidP="002C56B4">
      <w:pPr>
        <w:spacing w:after="0" w:line="480" w:lineRule="auto"/>
        <w:ind w:firstLine="1440"/>
        <w:jc w:val="both"/>
        <w:rPr>
          <w:rFonts w:ascii="Times New Roman" w:hAnsi="Times New Roman" w:cs="Times New Roman"/>
          <w:sz w:val="24"/>
          <w:szCs w:val="24"/>
        </w:rPr>
      </w:pPr>
    </w:p>
    <w:p w:rsidR="0024360E" w:rsidRDefault="00826641" w:rsidP="002C56B4">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 xml:space="preserve">Regarding the rest of the parties’ moveable assets, it is evident from the evidence before the court that the </w:t>
      </w:r>
      <w:r w:rsidR="00F11DB9" w:rsidRPr="00201D8B">
        <w:rPr>
          <w:rFonts w:ascii="Times New Roman" w:hAnsi="Times New Roman" w:cs="Times New Roman"/>
          <w:sz w:val="24"/>
          <w:szCs w:val="24"/>
        </w:rPr>
        <w:t>appellant did not claim 50% of the value</w:t>
      </w:r>
      <w:r>
        <w:rPr>
          <w:rFonts w:ascii="Times New Roman" w:hAnsi="Times New Roman" w:cs="Times New Roman"/>
          <w:sz w:val="24"/>
          <w:szCs w:val="24"/>
        </w:rPr>
        <w:t xml:space="preserve"> thereof. </w:t>
      </w:r>
      <w:r w:rsidR="00E34791">
        <w:rPr>
          <w:rFonts w:ascii="Times New Roman" w:hAnsi="Times New Roman" w:cs="Times New Roman"/>
          <w:sz w:val="24"/>
          <w:szCs w:val="24"/>
        </w:rPr>
        <w:t xml:space="preserve"> </w:t>
      </w:r>
      <w:r>
        <w:rPr>
          <w:rFonts w:ascii="Times New Roman" w:hAnsi="Times New Roman" w:cs="Times New Roman"/>
          <w:sz w:val="24"/>
          <w:szCs w:val="24"/>
        </w:rPr>
        <w:t xml:space="preserve">He </w:t>
      </w:r>
      <w:r w:rsidR="00AC6CC9" w:rsidRPr="00201D8B">
        <w:rPr>
          <w:rFonts w:ascii="Times New Roman" w:hAnsi="Times New Roman" w:cs="Times New Roman"/>
          <w:sz w:val="24"/>
          <w:szCs w:val="24"/>
        </w:rPr>
        <w:t>is only doing so now, on appeal</w:t>
      </w:r>
      <w:r w:rsidR="00F11DB9" w:rsidRPr="00201D8B">
        <w:rPr>
          <w:rFonts w:ascii="Times New Roman" w:hAnsi="Times New Roman" w:cs="Times New Roman"/>
          <w:sz w:val="24"/>
          <w:szCs w:val="24"/>
        </w:rPr>
        <w:t>.</w:t>
      </w:r>
      <w:r w:rsidR="0024360E">
        <w:rPr>
          <w:rFonts w:ascii="Times New Roman" w:hAnsi="Times New Roman" w:cs="Times New Roman"/>
          <w:sz w:val="24"/>
          <w:szCs w:val="24"/>
        </w:rPr>
        <w:t xml:space="preserve"> This is something that, procedurally and as a matter of law, he should not do. </w:t>
      </w:r>
    </w:p>
    <w:p w:rsidR="00F11DB9" w:rsidRPr="00201D8B" w:rsidRDefault="00DE3710" w:rsidP="002C56B4">
      <w:pPr>
        <w:spacing w:after="0" w:line="480" w:lineRule="auto"/>
        <w:ind w:firstLine="1440"/>
        <w:jc w:val="both"/>
        <w:rPr>
          <w:rFonts w:ascii="Times New Roman" w:hAnsi="Times New Roman" w:cs="Times New Roman"/>
          <w:sz w:val="24"/>
          <w:szCs w:val="24"/>
        </w:rPr>
      </w:pPr>
      <w:r w:rsidRPr="00201D8B">
        <w:rPr>
          <w:rFonts w:ascii="Times New Roman" w:hAnsi="Times New Roman" w:cs="Times New Roman"/>
          <w:sz w:val="24"/>
          <w:szCs w:val="24"/>
        </w:rPr>
        <w:t xml:space="preserve">As </w:t>
      </w:r>
      <w:r w:rsidR="00826641">
        <w:rPr>
          <w:rFonts w:ascii="Times New Roman" w:hAnsi="Times New Roman" w:cs="Times New Roman"/>
          <w:sz w:val="24"/>
          <w:szCs w:val="24"/>
        </w:rPr>
        <w:t xml:space="preserve">can be seen </w:t>
      </w:r>
      <w:r w:rsidRPr="00201D8B">
        <w:rPr>
          <w:rFonts w:ascii="Times New Roman" w:hAnsi="Times New Roman" w:cs="Times New Roman"/>
          <w:sz w:val="24"/>
          <w:szCs w:val="24"/>
        </w:rPr>
        <w:t xml:space="preserve">from </w:t>
      </w:r>
      <w:r w:rsidR="00F11DB9" w:rsidRPr="00201D8B">
        <w:rPr>
          <w:rFonts w:ascii="Times New Roman" w:hAnsi="Times New Roman" w:cs="Times New Roman"/>
          <w:sz w:val="24"/>
          <w:szCs w:val="24"/>
        </w:rPr>
        <w:t xml:space="preserve">Annexure “B” to his </w:t>
      </w:r>
      <w:r w:rsidRPr="00201D8B">
        <w:rPr>
          <w:rFonts w:ascii="Times New Roman" w:hAnsi="Times New Roman" w:cs="Times New Roman"/>
          <w:sz w:val="24"/>
          <w:szCs w:val="24"/>
        </w:rPr>
        <w:t>D</w:t>
      </w:r>
      <w:r w:rsidR="00F11DB9" w:rsidRPr="00201D8B">
        <w:rPr>
          <w:rFonts w:ascii="Times New Roman" w:hAnsi="Times New Roman" w:cs="Times New Roman"/>
          <w:sz w:val="24"/>
          <w:szCs w:val="24"/>
        </w:rPr>
        <w:t>eclaration</w:t>
      </w:r>
      <w:r w:rsidRPr="00201D8B">
        <w:rPr>
          <w:rFonts w:ascii="Times New Roman" w:hAnsi="Times New Roman" w:cs="Times New Roman"/>
          <w:sz w:val="24"/>
          <w:szCs w:val="24"/>
        </w:rPr>
        <w:t>, the appellant claimed 8 specific</w:t>
      </w:r>
      <w:r w:rsidR="00AC6CC9" w:rsidRPr="00201D8B">
        <w:rPr>
          <w:rFonts w:ascii="Times New Roman" w:hAnsi="Times New Roman" w:cs="Times New Roman"/>
          <w:sz w:val="24"/>
          <w:szCs w:val="24"/>
        </w:rPr>
        <w:t xml:space="preserve"> items of movable assets, and listed almost double that number of items, </w:t>
      </w:r>
      <w:r w:rsidR="002C56B4" w:rsidRPr="00201D8B">
        <w:rPr>
          <w:rFonts w:ascii="Times New Roman" w:hAnsi="Times New Roman" w:cs="Times New Roman"/>
          <w:sz w:val="24"/>
          <w:szCs w:val="24"/>
        </w:rPr>
        <w:t xml:space="preserve">as those </w:t>
      </w:r>
      <w:r w:rsidR="00AC6CC9" w:rsidRPr="00201D8B">
        <w:rPr>
          <w:rFonts w:ascii="Times New Roman" w:hAnsi="Times New Roman" w:cs="Times New Roman"/>
          <w:sz w:val="24"/>
          <w:szCs w:val="24"/>
        </w:rPr>
        <w:t>that he wished to be awarded to the respondent.</w:t>
      </w:r>
      <w:r w:rsidR="00E34791">
        <w:rPr>
          <w:rFonts w:ascii="Times New Roman" w:hAnsi="Times New Roman" w:cs="Times New Roman"/>
          <w:sz w:val="24"/>
          <w:szCs w:val="24"/>
        </w:rPr>
        <w:t xml:space="preserve">  </w:t>
      </w:r>
      <w:r w:rsidR="00F11DB9" w:rsidRPr="00201D8B">
        <w:rPr>
          <w:rFonts w:ascii="Times New Roman" w:hAnsi="Times New Roman" w:cs="Times New Roman"/>
          <w:sz w:val="24"/>
          <w:szCs w:val="24"/>
        </w:rPr>
        <w:t xml:space="preserve">Even though the values of the various items of property are not indicated, it is safe to assume upon a </w:t>
      </w:r>
      <w:r w:rsidR="00F11DB9" w:rsidRPr="00201D8B">
        <w:rPr>
          <w:rFonts w:ascii="Times New Roman" w:hAnsi="Times New Roman" w:cs="Times New Roman"/>
          <w:i/>
          <w:sz w:val="24"/>
          <w:szCs w:val="24"/>
        </w:rPr>
        <w:t>prima facie</w:t>
      </w:r>
      <w:r w:rsidR="00F11DB9" w:rsidRPr="00201D8B">
        <w:rPr>
          <w:rFonts w:ascii="Times New Roman" w:hAnsi="Times New Roman" w:cs="Times New Roman"/>
          <w:sz w:val="24"/>
          <w:szCs w:val="24"/>
        </w:rPr>
        <w:t xml:space="preserve"> view, that what the appellant claimed did not constitute 50% of the value of the combined movable assets.  In any case, in the joint pre-trial conference minute, it is stated that the plaintiff, by consent of bo</w:t>
      </w:r>
      <w:r w:rsidR="00D66BF8" w:rsidRPr="00201D8B">
        <w:rPr>
          <w:rFonts w:ascii="Times New Roman" w:hAnsi="Times New Roman" w:cs="Times New Roman"/>
          <w:sz w:val="24"/>
          <w:szCs w:val="24"/>
        </w:rPr>
        <w:t xml:space="preserve">th parties, was to </w:t>
      </w:r>
      <w:r w:rsidR="0024360E">
        <w:rPr>
          <w:rFonts w:ascii="Times New Roman" w:hAnsi="Times New Roman" w:cs="Times New Roman"/>
          <w:sz w:val="24"/>
          <w:szCs w:val="24"/>
        </w:rPr>
        <w:t xml:space="preserve">take one </w:t>
      </w:r>
      <w:r w:rsidR="00F11DB9" w:rsidRPr="00201D8B">
        <w:rPr>
          <w:rFonts w:ascii="Times New Roman" w:hAnsi="Times New Roman" w:cs="Times New Roman"/>
          <w:sz w:val="24"/>
          <w:szCs w:val="24"/>
        </w:rPr>
        <w:t>4</w:t>
      </w:r>
      <w:r w:rsidR="00E34791">
        <w:rPr>
          <w:rFonts w:ascii="Times New Roman" w:hAnsi="Times New Roman" w:cs="Times New Roman"/>
          <w:sz w:val="24"/>
          <w:szCs w:val="24"/>
        </w:rPr>
        <w:t xml:space="preserve"> </w:t>
      </w:r>
      <w:r w:rsidR="00F11DB9" w:rsidRPr="00201D8B">
        <w:rPr>
          <w:rFonts w:ascii="Times New Roman" w:hAnsi="Times New Roman" w:cs="Times New Roman"/>
          <w:sz w:val="24"/>
          <w:szCs w:val="24"/>
        </w:rPr>
        <w:t xml:space="preserve">plate </w:t>
      </w:r>
      <w:r w:rsidR="00856E58" w:rsidRPr="00201D8B">
        <w:rPr>
          <w:rFonts w:ascii="Times New Roman" w:hAnsi="Times New Roman" w:cs="Times New Roman"/>
          <w:sz w:val="24"/>
          <w:szCs w:val="24"/>
        </w:rPr>
        <w:t>S</w:t>
      </w:r>
      <w:r w:rsidR="00F11DB9" w:rsidRPr="00201D8B">
        <w:rPr>
          <w:rFonts w:ascii="Times New Roman" w:hAnsi="Times New Roman" w:cs="Times New Roman"/>
          <w:sz w:val="24"/>
          <w:szCs w:val="24"/>
        </w:rPr>
        <w:t xml:space="preserve">uperior stove.  The respondent was to take the bulk of the movable assets, </w:t>
      </w:r>
      <w:r w:rsidR="00856E58" w:rsidRPr="00201D8B">
        <w:rPr>
          <w:rFonts w:ascii="Times New Roman" w:hAnsi="Times New Roman" w:cs="Times New Roman"/>
          <w:sz w:val="24"/>
          <w:szCs w:val="24"/>
        </w:rPr>
        <w:t xml:space="preserve">amounting to some fifteen (15) items. </w:t>
      </w:r>
      <w:r w:rsidR="00F11DB9" w:rsidRPr="00201D8B">
        <w:rPr>
          <w:rFonts w:ascii="Times New Roman" w:hAnsi="Times New Roman" w:cs="Times New Roman"/>
          <w:sz w:val="24"/>
          <w:szCs w:val="24"/>
        </w:rPr>
        <w:t>The pre-trial</w:t>
      </w:r>
      <w:r w:rsidR="00856E58" w:rsidRPr="00201D8B">
        <w:rPr>
          <w:rFonts w:ascii="Times New Roman" w:hAnsi="Times New Roman" w:cs="Times New Roman"/>
          <w:sz w:val="24"/>
          <w:szCs w:val="24"/>
        </w:rPr>
        <w:t xml:space="preserve"> conference</w:t>
      </w:r>
      <w:r w:rsidR="00F11DB9" w:rsidRPr="00201D8B">
        <w:rPr>
          <w:rFonts w:ascii="Times New Roman" w:hAnsi="Times New Roman" w:cs="Times New Roman"/>
          <w:sz w:val="24"/>
          <w:szCs w:val="24"/>
        </w:rPr>
        <w:t xml:space="preserve"> minute shows that </w:t>
      </w:r>
      <w:r w:rsidR="00856E58" w:rsidRPr="00201D8B">
        <w:rPr>
          <w:rFonts w:ascii="Times New Roman" w:hAnsi="Times New Roman" w:cs="Times New Roman"/>
          <w:sz w:val="24"/>
          <w:szCs w:val="24"/>
        </w:rPr>
        <w:t>only the mov</w:t>
      </w:r>
      <w:r w:rsidR="002C56B4" w:rsidRPr="00201D8B">
        <w:rPr>
          <w:rFonts w:ascii="Times New Roman" w:hAnsi="Times New Roman" w:cs="Times New Roman"/>
          <w:sz w:val="24"/>
          <w:szCs w:val="24"/>
        </w:rPr>
        <w:t>e</w:t>
      </w:r>
      <w:r w:rsidR="00856E58" w:rsidRPr="00201D8B">
        <w:rPr>
          <w:rFonts w:ascii="Times New Roman" w:hAnsi="Times New Roman" w:cs="Times New Roman"/>
          <w:sz w:val="24"/>
          <w:szCs w:val="24"/>
        </w:rPr>
        <w:t>able items listed below were contested;</w:t>
      </w:r>
    </w:p>
    <w:p w:rsidR="00F11DB9" w:rsidRPr="00BC367E" w:rsidRDefault="00856E58" w:rsidP="00BC367E">
      <w:pPr>
        <w:pStyle w:val="ListParagraph"/>
        <w:numPr>
          <w:ilvl w:val="0"/>
          <w:numId w:val="22"/>
        </w:numPr>
        <w:spacing w:after="0" w:line="480" w:lineRule="auto"/>
        <w:jc w:val="both"/>
        <w:rPr>
          <w:rFonts w:ascii="Times New Roman" w:hAnsi="Times New Roman" w:cs="Times New Roman"/>
          <w:sz w:val="24"/>
          <w:szCs w:val="24"/>
        </w:rPr>
      </w:pPr>
      <w:r w:rsidRPr="00BC367E">
        <w:rPr>
          <w:rFonts w:ascii="Times New Roman" w:hAnsi="Times New Roman" w:cs="Times New Roman"/>
          <w:sz w:val="24"/>
          <w:szCs w:val="24"/>
        </w:rPr>
        <w:t>t</w:t>
      </w:r>
      <w:r w:rsidR="00F11DB9" w:rsidRPr="00BC367E">
        <w:rPr>
          <w:rFonts w:ascii="Times New Roman" w:hAnsi="Times New Roman" w:cs="Times New Roman"/>
          <w:sz w:val="24"/>
          <w:szCs w:val="24"/>
        </w:rPr>
        <w:t>he two motor vehicles</w:t>
      </w:r>
    </w:p>
    <w:p w:rsidR="00F11DB9" w:rsidRPr="00BC367E" w:rsidRDefault="00F11DB9" w:rsidP="00BC367E">
      <w:pPr>
        <w:pStyle w:val="ListParagraph"/>
        <w:numPr>
          <w:ilvl w:val="0"/>
          <w:numId w:val="22"/>
        </w:numPr>
        <w:spacing w:after="0" w:line="480" w:lineRule="auto"/>
        <w:jc w:val="both"/>
        <w:rPr>
          <w:rFonts w:ascii="Times New Roman" w:hAnsi="Times New Roman" w:cs="Times New Roman"/>
          <w:sz w:val="24"/>
          <w:szCs w:val="24"/>
        </w:rPr>
      </w:pPr>
      <w:r w:rsidRPr="00BC367E">
        <w:rPr>
          <w:rFonts w:ascii="Times New Roman" w:hAnsi="Times New Roman" w:cs="Times New Roman"/>
          <w:sz w:val="24"/>
          <w:szCs w:val="24"/>
        </w:rPr>
        <w:t>1 DC Radio with speakers</w:t>
      </w:r>
    </w:p>
    <w:p w:rsidR="00F11DB9" w:rsidRPr="00BC367E" w:rsidRDefault="00F11DB9" w:rsidP="00BC367E">
      <w:pPr>
        <w:pStyle w:val="ListParagraph"/>
        <w:numPr>
          <w:ilvl w:val="0"/>
          <w:numId w:val="22"/>
        </w:numPr>
        <w:spacing w:after="0" w:line="480" w:lineRule="auto"/>
        <w:jc w:val="both"/>
        <w:rPr>
          <w:rFonts w:ascii="Times New Roman" w:hAnsi="Times New Roman" w:cs="Times New Roman"/>
          <w:sz w:val="24"/>
          <w:szCs w:val="24"/>
        </w:rPr>
      </w:pPr>
      <w:r w:rsidRPr="00BC367E">
        <w:rPr>
          <w:rFonts w:ascii="Times New Roman" w:hAnsi="Times New Roman" w:cs="Times New Roman"/>
          <w:sz w:val="24"/>
          <w:szCs w:val="24"/>
        </w:rPr>
        <w:t>1 home entertainment Radio and</w:t>
      </w:r>
    </w:p>
    <w:p w:rsidR="00F11DB9" w:rsidRPr="00BC367E" w:rsidRDefault="00F11DB9" w:rsidP="00BC367E">
      <w:pPr>
        <w:pStyle w:val="ListParagraph"/>
        <w:numPr>
          <w:ilvl w:val="0"/>
          <w:numId w:val="22"/>
        </w:numPr>
        <w:spacing w:after="0" w:line="480" w:lineRule="auto"/>
        <w:jc w:val="both"/>
        <w:rPr>
          <w:rFonts w:ascii="Times New Roman" w:hAnsi="Times New Roman" w:cs="Times New Roman"/>
          <w:sz w:val="24"/>
          <w:szCs w:val="24"/>
        </w:rPr>
      </w:pPr>
      <w:r w:rsidRPr="00BC367E">
        <w:rPr>
          <w:rFonts w:ascii="Times New Roman" w:hAnsi="Times New Roman" w:cs="Times New Roman"/>
          <w:sz w:val="24"/>
          <w:szCs w:val="24"/>
        </w:rPr>
        <w:lastRenderedPageBreak/>
        <w:t xml:space="preserve">2 </w:t>
      </w:r>
      <w:r w:rsidR="002C56B4" w:rsidRPr="00BC367E">
        <w:rPr>
          <w:rFonts w:ascii="Times New Roman" w:hAnsi="Times New Roman" w:cs="Times New Roman"/>
          <w:sz w:val="24"/>
          <w:szCs w:val="24"/>
        </w:rPr>
        <w:t>refrigerators</w:t>
      </w:r>
    </w:p>
    <w:p w:rsidR="00F11DB9" w:rsidRPr="00201D8B" w:rsidRDefault="00F11DB9" w:rsidP="00F11DB9">
      <w:pPr>
        <w:spacing w:after="0" w:line="480" w:lineRule="auto"/>
        <w:jc w:val="both"/>
        <w:rPr>
          <w:rFonts w:ascii="Times New Roman" w:hAnsi="Times New Roman" w:cs="Times New Roman"/>
          <w:sz w:val="24"/>
          <w:szCs w:val="24"/>
        </w:rPr>
      </w:pPr>
    </w:p>
    <w:p w:rsidR="00D05BA6" w:rsidRPr="00201D8B" w:rsidRDefault="00113285" w:rsidP="00615806">
      <w:pPr>
        <w:spacing w:after="0" w:line="480" w:lineRule="auto"/>
        <w:ind w:firstLine="1440"/>
        <w:jc w:val="both"/>
        <w:rPr>
          <w:rFonts w:ascii="Times New Roman" w:hAnsi="Times New Roman" w:cs="Times New Roman"/>
          <w:sz w:val="24"/>
          <w:szCs w:val="24"/>
        </w:rPr>
      </w:pPr>
      <w:r w:rsidRPr="00201D8B">
        <w:rPr>
          <w:rFonts w:ascii="Times New Roman" w:hAnsi="Times New Roman" w:cs="Times New Roman"/>
          <w:sz w:val="24"/>
          <w:szCs w:val="24"/>
        </w:rPr>
        <w:t xml:space="preserve">The </w:t>
      </w:r>
      <w:r w:rsidR="00B573AA" w:rsidRPr="00201D8B">
        <w:rPr>
          <w:rFonts w:ascii="Times New Roman" w:hAnsi="Times New Roman" w:cs="Times New Roman"/>
          <w:sz w:val="24"/>
          <w:szCs w:val="24"/>
        </w:rPr>
        <w:t xml:space="preserve">learned </w:t>
      </w:r>
      <w:r w:rsidRPr="00201D8B">
        <w:rPr>
          <w:rFonts w:ascii="Times New Roman" w:hAnsi="Times New Roman" w:cs="Times New Roman"/>
          <w:sz w:val="24"/>
          <w:szCs w:val="24"/>
        </w:rPr>
        <w:t xml:space="preserve">judge </w:t>
      </w:r>
      <w:r w:rsidRPr="00201D8B">
        <w:rPr>
          <w:rFonts w:ascii="Times New Roman" w:hAnsi="Times New Roman" w:cs="Times New Roman"/>
          <w:i/>
          <w:sz w:val="24"/>
          <w:szCs w:val="24"/>
        </w:rPr>
        <w:t>a quo</w:t>
      </w:r>
      <w:r w:rsidR="00E34791">
        <w:rPr>
          <w:rFonts w:ascii="Times New Roman" w:hAnsi="Times New Roman" w:cs="Times New Roman"/>
          <w:i/>
          <w:sz w:val="24"/>
          <w:szCs w:val="24"/>
        </w:rPr>
        <w:t xml:space="preserve"> </w:t>
      </w:r>
      <w:r w:rsidR="00F11DB9" w:rsidRPr="00201D8B">
        <w:rPr>
          <w:rFonts w:ascii="Times New Roman" w:hAnsi="Times New Roman" w:cs="Times New Roman"/>
          <w:sz w:val="24"/>
          <w:szCs w:val="24"/>
        </w:rPr>
        <w:t>specifically dealt with the two motor vehicles, as outlined</w:t>
      </w:r>
      <w:r w:rsidRPr="00201D8B">
        <w:rPr>
          <w:rFonts w:ascii="Times New Roman" w:hAnsi="Times New Roman" w:cs="Times New Roman"/>
          <w:sz w:val="24"/>
          <w:szCs w:val="24"/>
        </w:rPr>
        <w:t xml:space="preserve"> above</w:t>
      </w:r>
      <w:r w:rsidR="00F11DB9" w:rsidRPr="00201D8B">
        <w:rPr>
          <w:rFonts w:ascii="Times New Roman" w:hAnsi="Times New Roman" w:cs="Times New Roman"/>
          <w:sz w:val="24"/>
          <w:szCs w:val="24"/>
        </w:rPr>
        <w:t>, as well as the two refrigerators.</w:t>
      </w:r>
      <w:r w:rsidR="00D40714">
        <w:rPr>
          <w:rFonts w:ascii="Times New Roman" w:hAnsi="Times New Roman" w:cs="Times New Roman"/>
          <w:sz w:val="24"/>
          <w:szCs w:val="24"/>
        </w:rPr>
        <w:t xml:space="preserve">  </w:t>
      </w:r>
      <w:r w:rsidR="00996BA1">
        <w:rPr>
          <w:rFonts w:ascii="Times New Roman" w:hAnsi="Times New Roman" w:cs="Times New Roman"/>
          <w:sz w:val="24"/>
          <w:szCs w:val="24"/>
        </w:rPr>
        <w:t xml:space="preserve">While </w:t>
      </w:r>
      <w:r w:rsidR="00F11DB9" w:rsidRPr="00201D8B">
        <w:rPr>
          <w:rFonts w:ascii="Times New Roman" w:hAnsi="Times New Roman" w:cs="Times New Roman"/>
          <w:sz w:val="24"/>
          <w:szCs w:val="24"/>
        </w:rPr>
        <w:t xml:space="preserve">the CD </w:t>
      </w:r>
      <w:r w:rsidR="00996BA1">
        <w:rPr>
          <w:rFonts w:ascii="Times New Roman" w:hAnsi="Times New Roman" w:cs="Times New Roman"/>
          <w:sz w:val="24"/>
          <w:szCs w:val="24"/>
        </w:rPr>
        <w:t>r</w:t>
      </w:r>
      <w:r w:rsidR="00F11DB9" w:rsidRPr="00201D8B">
        <w:rPr>
          <w:rFonts w:ascii="Times New Roman" w:hAnsi="Times New Roman" w:cs="Times New Roman"/>
          <w:sz w:val="24"/>
          <w:szCs w:val="24"/>
        </w:rPr>
        <w:t>adio with speakers and the home entertainment radio</w:t>
      </w:r>
      <w:r w:rsidR="00996BA1">
        <w:rPr>
          <w:rFonts w:ascii="Times New Roman" w:hAnsi="Times New Roman" w:cs="Times New Roman"/>
          <w:sz w:val="24"/>
          <w:szCs w:val="24"/>
        </w:rPr>
        <w:t xml:space="preserve"> were not specifically mentioned by the court </w:t>
      </w:r>
      <w:r w:rsidR="00996BA1" w:rsidRPr="00996BA1">
        <w:rPr>
          <w:rFonts w:ascii="Times New Roman" w:hAnsi="Times New Roman" w:cs="Times New Roman"/>
          <w:i/>
          <w:sz w:val="24"/>
          <w:szCs w:val="24"/>
        </w:rPr>
        <w:t>a quo</w:t>
      </w:r>
      <w:r w:rsidR="00996BA1">
        <w:rPr>
          <w:rFonts w:ascii="Times New Roman" w:hAnsi="Times New Roman" w:cs="Times New Roman"/>
          <w:i/>
          <w:sz w:val="24"/>
          <w:szCs w:val="24"/>
        </w:rPr>
        <w:t xml:space="preserve">, </w:t>
      </w:r>
      <w:r w:rsidR="00996BA1">
        <w:rPr>
          <w:rFonts w:ascii="Times New Roman" w:hAnsi="Times New Roman" w:cs="Times New Roman"/>
          <w:sz w:val="24"/>
          <w:szCs w:val="24"/>
        </w:rPr>
        <w:t xml:space="preserve">its </w:t>
      </w:r>
      <w:r w:rsidR="00F11DB9" w:rsidRPr="00201D8B">
        <w:rPr>
          <w:rFonts w:ascii="Times New Roman" w:hAnsi="Times New Roman" w:cs="Times New Roman"/>
          <w:sz w:val="24"/>
          <w:szCs w:val="24"/>
        </w:rPr>
        <w:t>order in relation to the mov</w:t>
      </w:r>
      <w:r w:rsidR="002C56B4" w:rsidRPr="00201D8B">
        <w:rPr>
          <w:rFonts w:ascii="Times New Roman" w:hAnsi="Times New Roman" w:cs="Times New Roman"/>
          <w:sz w:val="24"/>
          <w:szCs w:val="24"/>
        </w:rPr>
        <w:t>eable assets</w:t>
      </w:r>
      <w:r w:rsidR="00996BA1">
        <w:rPr>
          <w:rFonts w:ascii="Times New Roman" w:hAnsi="Times New Roman" w:cs="Times New Roman"/>
          <w:sz w:val="24"/>
          <w:szCs w:val="24"/>
        </w:rPr>
        <w:t xml:space="preserve"> can only be read to suggest </w:t>
      </w:r>
      <w:r w:rsidR="002C56B4" w:rsidRPr="00201D8B">
        <w:rPr>
          <w:rFonts w:ascii="Times New Roman" w:hAnsi="Times New Roman" w:cs="Times New Roman"/>
          <w:sz w:val="24"/>
          <w:szCs w:val="24"/>
        </w:rPr>
        <w:t>that these two</w:t>
      </w:r>
      <w:r w:rsidR="00F11DB9" w:rsidRPr="00201D8B">
        <w:rPr>
          <w:rFonts w:ascii="Times New Roman" w:hAnsi="Times New Roman" w:cs="Times New Roman"/>
          <w:sz w:val="24"/>
          <w:szCs w:val="24"/>
        </w:rPr>
        <w:t xml:space="preserve"> items of property were added to the list of items </w:t>
      </w:r>
      <w:r w:rsidR="00292EB3">
        <w:rPr>
          <w:rFonts w:ascii="Times New Roman" w:hAnsi="Times New Roman" w:cs="Times New Roman"/>
          <w:sz w:val="24"/>
          <w:szCs w:val="24"/>
        </w:rPr>
        <w:t>which, by consent of the parties, were to</w:t>
      </w:r>
      <w:r w:rsidR="00996BA1">
        <w:rPr>
          <w:rFonts w:ascii="Times New Roman" w:hAnsi="Times New Roman" w:cs="Times New Roman"/>
          <w:sz w:val="24"/>
          <w:szCs w:val="24"/>
        </w:rPr>
        <w:t xml:space="preserve"> be awarded to the respondent. It </w:t>
      </w:r>
      <w:r w:rsidR="00292EB3">
        <w:rPr>
          <w:rFonts w:ascii="Times New Roman" w:hAnsi="Times New Roman" w:cs="Times New Roman"/>
          <w:sz w:val="24"/>
          <w:szCs w:val="24"/>
        </w:rPr>
        <w:t xml:space="preserve">has </w:t>
      </w:r>
      <w:r w:rsidR="00996BA1">
        <w:rPr>
          <w:rFonts w:ascii="Times New Roman" w:hAnsi="Times New Roman" w:cs="Times New Roman"/>
          <w:sz w:val="24"/>
          <w:szCs w:val="24"/>
        </w:rPr>
        <w:t>already been mentioned that</w:t>
      </w:r>
      <w:r w:rsidR="00292EB3">
        <w:rPr>
          <w:rFonts w:ascii="Times New Roman" w:hAnsi="Times New Roman" w:cs="Times New Roman"/>
          <w:sz w:val="24"/>
          <w:szCs w:val="24"/>
        </w:rPr>
        <w:t>,</w:t>
      </w:r>
      <w:r w:rsidR="00E34791">
        <w:rPr>
          <w:rFonts w:ascii="Times New Roman" w:hAnsi="Times New Roman" w:cs="Times New Roman"/>
          <w:sz w:val="24"/>
          <w:szCs w:val="24"/>
        </w:rPr>
        <w:t xml:space="preserve"> </w:t>
      </w:r>
      <w:r w:rsidR="00292EB3" w:rsidRPr="00292EB3">
        <w:rPr>
          <w:rFonts w:ascii="Times New Roman" w:hAnsi="Times New Roman" w:cs="Times New Roman"/>
          <w:sz w:val="24"/>
          <w:szCs w:val="24"/>
        </w:rPr>
        <w:t>in arriving at the awards that he made</w:t>
      </w:r>
      <w:r w:rsidR="00292EB3">
        <w:rPr>
          <w:rFonts w:ascii="Times New Roman" w:hAnsi="Times New Roman" w:cs="Times New Roman"/>
          <w:sz w:val="24"/>
          <w:szCs w:val="24"/>
        </w:rPr>
        <w:t>,</w:t>
      </w:r>
      <w:r w:rsidR="00D40714">
        <w:rPr>
          <w:rFonts w:ascii="Times New Roman" w:hAnsi="Times New Roman" w:cs="Times New Roman"/>
          <w:sz w:val="24"/>
          <w:szCs w:val="24"/>
        </w:rPr>
        <w:t xml:space="preserve"> </w:t>
      </w:r>
      <w:r w:rsidR="00996BA1">
        <w:rPr>
          <w:rFonts w:ascii="Times New Roman" w:hAnsi="Times New Roman" w:cs="Times New Roman"/>
          <w:sz w:val="24"/>
          <w:szCs w:val="24"/>
        </w:rPr>
        <w:t xml:space="preserve">the learned judge </w:t>
      </w:r>
      <w:r w:rsidR="00996BA1" w:rsidRPr="00E34791">
        <w:rPr>
          <w:rFonts w:ascii="Times New Roman" w:hAnsi="Times New Roman" w:cs="Times New Roman"/>
          <w:i/>
          <w:sz w:val="24"/>
          <w:szCs w:val="24"/>
        </w:rPr>
        <w:t>a quo</w:t>
      </w:r>
      <w:r w:rsidR="00996BA1">
        <w:rPr>
          <w:rFonts w:ascii="Times New Roman" w:hAnsi="Times New Roman" w:cs="Times New Roman"/>
          <w:sz w:val="24"/>
          <w:szCs w:val="24"/>
        </w:rPr>
        <w:t xml:space="preserve"> </w:t>
      </w:r>
      <w:r w:rsidR="00E34791">
        <w:rPr>
          <w:rFonts w:ascii="Times New Roman" w:hAnsi="Times New Roman" w:cs="Times New Roman"/>
          <w:sz w:val="24"/>
          <w:szCs w:val="24"/>
        </w:rPr>
        <w:t>exercised</w:t>
      </w:r>
      <w:r w:rsidR="00996BA1">
        <w:rPr>
          <w:rFonts w:ascii="Times New Roman" w:hAnsi="Times New Roman" w:cs="Times New Roman"/>
          <w:sz w:val="24"/>
          <w:szCs w:val="24"/>
        </w:rPr>
        <w:t xml:space="preserve"> his discretion consequent upon an assessment of the evidence placed before him</w:t>
      </w:r>
      <w:r w:rsidR="00292EB3">
        <w:rPr>
          <w:rFonts w:ascii="Times New Roman" w:hAnsi="Times New Roman" w:cs="Times New Roman"/>
          <w:sz w:val="24"/>
          <w:szCs w:val="24"/>
        </w:rPr>
        <w:t xml:space="preserve">. The appellant not having shown that such discretion was improperly </w:t>
      </w:r>
      <w:r w:rsidR="00E34791">
        <w:rPr>
          <w:rFonts w:ascii="Times New Roman" w:hAnsi="Times New Roman" w:cs="Times New Roman"/>
          <w:sz w:val="24"/>
          <w:szCs w:val="24"/>
        </w:rPr>
        <w:t>exercised</w:t>
      </w:r>
      <w:r w:rsidR="00292EB3">
        <w:rPr>
          <w:rFonts w:ascii="Times New Roman" w:hAnsi="Times New Roman" w:cs="Times New Roman"/>
          <w:sz w:val="24"/>
          <w:szCs w:val="24"/>
        </w:rPr>
        <w:t>, I find he has accordingly not proved a case for this court to interfere with such discretion.</w:t>
      </w:r>
      <w:r w:rsidR="00D40714">
        <w:rPr>
          <w:rFonts w:ascii="Times New Roman" w:hAnsi="Times New Roman" w:cs="Times New Roman"/>
          <w:sz w:val="24"/>
          <w:szCs w:val="24"/>
        </w:rPr>
        <w:t xml:space="preserve">  </w:t>
      </w:r>
      <w:r w:rsidR="009A5186">
        <w:rPr>
          <w:rFonts w:ascii="Times New Roman" w:hAnsi="Times New Roman" w:cs="Times New Roman"/>
          <w:sz w:val="24"/>
          <w:szCs w:val="24"/>
        </w:rPr>
        <w:t>R</w:t>
      </w:r>
      <w:r w:rsidR="00D05BA6">
        <w:rPr>
          <w:rFonts w:ascii="Times New Roman" w:hAnsi="Times New Roman" w:cs="Times New Roman"/>
          <w:sz w:val="24"/>
          <w:szCs w:val="24"/>
        </w:rPr>
        <w:t>egard</w:t>
      </w:r>
      <w:r w:rsidR="009A5186">
        <w:rPr>
          <w:rFonts w:ascii="Times New Roman" w:hAnsi="Times New Roman" w:cs="Times New Roman"/>
          <w:sz w:val="24"/>
          <w:szCs w:val="24"/>
        </w:rPr>
        <w:t xml:space="preserve"> in this respect</w:t>
      </w:r>
      <w:r w:rsidR="00D05BA6">
        <w:rPr>
          <w:rFonts w:ascii="Times New Roman" w:hAnsi="Times New Roman" w:cs="Times New Roman"/>
          <w:sz w:val="24"/>
          <w:szCs w:val="24"/>
        </w:rPr>
        <w:t xml:space="preserve"> is</w:t>
      </w:r>
      <w:r w:rsidR="009A5186">
        <w:rPr>
          <w:rFonts w:ascii="Times New Roman" w:hAnsi="Times New Roman" w:cs="Times New Roman"/>
          <w:sz w:val="24"/>
          <w:szCs w:val="24"/>
        </w:rPr>
        <w:t xml:space="preserve"> must be </w:t>
      </w:r>
      <w:r w:rsidR="00D05BA6">
        <w:rPr>
          <w:rFonts w:ascii="Times New Roman" w:hAnsi="Times New Roman" w:cs="Times New Roman"/>
          <w:sz w:val="24"/>
          <w:szCs w:val="24"/>
        </w:rPr>
        <w:t xml:space="preserve">had to the fact that the court </w:t>
      </w:r>
      <w:r w:rsidR="00D05BA6" w:rsidRPr="00D05BA6">
        <w:rPr>
          <w:rFonts w:ascii="Times New Roman" w:hAnsi="Times New Roman" w:cs="Times New Roman"/>
          <w:i/>
          <w:sz w:val="24"/>
          <w:szCs w:val="24"/>
        </w:rPr>
        <w:t>a quo</w:t>
      </w:r>
      <w:r w:rsidR="00D05BA6">
        <w:rPr>
          <w:rFonts w:ascii="Times New Roman" w:hAnsi="Times New Roman" w:cs="Times New Roman"/>
          <w:sz w:val="24"/>
          <w:szCs w:val="24"/>
        </w:rPr>
        <w:t xml:space="preserve"> was not presented with, nor did it consider, a claim</w:t>
      </w:r>
      <w:r w:rsidR="00D40714">
        <w:rPr>
          <w:rFonts w:ascii="Times New Roman" w:hAnsi="Times New Roman" w:cs="Times New Roman"/>
          <w:sz w:val="24"/>
          <w:szCs w:val="24"/>
        </w:rPr>
        <w:t xml:space="preserve"> </w:t>
      </w:r>
      <w:r w:rsidR="00D05BA6" w:rsidRPr="00D40714">
        <w:rPr>
          <w:rFonts w:ascii="Times New Roman" w:hAnsi="Times New Roman" w:cs="Times New Roman"/>
        </w:rPr>
        <w:t>that the appellant now attempts to make on appeal</w:t>
      </w:r>
      <w:r w:rsidR="00D05BA6">
        <w:t xml:space="preserve">, </w:t>
      </w:r>
      <w:r w:rsidR="00D05BA6">
        <w:rPr>
          <w:rFonts w:ascii="Times New Roman" w:hAnsi="Times New Roman" w:cs="Times New Roman"/>
          <w:sz w:val="24"/>
          <w:szCs w:val="24"/>
        </w:rPr>
        <w:t xml:space="preserve">for 50% of the value of the all the parties’ moveable assets. </w:t>
      </w:r>
    </w:p>
    <w:p w:rsidR="00F12514" w:rsidRPr="00201D8B" w:rsidRDefault="00D05BA6" w:rsidP="003F27B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
    <w:p w:rsidR="003F27B0" w:rsidRPr="00201D8B" w:rsidRDefault="00F12514" w:rsidP="00F12514">
      <w:pPr>
        <w:spacing w:after="0" w:line="480" w:lineRule="auto"/>
        <w:jc w:val="both"/>
        <w:rPr>
          <w:rFonts w:ascii="Times New Roman" w:hAnsi="Times New Roman" w:cs="Times New Roman"/>
          <w:sz w:val="24"/>
          <w:szCs w:val="24"/>
        </w:rPr>
      </w:pPr>
      <w:r w:rsidRPr="00201D8B">
        <w:rPr>
          <w:rFonts w:ascii="Times New Roman" w:hAnsi="Times New Roman" w:cs="Times New Roman"/>
          <w:sz w:val="24"/>
          <w:szCs w:val="24"/>
        </w:rPr>
        <w:tab/>
      </w:r>
      <w:r w:rsidRPr="00201D8B">
        <w:rPr>
          <w:rFonts w:ascii="Times New Roman" w:hAnsi="Times New Roman" w:cs="Times New Roman"/>
          <w:sz w:val="24"/>
          <w:szCs w:val="24"/>
        </w:rPr>
        <w:tab/>
        <w:t xml:space="preserve">In the premises, I do not find that the </w:t>
      </w:r>
      <w:r w:rsidR="00B573AA" w:rsidRPr="00201D8B">
        <w:rPr>
          <w:rFonts w:ascii="Times New Roman" w:hAnsi="Times New Roman" w:cs="Times New Roman"/>
          <w:sz w:val="24"/>
          <w:szCs w:val="24"/>
        </w:rPr>
        <w:t xml:space="preserve">learned </w:t>
      </w:r>
      <w:r w:rsidRPr="00201D8B">
        <w:rPr>
          <w:rFonts w:ascii="Times New Roman" w:hAnsi="Times New Roman" w:cs="Times New Roman"/>
          <w:sz w:val="24"/>
          <w:szCs w:val="24"/>
        </w:rPr>
        <w:t xml:space="preserve">judge </w:t>
      </w:r>
      <w:r w:rsidRPr="00201D8B">
        <w:rPr>
          <w:rFonts w:ascii="Times New Roman" w:hAnsi="Times New Roman" w:cs="Times New Roman"/>
          <w:i/>
          <w:sz w:val="24"/>
          <w:szCs w:val="24"/>
        </w:rPr>
        <w:t>a quo</w:t>
      </w:r>
      <w:r w:rsidRPr="00201D8B">
        <w:rPr>
          <w:rFonts w:ascii="Times New Roman" w:hAnsi="Times New Roman" w:cs="Times New Roman"/>
          <w:sz w:val="24"/>
          <w:szCs w:val="24"/>
        </w:rPr>
        <w:t xml:space="preserve"> exercised his discretion erroneously</w:t>
      </w:r>
      <w:r w:rsidR="003F27B0" w:rsidRPr="00201D8B">
        <w:rPr>
          <w:rFonts w:ascii="Times New Roman" w:hAnsi="Times New Roman" w:cs="Times New Roman"/>
          <w:sz w:val="24"/>
          <w:szCs w:val="24"/>
        </w:rPr>
        <w:t xml:space="preserve"> in</w:t>
      </w:r>
      <w:r w:rsidR="00D05BA6">
        <w:rPr>
          <w:rFonts w:ascii="Times New Roman" w:hAnsi="Times New Roman" w:cs="Times New Roman"/>
          <w:sz w:val="24"/>
          <w:szCs w:val="24"/>
        </w:rPr>
        <w:t xml:space="preserve"> arriving at the awards that he made with regard to the parties’ moveable ass</w:t>
      </w:r>
      <w:r w:rsidR="009A5186">
        <w:rPr>
          <w:rFonts w:ascii="Times New Roman" w:hAnsi="Times New Roman" w:cs="Times New Roman"/>
          <w:sz w:val="24"/>
          <w:szCs w:val="24"/>
        </w:rPr>
        <w:t>et</w:t>
      </w:r>
      <w:r w:rsidR="00D05BA6">
        <w:rPr>
          <w:rFonts w:ascii="Times New Roman" w:hAnsi="Times New Roman" w:cs="Times New Roman"/>
          <w:sz w:val="24"/>
          <w:szCs w:val="24"/>
        </w:rPr>
        <w:t>s.</w:t>
      </w:r>
    </w:p>
    <w:p w:rsidR="003F27B0" w:rsidRPr="00201D8B" w:rsidRDefault="003F27B0" w:rsidP="00F12514">
      <w:pPr>
        <w:spacing w:after="0" w:line="480" w:lineRule="auto"/>
        <w:jc w:val="both"/>
        <w:rPr>
          <w:rFonts w:ascii="Times New Roman" w:hAnsi="Times New Roman" w:cs="Times New Roman"/>
          <w:sz w:val="24"/>
          <w:szCs w:val="24"/>
        </w:rPr>
      </w:pPr>
    </w:p>
    <w:p w:rsidR="00F12514" w:rsidRPr="00201D8B" w:rsidRDefault="00F12514" w:rsidP="00A25573">
      <w:pPr>
        <w:spacing w:after="0" w:line="480" w:lineRule="auto"/>
        <w:ind w:left="720" w:firstLine="720"/>
        <w:jc w:val="both"/>
        <w:rPr>
          <w:rFonts w:ascii="Times New Roman" w:hAnsi="Times New Roman" w:cs="Times New Roman"/>
          <w:sz w:val="24"/>
          <w:szCs w:val="24"/>
        </w:rPr>
      </w:pPr>
      <w:r w:rsidRPr="00201D8B">
        <w:rPr>
          <w:rFonts w:ascii="Times New Roman" w:hAnsi="Times New Roman" w:cs="Times New Roman"/>
          <w:sz w:val="24"/>
          <w:szCs w:val="24"/>
        </w:rPr>
        <w:t>This ground of appeal is accordingly dismissed.</w:t>
      </w:r>
    </w:p>
    <w:p w:rsidR="0024360E" w:rsidRDefault="0024360E" w:rsidP="003F27B0">
      <w:pPr>
        <w:spacing w:after="0" w:line="480" w:lineRule="auto"/>
        <w:jc w:val="both"/>
        <w:rPr>
          <w:rFonts w:ascii="Times New Roman" w:hAnsi="Times New Roman" w:cs="Times New Roman"/>
          <w:b/>
          <w:sz w:val="24"/>
          <w:szCs w:val="24"/>
        </w:rPr>
      </w:pPr>
    </w:p>
    <w:p w:rsidR="00D40714" w:rsidRDefault="00D40714" w:rsidP="003F27B0">
      <w:pPr>
        <w:spacing w:after="0" w:line="480" w:lineRule="auto"/>
        <w:jc w:val="both"/>
        <w:rPr>
          <w:rFonts w:ascii="Times New Roman" w:hAnsi="Times New Roman" w:cs="Times New Roman"/>
          <w:b/>
          <w:sz w:val="24"/>
          <w:szCs w:val="24"/>
        </w:rPr>
      </w:pPr>
    </w:p>
    <w:p w:rsidR="003F27B0" w:rsidRPr="00201D8B" w:rsidRDefault="003F27B0" w:rsidP="003F27B0">
      <w:pPr>
        <w:spacing w:after="0" w:line="480" w:lineRule="auto"/>
        <w:jc w:val="both"/>
        <w:rPr>
          <w:rFonts w:ascii="Times New Roman" w:hAnsi="Times New Roman" w:cs="Times New Roman"/>
          <w:b/>
          <w:sz w:val="24"/>
          <w:szCs w:val="24"/>
        </w:rPr>
      </w:pPr>
      <w:r w:rsidRPr="00201D8B">
        <w:rPr>
          <w:rFonts w:ascii="Times New Roman" w:hAnsi="Times New Roman" w:cs="Times New Roman"/>
          <w:b/>
          <w:sz w:val="24"/>
          <w:szCs w:val="24"/>
        </w:rPr>
        <w:t>2.</w:t>
      </w:r>
      <w:r w:rsidR="00E34791">
        <w:rPr>
          <w:rFonts w:ascii="Times New Roman" w:hAnsi="Times New Roman" w:cs="Times New Roman"/>
          <w:b/>
          <w:sz w:val="24"/>
          <w:szCs w:val="24"/>
        </w:rPr>
        <w:tab/>
      </w:r>
      <w:r w:rsidRPr="00201D8B">
        <w:rPr>
          <w:rFonts w:ascii="Times New Roman" w:hAnsi="Times New Roman" w:cs="Times New Roman"/>
          <w:b/>
          <w:sz w:val="24"/>
          <w:szCs w:val="24"/>
        </w:rPr>
        <w:t>STAND 17170 SABLE STREET, BORROWDALE, HARARE</w:t>
      </w:r>
    </w:p>
    <w:p w:rsidR="003F27B0" w:rsidRPr="00201D8B" w:rsidRDefault="003F27B0" w:rsidP="00A25573">
      <w:pPr>
        <w:spacing w:after="0" w:line="240" w:lineRule="auto"/>
        <w:jc w:val="both"/>
        <w:rPr>
          <w:rFonts w:ascii="Times New Roman" w:hAnsi="Times New Roman" w:cs="Times New Roman"/>
          <w:sz w:val="24"/>
          <w:szCs w:val="24"/>
        </w:rPr>
      </w:pPr>
    </w:p>
    <w:p w:rsidR="003F27B0" w:rsidRPr="00201D8B" w:rsidRDefault="003F27B0" w:rsidP="0024360E">
      <w:pPr>
        <w:spacing w:after="0" w:line="480" w:lineRule="auto"/>
        <w:ind w:firstLine="720"/>
        <w:jc w:val="both"/>
        <w:rPr>
          <w:rFonts w:ascii="Times New Roman" w:hAnsi="Times New Roman" w:cs="Times New Roman"/>
          <w:sz w:val="24"/>
          <w:szCs w:val="24"/>
        </w:rPr>
      </w:pPr>
      <w:r w:rsidRPr="00201D8B">
        <w:rPr>
          <w:rFonts w:ascii="Times New Roman" w:hAnsi="Times New Roman" w:cs="Times New Roman"/>
          <w:sz w:val="24"/>
          <w:szCs w:val="24"/>
        </w:rPr>
        <w:t xml:space="preserve">The appellant submits that by awarding </w:t>
      </w:r>
      <w:r w:rsidR="00A66863" w:rsidRPr="00201D8B">
        <w:rPr>
          <w:rFonts w:ascii="Times New Roman" w:hAnsi="Times New Roman" w:cs="Times New Roman"/>
          <w:sz w:val="24"/>
          <w:szCs w:val="24"/>
        </w:rPr>
        <w:t xml:space="preserve">to each of the parties </w:t>
      </w:r>
      <w:r w:rsidRPr="00201D8B">
        <w:rPr>
          <w:rFonts w:ascii="Times New Roman" w:hAnsi="Times New Roman" w:cs="Times New Roman"/>
          <w:sz w:val="24"/>
          <w:szCs w:val="24"/>
        </w:rPr>
        <w:t>a 50% share in this property</w:t>
      </w:r>
      <w:r w:rsidR="00A66863" w:rsidRPr="00201D8B">
        <w:rPr>
          <w:rFonts w:ascii="Times New Roman" w:hAnsi="Times New Roman" w:cs="Times New Roman"/>
          <w:sz w:val="24"/>
          <w:szCs w:val="24"/>
        </w:rPr>
        <w:t>, which was the matrimonial home,</w:t>
      </w:r>
      <w:r w:rsidRPr="00201D8B">
        <w:rPr>
          <w:rFonts w:ascii="Times New Roman" w:hAnsi="Times New Roman" w:cs="Times New Roman"/>
          <w:sz w:val="24"/>
          <w:szCs w:val="24"/>
        </w:rPr>
        <w:t xml:space="preserve"> the court a quo erred as it had placed no weight </w:t>
      </w:r>
      <w:r w:rsidRPr="00201D8B">
        <w:rPr>
          <w:rFonts w:ascii="Times New Roman" w:hAnsi="Times New Roman" w:cs="Times New Roman"/>
          <w:sz w:val="24"/>
          <w:szCs w:val="24"/>
        </w:rPr>
        <w:lastRenderedPageBreak/>
        <w:t xml:space="preserve">on the fact that his direct contribution to the acquisition of the property was “substantially greater”  than the respondent’s.  The appellant also takes issue with the court’s order to the effect that the respondent </w:t>
      </w:r>
      <w:proofErr w:type="gramStart"/>
      <w:r w:rsidRPr="00201D8B">
        <w:rPr>
          <w:rFonts w:ascii="Times New Roman" w:hAnsi="Times New Roman" w:cs="Times New Roman"/>
          <w:sz w:val="24"/>
          <w:szCs w:val="24"/>
        </w:rPr>
        <w:t>be</w:t>
      </w:r>
      <w:proofErr w:type="gramEnd"/>
      <w:r w:rsidRPr="00201D8B">
        <w:rPr>
          <w:rFonts w:ascii="Times New Roman" w:hAnsi="Times New Roman" w:cs="Times New Roman"/>
          <w:sz w:val="24"/>
          <w:szCs w:val="24"/>
        </w:rPr>
        <w:t xml:space="preserve"> allowed to reside in the matrimonial home until the mino</w:t>
      </w:r>
      <w:r w:rsidR="00B573AA" w:rsidRPr="00201D8B">
        <w:rPr>
          <w:rFonts w:ascii="Times New Roman" w:hAnsi="Times New Roman" w:cs="Times New Roman"/>
          <w:sz w:val="24"/>
          <w:szCs w:val="24"/>
        </w:rPr>
        <w:t>r child of the marriage attains</w:t>
      </w:r>
      <w:r w:rsidRPr="00201D8B">
        <w:rPr>
          <w:rFonts w:ascii="Times New Roman" w:hAnsi="Times New Roman" w:cs="Times New Roman"/>
          <w:sz w:val="24"/>
          <w:szCs w:val="24"/>
        </w:rPr>
        <w:t xml:space="preserve"> 18 years, after which the respondent would be given the right of first refusal thereof.</w:t>
      </w:r>
    </w:p>
    <w:p w:rsidR="003F27B0" w:rsidRPr="00201D8B" w:rsidRDefault="003F27B0" w:rsidP="003F27B0">
      <w:pPr>
        <w:spacing w:after="0" w:line="480" w:lineRule="auto"/>
        <w:jc w:val="both"/>
        <w:rPr>
          <w:rFonts w:ascii="Times New Roman" w:hAnsi="Times New Roman" w:cs="Times New Roman"/>
          <w:sz w:val="24"/>
          <w:szCs w:val="24"/>
        </w:rPr>
      </w:pPr>
    </w:p>
    <w:p w:rsidR="003F27B0" w:rsidRPr="00201D8B" w:rsidRDefault="003F27B0" w:rsidP="003F27B0">
      <w:pPr>
        <w:spacing w:after="0" w:line="480" w:lineRule="auto"/>
        <w:jc w:val="both"/>
        <w:rPr>
          <w:rFonts w:ascii="Times New Roman" w:hAnsi="Times New Roman" w:cs="Times New Roman"/>
          <w:sz w:val="24"/>
          <w:szCs w:val="24"/>
        </w:rPr>
      </w:pPr>
      <w:r w:rsidRPr="00201D8B">
        <w:rPr>
          <w:rFonts w:ascii="Times New Roman" w:hAnsi="Times New Roman" w:cs="Times New Roman"/>
          <w:sz w:val="24"/>
          <w:szCs w:val="24"/>
        </w:rPr>
        <w:tab/>
      </w:r>
      <w:r w:rsidRPr="00201D8B">
        <w:rPr>
          <w:rFonts w:ascii="Times New Roman" w:hAnsi="Times New Roman" w:cs="Times New Roman"/>
          <w:sz w:val="24"/>
          <w:szCs w:val="24"/>
        </w:rPr>
        <w:tab/>
        <w:t>The appellant elaborates on these grounds of appeal, in his heads of argument.  He argues;</w:t>
      </w:r>
    </w:p>
    <w:p w:rsidR="007377D7" w:rsidRPr="00201D8B" w:rsidRDefault="007377D7" w:rsidP="003F27B0">
      <w:pPr>
        <w:spacing w:after="0" w:line="480" w:lineRule="auto"/>
        <w:jc w:val="both"/>
        <w:rPr>
          <w:rFonts w:ascii="Times New Roman" w:hAnsi="Times New Roman" w:cs="Times New Roman"/>
          <w:sz w:val="24"/>
          <w:szCs w:val="24"/>
        </w:rPr>
      </w:pPr>
    </w:p>
    <w:p w:rsidR="003F27B0" w:rsidRPr="006E52D9" w:rsidRDefault="003F27B0" w:rsidP="006E52D9">
      <w:pPr>
        <w:pStyle w:val="ListParagraph"/>
        <w:numPr>
          <w:ilvl w:val="0"/>
          <w:numId w:val="21"/>
        </w:numPr>
        <w:spacing w:after="0" w:line="480" w:lineRule="auto"/>
        <w:jc w:val="both"/>
        <w:rPr>
          <w:rFonts w:ascii="Times New Roman" w:hAnsi="Times New Roman" w:cs="Times New Roman"/>
          <w:sz w:val="24"/>
          <w:szCs w:val="24"/>
        </w:rPr>
      </w:pPr>
      <w:r w:rsidRPr="006E52D9">
        <w:rPr>
          <w:rFonts w:ascii="Times New Roman" w:hAnsi="Times New Roman" w:cs="Times New Roman"/>
          <w:sz w:val="24"/>
          <w:szCs w:val="24"/>
        </w:rPr>
        <w:t>that the appellant contributed more than the respondent because his financial position was better than hers</w:t>
      </w:r>
      <w:r w:rsidR="00A66863" w:rsidRPr="006E52D9">
        <w:rPr>
          <w:rFonts w:ascii="Times New Roman" w:hAnsi="Times New Roman" w:cs="Times New Roman"/>
          <w:sz w:val="24"/>
          <w:szCs w:val="24"/>
        </w:rPr>
        <w:t>;</w:t>
      </w:r>
    </w:p>
    <w:p w:rsidR="003F27B0" w:rsidRPr="006E52D9" w:rsidRDefault="003F27B0" w:rsidP="006E52D9">
      <w:pPr>
        <w:pStyle w:val="ListParagraph"/>
        <w:numPr>
          <w:ilvl w:val="0"/>
          <w:numId w:val="21"/>
        </w:numPr>
        <w:spacing w:after="0" w:line="480" w:lineRule="auto"/>
        <w:jc w:val="both"/>
        <w:rPr>
          <w:rFonts w:ascii="Times New Roman" w:hAnsi="Times New Roman" w:cs="Times New Roman"/>
          <w:sz w:val="24"/>
          <w:szCs w:val="24"/>
        </w:rPr>
      </w:pPr>
      <w:r w:rsidRPr="006E52D9">
        <w:rPr>
          <w:rFonts w:ascii="Times New Roman" w:hAnsi="Times New Roman" w:cs="Times New Roman"/>
          <w:sz w:val="24"/>
          <w:szCs w:val="24"/>
        </w:rPr>
        <w:t>that it was the appellant who took the effort to apply for the stand in question</w:t>
      </w:r>
      <w:r w:rsidR="007377D7" w:rsidRPr="006E52D9">
        <w:rPr>
          <w:rFonts w:ascii="Times New Roman" w:hAnsi="Times New Roman" w:cs="Times New Roman"/>
          <w:sz w:val="24"/>
          <w:szCs w:val="24"/>
        </w:rPr>
        <w:t>,</w:t>
      </w:r>
      <w:r w:rsidRPr="006E52D9">
        <w:rPr>
          <w:rFonts w:ascii="Times New Roman" w:hAnsi="Times New Roman" w:cs="Times New Roman"/>
          <w:sz w:val="24"/>
          <w:szCs w:val="24"/>
        </w:rPr>
        <w:t xml:space="preserve"> to the City of Harare, and proceeded thereafter to pay the necessary deposit using his own resources</w:t>
      </w:r>
      <w:r w:rsidR="00805C5B" w:rsidRPr="006E52D9">
        <w:rPr>
          <w:rFonts w:ascii="Times New Roman" w:hAnsi="Times New Roman" w:cs="Times New Roman"/>
          <w:sz w:val="24"/>
          <w:szCs w:val="24"/>
        </w:rPr>
        <w:t>,</w:t>
      </w:r>
      <w:r w:rsidRPr="006E52D9">
        <w:rPr>
          <w:rFonts w:ascii="Times New Roman" w:hAnsi="Times New Roman" w:cs="Times New Roman"/>
          <w:sz w:val="24"/>
          <w:szCs w:val="24"/>
        </w:rPr>
        <w:t xml:space="preserve"> and</w:t>
      </w:r>
      <w:r w:rsidR="00805C5B" w:rsidRPr="006E52D9">
        <w:rPr>
          <w:rFonts w:ascii="Times New Roman" w:hAnsi="Times New Roman" w:cs="Times New Roman"/>
          <w:sz w:val="24"/>
          <w:szCs w:val="24"/>
        </w:rPr>
        <w:t>;</w:t>
      </w:r>
    </w:p>
    <w:p w:rsidR="003F27B0" w:rsidRPr="006E52D9" w:rsidRDefault="003F27B0" w:rsidP="006E52D9">
      <w:pPr>
        <w:pStyle w:val="ListParagraph"/>
        <w:numPr>
          <w:ilvl w:val="0"/>
          <w:numId w:val="21"/>
        </w:numPr>
        <w:spacing w:after="0" w:line="480" w:lineRule="auto"/>
        <w:jc w:val="both"/>
        <w:rPr>
          <w:rFonts w:ascii="Times New Roman" w:hAnsi="Times New Roman" w:cs="Times New Roman"/>
          <w:sz w:val="24"/>
          <w:szCs w:val="24"/>
        </w:rPr>
      </w:pPr>
      <w:proofErr w:type="gramStart"/>
      <w:r w:rsidRPr="006E52D9">
        <w:rPr>
          <w:rFonts w:ascii="Times New Roman" w:hAnsi="Times New Roman" w:cs="Times New Roman"/>
          <w:sz w:val="24"/>
          <w:szCs w:val="24"/>
        </w:rPr>
        <w:t>that</w:t>
      </w:r>
      <w:proofErr w:type="gramEnd"/>
      <w:r w:rsidRPr="006E52D9">
        <w:rPr>
          <w:rFonts w:ascii="Times New Roman" w:hAnsi="Times New Roman" w:cs="Times New Roman"/>
          <w:sz w:val="24"/>
          <w:szCs w:val="24"/>
        </w:rPr>
        <w:t xml:space="preserve"> the respondent’s contribution which was subsequent to the event in (ii) above, took the form of “improvements” to the property.</w:t>
      </w:r>
    </w:p>
    <w:p w:rsidR="003F27B0" w:rsidRPr="00201D8B" w:rsidRDefault="003F27B0" w:rsidP="003F27B0">
      <w:pPr>
        <w:spacing w:after="0" w:line="480" w:lineRule="auto"/>
        <w:jc w:val="both"/>
        <w:rPr>
          <w:rFonts w:ascii="Times New Roman" w:hAnsi="Times New Roman" w:cs="Times New Roman"/>
          <w:sz w:val="24"/>
          <w:szCs w:val="24"/>
        </w:rPr>
      </w:pPr>
    </w:p>
    <w:p w:rsidR="003F27B0" w:rsidRPr="00201D8B" w:rsidRDefault="003F27B0" w:rsidP="00615806">
      <w:pPr>
        <w:spacing w:after="0" w:line="480" w:lineRule="auto"/>
        <w:ind w:firstLine="1440"/>
        <w:jc w:val="both"/>
        <w:rPr>
          <w:rFonts w:ascii="Times New Roman" w:hAnsi="Times New Roman" w:cs="Times New Roman"/>
          <w:sz w:val="24"/>
          <w:szCs w:val="24"/>
        </w:rPr>
      </w:pPr>
      <w:r w:rsidRPr="00201D8B">
        <w:rPr>
          <w:rFonts w:ascii="Times New Roman" w:hAnsi="Times New Roman" w:cs="Times New Roman"/>
          <w:sz w:val="24"/>
          <w:szCs w:val="24"/>
        </w:rPr>
        <w:t>The appellant, as already indicated, accordingly seeks an order that he be awarded 70% and the respondent 30% of the value of the property</w:t>
      </w:r>
      <w:r w:rsidR="00805C5B" w:rsidRPr="00201D8B">
        <w:rPr>
          <w:rFonts w:ascii="Times New Roman" w:hAnsi="Times New Roman" w:cs="Times New Roman"/>
          <w:sz w:val="24"/>
          <w:szCs w:val="24"/>
        </w:rPr>
        <w:t>,</w:t>
      </w:r>
      <w:r w:rsidRPr="00201D8B">
        <w:rPr>
          <w:rFonts w:ascii="Times New Roman" w:hAnsi="Times New Roman" w:cs="Times New Roman"/>
          <w:sz w:val="24"/>
          <w:szCs w:val="24"/>
        </w:rPr>
        <w:t xml:space="preserve"> with the right of first refusal being granted to him.</w:t>
      </w:r>
    </w:p>
    <w:p w:rsidR="003F27B0" w:rsidRPr="00201D8B" w:rsidRDefault="003F27B0" w:rsidP="00E34791">
      <w:pPr>
        <w:spacing w:after="0" w:line="480" w:lineRule="auto"/>
        <w:jc w:val="both"/>
        <w:rPr>
          <w:rFonts w:ascii="Times New Roman" w:hAnsi="Times New Roman" w:cs="Times New Roman"/>
          <w:sz w:val="24"/>
          <w:szCs w:val="24"/>
        </w:rPr>
      </w:pPr>
      <w:r w:rsidRPr="00201D8B">
        <w:rPr>
          <w:rFonts w:ascii="Times New Roman" w:hAnsi="Times New Roman" w:cs="Times New Roman"/>
          <w:sz w:val="24"/>
          <w:szCs w:val="24"/>
        </w:rPr>
        <w:tab/>
      </w:r>
      <w:r w:rsidRPr="00201D8B">
        <w:rPr>
          <w:rFonts w:ascii="Times New Roman" w:hAnsi="Times New Roman" w:cs="Times New Roman"/>
          <w:sz w:val="24"/>
          <w:szCs w:val="24"/>
        </w:rPr>
        <w:tab/>
        <w:t xml:space="preserve">At page </w:t>
      </w:r>
      <w:r w:rsidR="002C56B4" w:rsidRPr="00201D8B">
        <w:rPr>
          <w:rFonts w:ascii="Times New Roman" w:hAnsi="Times New Roman" w:cs="Times New Roman"/>
          <w:sz w:val="24"/>
          <w:szCs w:val="24"/>
        </w:rPr>
        <w:t>6 of his judgment, the learned j</w:t>
      </w:r>
      <w:r w:rsidRPr="00201D8B">
        <w:rPr>
          <w:rFonts w:ascii="Times New Roman" w:hAnsi="Times New Roman" w:cs="Times New Roman"/>
          <w:sz w:val="24"/>
          <w:szCs w:val="24"/>
        </w:rPr>
        <w:t xml:space="preserve">udge </w:t>
      </w:r>
      <w:r w:rsidRPr="00201D8B">
        <w:rPr>
          <w:rFonts w:ascii="Times New Roman" w:hAnsi="Times New Roman" w:cs="Times New Roman"/>
          <w:i/>
          <w:sz w:val="24"/>
          <w:szCs w:val="24"/>
        </w:rPr>
        <w:t>a quo</w:t>
      </w:r>
      <w:r w:rsidRPr="00201D8B">
        <w:rPr>
          <w:rFonts w:ascii="Times New Roman" w:hAnsi="Times New Roman" w:cs="Times New Roman"/>
          <w:sz w:val="24"/>
          <w:szCs w:val="24"/>
        </w:rPr>
        <w:t xml:space="preserve"> gave the reasons for the order that he made in respect </w:t>
      </w:r>
      <w:r w:rsidR="00A66863" w:rsidRPr="00201D8B">
        <w:rPr>
          <w:rFonts w:ascii="Times New Roman" w:hAnsi="Times New Roman" w:cs="Times New Roman"/>
          <w:sz w:val="24"/>
          <w:szCs w:val="24"/>
        </w:rPr>
        <w:t xml:space="preserve">of </w:t>
      </w:r>
      <w:r w:rsidRPr="00201D8B">
        <w:rPr>
          <w:rFonts w:ascii="Times New Roman" w:hAnsi="Times New Roman" w:cs="Times New Roman"/>
          <w:sz w:val="24"/>
          <w:szCs w:val="24"/>
        </w:rPr>
        <w:t>this property as follows;</w:t>
      </w:r>
    </w:p>
    <w:p w:rsidR="00805C5B" w:rsidRPr="00201D8B" w:rsidRDefault="00805C5B" w:rsidP="00A25573">
      <w:pPr>
        <w:spacing w:after="0" w:line="240" w:lineRule="auto"/>
        <w:jc w:val="both"/>
        <w:rPr>
          <w:rFonts w:ascii="Times New Roman" w:hAnsi="Times New Roman" w:cs="Times New Roman"/>
          <w:sz w:val="24"/>
          <w:szCs w:val="24"/>
        </w:rPr>
      </w:pPr>
    </w:p>
    <w:p w:rsidR="003F27B0" w:rsidRPr="00201D8B" w:rsidRDefault="003F27B0" w:rsidP="00615806">
      <w:pPr>
        <w:spacing w:after="0" w:line="240" w:lineRule="auto"/>
        <w:ind w:left="720"/>
        <w:jc w:val="both"/>
        <w:rPr>
          <w:rFonts w:ascii="Times New Roman" w:hAnsi="Times New Roman" w:cs="Times New Roman"/>
          <w:sz w:val="24"/>
          <w:szCs w:val="24"/>
        </w:rPr>
      </w:pPr>
      <w:r w:rsidRPr="00201D8B">
        <w:rPr>
          <w:rFonts w:ascii="Times New Roman" w:hAnsi="Times New Roman" w:cs="Times New Roman"/>
          <w:sz w:val="24"/>
          <w:szCs w:val="24"/>
        </w:rPr>
        <w:t xml:space="preserve">“In accordance with the case of </w:t>
      </w:r>
      <w:proofErr w:type="spellStart"/>
      <w:r w:rsidRPr="00201D8B">
        <w:rPr>
          <w:rFonts w:ascii="Times New Roman" w:hAnsi="Times New Roman" w:cs="Times New Roman"/>
          <w:i/>
          <w:sz w:val="24"/>
          <w:szCs w:val="24"/>
        </w:rPr>
        <w:t>Takafuma</w:t>
      </w:r>
      <w:proofErr w:type="spellEnd"/>
      <w:r w:rsidRPr="00201D8B">
        <w:rPr>
          <w:rFonts w:ascii="Times New Roman" w:hAnsi="Times New Roman" w:cs="Times New Roman"/>
          <w:i/>
          <w:sz w:val="24"/>
          <w:szCs w:val="24"/>
        </w:rPr>
        <w:t xml:space="preserve"> v </w:t>
      </w:r>
      <w:proofErr w:type="spellStart"/>
      <w:r w:rsidRPr="00201D8B">
        <w:rPr>
          <w:rFonts w:ascii="Times New Roman" w:hAnsi="Times New Roman" w:cs="Times New Roman"/>
          <w:i/>
          <w:sz w:val="24"/>
          <w:szCs w:val="24"/>
        </w:rPr>
        <w:t>Takafuma</w:t>
      </w:r>
      <w:proofErr w:type="spellEnd"/>
      <w:r w:rsidRPr="00201D8B">
        <w:rPr>
          <w:rFonts w:ascii="Times New Roman" w:hAnsi="Times New Roman" w:cs="Times New Roman"/>
          <w:i/>
          <w:sz w:val="24"/>
          <w:szCs w:val="24"/>
        </w:rPr>
        <w:t xml:space="preserve"> (supra)</w:t>
      </w:r>
      <w:r w:rsidRPr="00201D8B">
        <w:rPr>
          <w:rFonts w:ascii="Times New Roman" w:hAnsi="Times New Roman" w:cs="Times New Roman"/>
          <w:sz w:val="24"/>
          <w:szCs w:val="24"/>
        </w:rPr>
        <w:t>, the starting point is that the Borrowdale property is jointly owned</w:t>
      </w:r>
      <w:r w:rsidR="00805C5B" w:rsidRPr="00201D8B">
        <w:rPr>
          <w:rFonts w:ascii="Times New Roman" w:hAnsi="Times New Roman" w:cs="Times New Roman"/>
          <w:sz w:val="24"/>
          <w:szCs w:val="24"/>
        </w:rPr>
        <w:t xml:space="preserve"> by the parties. A</w:t>
      </w:r>
      <w:r w:rsidRPr="00201D8B">
        <w:rPr>
          <w:rFonts w:ascii="Times New Roman" w:hAnsi="Times New Roman" w:cs="Times New Roman"/>
          <w:sz w:val="24"/>
          <w:szCs w:val="24"/>
        </w:rPr>
        <w:t>lthough</w:t>
      </w:r>
      <w:r w:rsidR="00805C5B" w:rsidRPr="00201D8B">
        <w:rPr>
          <w:rFonts w:ascii="Times New Roman" w:hAnsi="Times New Roman" w:cs="Times New Roman"/>
          <w:sz w:val="24"/>
          <w:szCs w:val="24"/>
        </w:rPr>
        <w:t xml:space="preserve"> the</w:t>
      </w:r>
      <w:r w:rsidRPr="00201D8B">
        <w:rPr>
          <w:rFonts w:ascii="Times New Roman" w:hAnsi="Times New Roman" w:cs="Times New Roman"/>
          <w:sz w:val="24"/>
          <w:szCs w:val="24"/>
        </w:rPr>
        <w:t xml:space="preserve"> plaintiff claimed a greater share on account of a greater contribution, he did not proffer evidence to prove that.  Each party testified on the nature of contributions they made in respect of the development of the stand without tendering actual receipts on the </w:t>
      </w:r>
      <w:r w:rsidRPr="00201D8B">
        <w:rPr>
          <w:rFonts w:ascii="Times New Roman" w:hAnsi="Times New Roman" w:cs="Times New Roman"/>
          <w:sz w:val="24"/>
          <w:szCs w:val="24"/>
        </w:rPr>
        <w:lastRenderedPageBreak/>
        <w:t xml:space="preserve">payments made.  The court’s overall assessment is that </w:t>
      </w:r>
      <w:proofErr w:type="gramStart"/>
      <w:r w:rsidRPr="00201D8B">
        <w:rPr>
          <w:rFonts w:ascii="Times New Roman" w:hAnsi="Times New Roman" w:cs="Times New Roman"/>
          <w:sz w:val="24"/>
          <w:szCs w:val="24"/>
        </w:rPr>
        <w:t>none</w:t>
      </w:r>
      <w:r w:rsidR="00805C5B" w:rsidRPr="00201D8B">
        <w:rPr>
          <w:rFonts w:ascii="Times New Roman" w:hAnsi="Times New Roman" w:cs="Times New Roman"/>
          <w:i/>
          <w:sz w:val="24"/>
          <w:szCs w:val="24"/>
        </w:rPr>
        <w:t>(</w:t>
      </w:r>
      <w:proofErr w:type="gramEnd"/>
      <w:r w:rsidR="00805C5B" w:rsidRPr="00201D8B">
        <w:rPr>
          <w:rFonts w:ascii="Times New Roman" w:hAnsi="Times New Roman" w:cs="Times New Roman"/>
          <w:i/>
          <w:sz w:val="24"/>
          <w:szCs w:val="24"/>
        </w:rPr>
        <w:t>sic)</w:t>
      </w:r>
      <w:r w:rsidRPr="00201D8B">
        <w:rPr>
          <w:rFonts w:ascii="Times New Roman" w:hAnsi="Times New Roman" w:cs="Times New Roman"/>
          <w:sz w:val="24"/>
          <w:szCs w:val="24"/>
        </w:rPr>
        <w:t xml:space="preserve"> of the parties is entitled to a greater share than the other.  Therefore this property will be apportioned equally to both parties, with defendant being given the right to remain in occupation until the younger child attains majority status.  Thereafter the defendant shall buy out plaintiff’s share failing which that option will be given to plaintiff.” </w:t>
      </w:r>
    </w:p>
    <w:p w:rsidR="003F27B0" w:rsidRPr="00201D8B" w:rsidRDefault="003F27B0" w:rsidP="003F27B0">
      <w:pPr>
        <w:spacing w:after="0" w:line="480" w:lineRule="auto"/>
        <w:jc w:val="both"/>
        <w:rPr>
          <w:rFonts w:ascii="Times New Roman" w:hAnsi="Times New Roman" w:cs="Times New Roman"/>
          <w:sz w:val="24"/>
          <w:szCs w:val="24"/>
        </w:rPr>
      </w:pPr>
    </w:p>
    <w:p w:rsidR="008C5F08" w:rsidRPr="00201D8B" w:rsidRDefault="003F27B0" w:rsidP="008C5F08">
      <w:pPr>
        <w:spacing w:after="0" w:line="480" w:lineRule="auto"/>
        <w:jc w:val="both"/>
        <w:rPr>
          <w:rFonts w:ascii="Times New Roman" w:hAnsi="Times New Roman" w:cs="Times New Roman"/>
          <w:sz w:val="24"/>
          <w:szCs w:val="24"/>
        </w:rPr>
      </w:pPr>
      <w:r w:rsidRPr="00201D8B">
        <w:rPr>
          <w:rFonts w:ascii="Times New Roman" w:hAnsi="Times New Roman" w:cs="Times New Roman"/>
          <w:sz w:val="24"/>
          <w:szCs w:val="24"/>
        </w:rPr>
        <w:tab/>
      </w:r>
      <w:r w:rsidRPr="00201D8B">
        <w:rPr>
          <w:rFonts w:ascii="Times New Roman" w:hAnsi="Times New Roman" w:cs="Times New Roman"/>
          <w:sz w:val="24"/>
          <w:szCs w:val="24"/>
        </w:rPr>
        <w:tab/>
        <w:t xml:space="preserve">It is evident from the above that the learned judge </w:t>
      </w:r>
      <w:r w:rsidRPr="00201D8B">
        <w:rPr>
          <w:rFonts w:ascii="Times New Roman" w:hAnsi="Times New Roman" w:cs="Times New Roman"/>
          <w:i/>
          <w:sz w:val="24"/>
          <w:szCs w:val="24"/>
        </w:rPr>
        <w:t>a quo</w:t>
      </w:r>
      <w:r w:rsidRPr="00201D8B">
        <w:rPr>
          <w:rFonts w:ascii="Times New Roman" w:hAnsi="Times New Roman" w:cs="Times New Roman"/>
          <w:sz w:val="24"/>
          <w:szCs w:val="24"/>
        </w:rPr>
        <w:t xml:space="preserve">, contrary to the assertion made by the appellant in his heads of argument, took guidance from </w:t>
      </w:r>
      <w:r w:rsidR="00805C5B" w:rsidRPr="00201D8B">
        <w:rPr>
          <w:rFonts w:ascii="Times New Roman" w:hAnsi="Times New Roman" w:cs="Times New Roman"/>
          <w:sz w:val="24"/>
          <w:szCs w:val="24"/>
        </w:rPr>
        <w:t xml:space="preserve">the case of </w:t>
      </w:r>
      <w:proofErr w:type="spellStart"/>
      <w:r w:rsidR="00805C5B" w:rsidRPr="00201D8B">
        <w:rPr>
          <w:rFonts w:ascii="Times New Roman" w:hAnsi="Times New Roman" w:cs="Times New Roman"/>
          <w:i/>
          <w:sz w:val="24"/>
          <w:szCs w:val="24"/>
        </w:rPr>
        <w:t>Takafuma</w:t>
      </w:r>
      <w:proofErr w:type="spellEnd"/>
      <w:r w:rsidR="00805C5B" w:rsidRPr="00201D8B">
        <w:rPr>
          <w:rFonts w:ascii="Times New Roman" w:hAnsi="Times New Roman" w:cs="Times New Roman"/>
          <w:i/>
          <w:sz w:val="24"/>
          <w:szCs w:val="24"/>
        </w:rPr>
        <w:t xml:space="preserve"> v </w:t>
      </w:r>
      <w:proofErr w:type="spellStart"/>
      <w:r w:rsidR="00805C5B" w:rsidRPr="00201D8B">
        <w:rPr>
          <w:rFonts w:ascii="Times New Roman" w:hAnsi="Times New Roman" w:cs="Times New Roman"/>
          <w:i/>
          <w:sz w:val="24"/>
          <w:szCs w:val="24"/>
        </w:rPr>
        <w:t>Takafuma</w:t>
      </w:r>
      <w:proofErr w:type="spellEnd"/>
      <w:r w:rsidR="00A66863" w:rsidRPr="00201D8B">
        <w:rPr>
          <w:rFonts w:ascii="Times New Roman" w:hAnsi="Times New Roman" w:cs="Times New Roman"/>
          <w:sz w:val="24"/>
          <w:szCs w:val="24"/>
        </w:rPr>
        <w:t xml:space="preserve">, </w:t>
      </w:r>
      <w:r w:rsidR="00A66863" w:rsidRPr="00201D8B">
        <w:rPr>
          <w:rFonts w:ascii="Times New Roman" w:hAnsi="Times New Roman" w:cs="Times New Roman"/>
          <w:i/>
          <w:sz w:val="24"/>
          <w:szCs w:val="24"/>
        </w:rPr>
        <w:t>1994(2</w:t>
      </w:r>
      <w:proofErr w:type="gramStart"/>
      <w:r w:rsidR="00A66863" w:rsidRPr="00201D8B">
        <w:rPr>
          <w:rFonts w:ascii="Times New Roman" w:hAnsi="Times New Roman" w:cs="Times New Roman"/>
          <w:i/>
          <w:sz w:val="24"/>
          <w:szCs w:val="24"/>
        </w:rPr>
        <w:t>)ZLR</w:t>
      </w:r>
      <w:proofErr w:type="gramEnd"/>
      <w:r w:rsidR="00A66863" w:rsidRPr="00201D8B">
        <w:rPr>
          <w:rFonts w:ascii="Times New Roman" w:hAnsi="Times New Roman" w:cs="Times New Roman"/>
          <w:i/>
          <w:sz w:val="24"/>
          <w:szCs w:val="24"/>
        </w:rPr>
        <w:t xml:space="preserve"> 103 (S)</w:t>
      </w:r>
      <w:r w:rsidR="00A3599D" w:rsidRPr="00201D8B">
        <w:rPr>
          <w:rFonts w:ascii="Times New Roman" w:hAnsi="Times New Roman" w:cs="Times New Roman"/>
          <w:i/>
          <w:sz w:val="24"/>
          <w:szCs w:val="24"/>
        </w:rPr>
        <w:t>.</w:t>
      </w:r>
      <w:r w:rsidRPr="00201D8B">
        <w:rPr>
          <w:rFonts w:ascii="Times New Roman" w:hAnsi="Times New Roman" w:cs="Times New Roman"/>
          <w:sz w:val="24"/>
          <w:szCs w:val="24"/>
        </w:rPr>
        <w:t xml:space="preserve">The learned judge, in taking the starting point in accordance with </w:t>
      </w:r>
      <w:proofErr w:type="spellStart"/>
      <w:r w:rsidRPr="00201D8B">
        <w:rPr>
          <w:rFonts w:ascii="Times New Roman" w:hAnsi="Times New Roman" w:cs="Times New Roman"/>
          <w:i/>
          <w:sz w:val="24"/>
          <w:szCs w:val="24"/>
        </w:rPr>
        <w:t>Takafuma</w:t>
      </w:r>
      <w:proofErr w:type="spellEnd"/>
      <w:r w:rsidRPr="00201D8B">
        <w:rPr>
          <w:rFonts w:ascii="Times New Roman" w:hAnsi="Times New Roman" w:cs="Times New Roman"/>
          <w:i/>
          <w:sz w:val="24"/>
          <w:szCs w:val="24"/>
        </w:rPr>
        <w:t xml:space="preserve"> v </w:t>
      </w:r>
      <w:proofErr w:type="spellStart"/>
      <w:r w:rsidRPr="00201D8B">
        <w:rPr>
          <w:rFonts w:ascii="Times New Roman" w:hAnsi="Times New Roman" w:cs="Times New Roman"/>
          <w:i/>
          <w:sz w:val="24"/>
          <w:szCs w:val="24"/>
        </w:rPr>
        <w:t>Takafuma</w:t>
      </w:r>
      <w:proofErr w:type="spellEnd"/>
      <w:r w:rsidRPr="00201D8B">
        <w:rPr>
          <w:rFonts w:ascii="Times New Roman" w:hAnsi="Times New Roman" w:cs="Times New Roman"/>
          <w:i/>
          <w:sz w:val="24"/>
          <w:szCs w:val="24"/>
        </w:rPr>
        <w:t xml:space="preserve"> (supra)</w:t>
      </w:r>
      <w:r w:rsidRPr="00201D8B">
        <w:rPr>
          <w:rFonts w:ascii="Times New Roman" w:hAnsi="Times New Roman" w:cs="Times New Roman"/>
          <w:sz w:val="24"/>
          <w:szCs w:val="24"/>
        </w:rPr>
        <w:t xml:space="preserve"> in effect started from</w:t>
      </w:r>
      <w:r w:rsidR="00D40714">
        <w:rPr>
          <w:rFonts w:ascii="Times New Roman" w:hAnsi="Times New Roman" w:cs="Times New Roman"/>
          <w:sz w:val="24"/>
          <w:szCs w:val="24"/>
        </w:rPr>
        <w:t xml:space="preserve"> </w:t>
      </w:r>
      <w:r w:rsidR="005B16EA" w:rsidRPr="00201D8B">
        <w:rPr>
          <w:rFonts w:ascii="Times New Roman" w:hAnsi="Times New Roman" w:cs="Times New Roman"/>
          <w:sz w:val="24"/>
          <w:szCs w:val="24"/>
        </w:rPr>
        <w:t xml:space="preserve">the premise that each party owned a 50% share in the property </w:t>
      </w:r>
      <w:r w:rsidRPr="00201D8B">
        <w:rPr>
          <w:rFonts w:ascii="Times New Roman" w:hAnsi="Times New Roman" w:cs="Times New Roman"/>
          <w:sz w:val="24"/>
          <w:szCs w:val="24"/>
        </w:rPr>
        <w:t xml:space="preserve">in question. The submission is correctly made for the respondent that as a registered joint owner of the property, </w:t>
      </w:r>
      <w:r w:rsidR="008C5F08" w:rsidRPr="00201D8B">
        <w:rPr>
          <w:rFonts w:ascii="Times New Roman" w:hAnsi="Times New Roman" w:cs="Times New Roman"/>
          <w:sz w:val="24"/>
          <w:szCs w:val="24"/>
        </w:rPr>
        <w:t xml:space="preserve">she </w:t>
      </w:r>
      <w:r w:rsidRPr="00201D8B">
        <w:rPr>
          <w:rFonts w:ascii="Times New Roman" w:hAnsi="Times New Roman" w:cs="Times New Roman"/>
          <w:sz w:val="24"/>
          <w:szCs w:val="24"/>
        </w:rPr>
        <w:t>had a real right to a half share in the Borrowdale property</w:t>
      </w:r>
      <w:r w:rsidR="008C5F08" w:rsidRPr="00201D8B">
        <w:rPr>
          <w:rFonts w:ascii="Times New Roman" w:hAnsi="Times New Roman" w:cs="Times New Roman"/>
          <w:sz w:val="24"/>
          <w:szCs w:val="24"/>
        </w:rPr>
        <w:t xml:space="preserve">, </w:t>
      </w:r>
      <w:r w:rsidR="00615806" w:rsidRPr="00201D8B">
        <w:rPr>
          <w:rFonts w:ascii="Times New Roman" w:hAnsi="Times New Roman" w:cs="Times New Roman"/>
          <w:sz w:val="24"/>
          <w:szCs w:val="24"/>
        </w:rPr>
        <w:t>even in circumstances where she might have made no direct contribution to its acquisition.</w:t>
      </w:r>
      <w:r w:rsidR="00D40714">
        <w:rPr>
          <w:rFonts w:ascii="Times New Roman" w:hAnsi="Times New Roman" w:cs="Times New Roman"/>
          <w:sz w:val="24"/>
          <w:szCs w:val="24"/>
        </w:rPr>
        <w:t xml:space="preserve">  </w:t>
      </w:r>
      <w:r w:rsidR="008C5F08" w:rsidRPr="00201D8B">
        <w:rPr>
          <w:rFonts w:ascii="Times New Roman" w:hAnsi="Times New Roman" w:cs="Times New Roman"/>
          <w:sz w:val="24"/>
          <w:szCs w:val="24"/>
        </w:rPr>
        <w:t xml:space="preserve">This point is articulated eloquently in </w:t>
      </w:r>
      <w:proofErr w:type="spellStart"/>
      <w:r w:rsidR="008C5F08" w:rsidRPr="00201D8B">
        <w:rPr>
          <w:rFonts w:ascii="Times New Roman" w:hAnsi="Times New Roman" w:cs="Times New Roman"/>
          <w:i/>
          <w:sz w:val="24"/>
          <w:szCs w:val="24"/>
        </w:rPr>
        <w:t>Ncube</w:t>
      </w:r>
      <w:proofErr w:type="spellEnd"/>
      <w:r w:rsidR="008C5F08" w:rsidRPr="00201D8B">
        <w:rPr>
          <w:rFonts w:ascii="Times New Roman" w:hAnsi="Times New Roman" w:cs="Times New Roman"/>
          <w:i/>
          <w:sz w:val="24"/>
          <w:szCs w:val="24"/>
        </w:rPr>
        <w:t xml:space="preserve"> v </w:t>
      </w:r>
      <w:proofErr w:type="spellStart"/>
      <w:r w:rsidR="008C5F08" w:rsidRPr="00201D8B">
        <w:rPr>
          <w:rFonts w:ascii="Times New Roman" w:hAnsi="Times New Roman" w:cs="Times New Roman"/>
          <w:i/>
          <w:sz w:val="24"/>
          <w:szCs w:val="24"/>
        </w:rPr>
        <w:t>Ncube</w:t>
      </w:r>
      <w:proofErr w:type="spellEnd"/>
      <w:r w:rsidR="008C5F08" w:rsidRPr="00201D8B">
        <w:rPr>
          <w:rFonts w:ascii="Times New Roman" w:hAnsi="Times New Roman" w:cs="Times New Roman"/>
          <w:sz w:val="24"/>
          <w:szCs w:val="24"/>
        </w:rPr>
        <w:t xml:space="preserve"> s-6-93 where the learned judge had this to say.</w:t>
      </w:r>
    </w:p>
    <w:p w:rsidR="008C5F08" w:rsidRPr="00201D8B" w:rsidRDefault="008C5F08" w:rsidP="00A25573">
      <w:pPr>
        <w:spacing w:after="0" w:line="240" w:lineRule="auto"/>
        <w:jc w:val="both"/>
        <w:rPr>
          <w:rFonts w:ascii="Times New Roman" w:hAnsi="Times New Roman" w:cs="Times New Roman"/>
          <w:sz w:val="24"/>
          <w:szCs w:val="24"/>
        </w:rPr>
      </w:pPr>
    </w:p>
    <w:p w:rsidR="008C5F08" w:rsidRPr="00201D8B" w:rsidRDefault="008C5F08" w:rsidP="00615806">
      <w:pPr>
        <w:spacing w:after="0" w:line="240" w:lineRule="auto"/>
        <w:ind w:left="720"/>
        <w:jc w:val="both"/>
        <w:rPr>
          <w:rFonts w:ascii="Times New Roman" w:hAnsi="Times New Roman" w:cs="Times New Roman"/>
          <w:sz w:val="24"/>
          <w:szCs w:val="24"/>
        </w:rPr>
      </w:pPr>
      <w:r w:rsidRPr="00201D8B">
        <w:rPr>
          <w:rFonts w:ascii="Times New Roman" w:hAnsi="Times New Roman" w:cs="Times New Roman"/>
          <w:sz w:val="24"/>
          <w:szCs w:val="24"/>
        </w:rPr>
        <w:t xml:space="preserve">“It is incorrect to say that the appellant as a registered joint owner is not entitled to a half share of the value of the </w:t>
      </w:r>
      <w:proofErr w:type="spellStart"/>
      <w:r w:rsidRPr="00201D8B">
        <w:rPr>
          <w:rFonts w:ascii="Times New Roman" w:hAnsi="Times New Roman" w:cs="Times New Roman"/>
          <w:sz w:val="24"/>
          <w:szCs w:val="24"/>
        </w:rPr>
        <w:t>Napia</w:t>
      </w:r>
      <w:proofErr w:type="spellEnd"/>
      <w:r w:rsidRPr="00201D8B">
        <w:rPr>
          <w:rFonts w:ascii="Times New Roman" w:hAnsi="Times New Roman" w:cs="Times New Roman"/>
          <w:sz w:val="24"/>
          <w:szCs w:val="24"/>
        </w:rPr>
        <w:t xml:space="preserve"> Avenue property because she did not contribute money or money’s worth towards the acquisition of the property.  As a registered joint owner she is in law entitled to a half share of the value of that property.”</w:t>
      </w:r>
    </w:p>
    <w:p w:rsidR="008C5F08" w:rsidRPr="00201D8B" w:rsidRDefault="008C5F08" w:rsidP="003F27B0">
      <w:pPr>
        <w:spacing w:after="0" w:line="480" w:lineRule="auto"/>
        <w:jc w:val="both"/>
        <w:rPr>
          <w:rFonts w:ascii="Times New Roman" w:hAnsi="Times New Roman" w:cs="Times New Roman"/>
          <w:sz w:val="24"/>
          <w:szCs w:val="24"/>
        </w:rPr>
      </w:pPr>
    </w:p>
    <w:p w:rsidR="003F27B0" w:rsidRPr="00201D8B" w:rsidRDefault="008C5F08" w:rsidP="00615806">
      <w:pPr>
        <w:spacing w:after="0" w:line="480" w:lineRule="auto"/>
        <w:ind w:firstLine="1440"/>
        <w:jc w:val="both"/>
        <w:rPr>
          <w:rFonts w:ascii="Times New Roman" w:hAnsi="Times New Roman" w:cs="Times New Roman"/>
          <w:sz w:val="24"/>
          <w:szCs w:val="24"/>
        </w:rPr>
      </w:pPr>
      <w:r w:rsidRPr="00201D8B">
        <w:rPr>
          <w:rFonts w:ascii="Times New Roman" w:hAnsi="Times New Roman" w:cs="Times New Roman"/>
          <w:sz w:val="24"/>
          <w:szCs w:val="24"/>
        </w:rPr>
        <w:t xml:space="preserve">Having on the basis of </w:t>
      </w:r>
      <w:proofErr w:type="spellStart"/>
      <w:r w:rsidRPr="00201D8B">
        <w:rPr>
          <w:rFonts w:ascii="Times New Roman" w:hAnsi="Times New Roman" w:cs="Times New Roman"/>
          <w:i/>
          <w:sz w:val="24"/>
          <w:szCs w:val="24"/>
        </w:rPr>
        <w:t>Takafuma</w:t>
      </w:r>
      <w:proofErr w:type="spellEnd"/>
      <w:r w:rsidRPr="00201D8B">
        <w:rPr>
          <w:rFonts w:ascii="Times New Roman" w:hAnsi="Times New Roman" w:cs="Times New Roman"/>
          <w:i/>
          <w:sz w:val="24"/>
          <w:szCs w:val="24"/>
        </w:rPr>
        <w:t xml:space="preserve"> and </w:t>
      </w:r>
      <w:proofErr w:type="spellStart"/>
      <w:r w:rsidRPr="00201D8B">
        <w:rPr>
          <w:rFonts w:ascii="Times New Roman" w:hAnsi="Times New Roman" w:cs="Times New Roman"/>
          <w:i/>
          <w:sz w:val="24"/>
          <w:szCs w:val="24"/>
        </w:rPr>
        <w:t>Takafuma</w:t>
      </w:r>
      <w:proofErr w:type="spellEnd"/>
      <w:r w:rsidR="00E34791">
        <w:rPr>
          <w:rFonts w:ascii="Times New Roman" w:hAnsi="Times New Roman" w:cs="Times New Roman"/>
          <w:i/>
          <w:sz w:val="24"/>
          <w:szCs w:val="24"/>
        </w:rPr>
        <w:t xml:space="preserve"> </w:t>
      </w:r>
      <w:r w:rsidR="003F27B0" w:rsidRPr="00201D8B">
        <w:rPr>
          <w:rFonts w:ascii="Times New Roman" w:hAnsi="Times New Roman" w:cs="Times New Roman"/>
          <w:sz w:val="24"/>
          <w:szCs w:val="24"/>
        </w:rPr>
        <w:t>labelled 50% of the property as “his” and the other 50% as “hers”, the learned judge a quo, using his discretion</w:t>
      </w:r>
      <w:r w:rsidRPr="00201D8B">
        <w:rPr>
          <w:rFonts w:ascii="Times New Roman" w:hAnsi="Times New Roman" w:cs="Times New Roman"/>
          <w:sz w:val="24"/>
          <w:szCs w:val="24"/>
        </w:rPr>
        <w:t>,</w:t>
      </w:r>
      <w:r w:rsidR="003F27B0" w:rsidRPr="00201D8B">
        <w:rPr>
          <w:rFonts w:ascii="Times New Roman" w:hAnsi="Times New Roman" w:cs="Times New Roman"/>
          <w:sz w:val="24"/>
          <w:szCs w:val="24"/>
        </w:rPr>
        <w:t xml:space="preserve"> concluded that the justice and equity of the case did not require </w:t>
      </w:r>
      <w:r w:rsidR="00A3599D" w:rsidRPr="00201D8B">
        <w:rPr>
          <w:rFonts w:ascii="Times New Roman" w:hAnsi="Times New Roman" w:cs="Times New Roman"/>
          <w:sz w:val="24"/>
          <w:szCs w:val="24"/>
        </w:rPr>
        <w:t xml:space="preserve">the court </w:t>
      </w:r>
      <w:r w:rsidR="003F27B0" w:rsidRPr="00201D8B">
        <w:rPr>
          <w:rFonts w:ascii="Times New Roman" w:hAnsi="Times New Roman" w:cs="Times New Roman"/>
          <w:sz w:val="24"/>
          <w:szCs w:val="24"/>
        </w:rPr>
        <w:t>to take away any share from one pa</w:t>
      </w:r>
      <w:r w:rsidR="00A3599D" w:rsidRPr="00201D8B">
        <w:rPr>
          <w:rFonts w:ascii="Times New Roman" w:hAnsi="Times New Roman" w:cs="Times New Roman"/>
          <w:sz w:val="24"/>
          <w:szCs w:val="24"/>
        </w:rPr>
        <w:t xml:space="preserve">rty and award it to the other. </w:t>
      </w:r>
      <w:r w:rsidR="003F27B0" w:rsidRPr="00201D8B">
        <w:rPr>
          <w:rFonts w:ascii="Times New Roman" w:hAnsi="Times New Roman" w:cs="Times New Roman"/>
          <w:sz w:val="24"/>
          <w:szCs w:val="24"/>
        </w:rPr>
        <w:t>This discretion was evidently exercised on the basis of the parties’ evidence regarding their respective contributions.</w:t>
      </w:r>
      <w:r w:rsidR="003F27B0" w:rsidRPr="00201D8B">
        <w:rPr>
          <w:rFonts w:ascii="Times New Roman" w:hAnsi="Times New Roman" w:cs="Times New Roman"/>
          <w:sz w:val="24"/>
          <w:szCs w:val="24"/>
        </w:rPr>
        <w:tab/>
      </w:r>
      <w:r w:rsidR="00273247" w:rsidRPr="00201D8B">
        <w:rPr>
          <w:rFonts w:ascii="Times New Roman" w:hAnsi="Times New Roman" w:cs="Times New Roman"/>
          <w:sz w:val="24"/>
          <w:szCs w:val="24"/>
        </w:rPr>
        <w:t xml:space="preserve">I find </w:t>
      </w:r>
      <w:r w:rsidRPr="00201D8B">
        <w:rPr>
          <w:rFonts w:ascii="Times New Roman" w:hAnsi="Times New Roman" w:cs="Times New Roman"/>
          <w:sz w:val="24"/>
          <w:szCs w:val="24"/>
        </w:rPr>
        <w:t>nothing</w:t>
      </w:r>
      <w:r w:rsidR="00273247" w:rsidRPr="00201D8B">
        <w:rPr>
          <w:rFonts w:ascii="Times New Roman" w:hAnsi="Times New Roman" w:cs="Times New Roman"/>
          <w:sz w:val="24"/>
          <w:szCs w:val="24"/>
        </w:rPr>
        <w:t xml:space="preserve"> in the judgment of the court </w:t>
      </w:r>
      <w:r w:rsidR="00273247" w:rsidRPr="00201D8B">
        <w:rPr>
          <w:rFonts w:ascii="Times New Roman" w:hAnsi="Times New Roman" w:cs="Times New Roman"/>
          <w:i/>
          <w:sz w:val="24"/>
          <w:szCs w:val="24"/>
        </w:rPr>
        <w:t>a quo</w:t>
      </w:r>
      <w:r w:rsidR="00273247" w:rsidRPr="00201D8B">
        <w:rPr>
          <w:rFonts w:ascii="Times New Roman" w:hAnsi="Times New Roman" w:cs="Times New Roman"/>
          <w:sz w:val="24"/>
          <w:szCs w:val="24"/>
        </w:rPr>
        <w:t xml:space="preserve"> to suggest that</w:t>
      </w:r>
      <w:r w:rsidR="00D40714">
        <w:rPr>
          <w:rFonts w:ascii="Times New Roman" w:hAnsi="Times New Roman" w:cs="Times New Roman"/>
          <w:sz w:val="24"/>
          <w:szCs w:val="24"/>
        </w:rPr>
        <w:t xml:space="preserve"> </w:t>
      </w:r>
      <w:r w:rsidR="00273247" w:rsidRPr="00201D8B">
        <w:rPr>
          <w:rFonts w:ascii="Times New Roman" w:hAnsi="Times New Roman" w:cs="Times New Roman"/>
          <w:sz w:val="24"/>
          <w:szCs w:val="24"/>
        </w:rPr>
        <w:t xml:space="preserve">the </w:t>
      </w:r>
      <w:r w:rsidR="003F27B0" w:rsidRPr="00201D8B">
        <w:rPr>
          <w:rFonts w:ascii="Times New Roman" w:hAnsi="Times New Roman" w:cs="Times New Roman"/>
          <w:sz w:val="24"/>
          <w:szCs w:val="24"/>
        </w:rPr>
        <w:t xml:space="preserve">appellant’s role in applying for and paying deposit on, the property </w:t>
      </w:r>
      <w:r w:rsidR="00273247" w:rsidRPr="00201D8B">
        <w:rPr>
          <w:rFonts w:ascii="Times New Roman" w:hAnsi="Times New Roman" w:cs="Times New Roman"/>
          <w:sz w:val="24"/>
          <w:szCs w:val="24"/>
        </w:rPr>
        <w:t xml:space="preserve">in </w:t>
      </w:r>
      <w:proofErr w:type="gramStart"/>
      <w:r w:rsidR="003F27B0" w:rsidRPr="00201D8B">
        <w:rPr>
          <w:rFonts w:ascii="Times New Roman" w:hAnsi="Times New Roman" w:cs="Times New Roman"/>
          <w:sz w:val="24"/>
          <w:szCs w:val="24"/>
        </w:rPr>
        <w:t>question</w:t>
      </w:r>
      <w:r w:rsidR="00273247" w:rsidRPr="00201D8B">
        <w:rPr>
          <w:rFonts w:ascii="Times New Roman" w:hAnsi="Times New Roman" w:cs="Times New Roman"/>
          <w:sz w:val="24"/>
          <w:szCs w:val="24"/>
        </w:rPr>
        <w:t>,</w:t>
      </w:r>
      <w:proofErr w:type="gramEnd"/>
      <w:r w:rsidR="00273247" w:rsidRPr="00201D8B">
        <w:rPr>
          <w:rFonts w:ascii="Times New Roman" w:hAnsi="Times New Roman" w:cs="Times New Roman"/>
          <w:sz w:val="24"/>
          <w:szCs w:val="24"/>
        </w:rPr>
        <w:t xml:space="preserve"> was not</w:t>
      </w:r>
      <w:r w:rsidR="00D40714">
        <w:rPr>
          <w:rFonts w:ascii="Times New Roman" w:hAnsi="Times New Roman" w:cs="Times New Roman"/>
          <w:sz w:val="24"/>
          <w:szCs w:val="24"/>
        </w:rPr>
        <w:t xml:space="preserve"> </w:t>
      </w:r>
      <w:r w:rsidR="00273247" w:rsidRPr="00201D8B">
        <w:rPr>
          <w:rFonts w:ascii="Times New Roman" w:hAnsi="Times New Roman" w:cs="Times New Roman"/>
          <w:sz w:val="24"/>
          <w:szCs w:val="24"/>
        </w:rPr>
        <w:t xml:space="preserve">properly taken into account in assessing his </w:t>
      </w:r>
      <w:r w:rsidR="003F27B0" w:rsidRPr="00201D8B">
        <w:rPr>
          <w:rFonts w:ascii="Times New Roman" w:hAnsi="Times New Roman" w:cs="Times New Roman"/>
          <w:sz w:val="24"/>
          <w:szCs w:val="24"/>
        </w:rPr>
        <w:t>overall contribution</w:t>
      </w:r>
      <w:r w:rsidR="00273247" w:rsidRPr="00201D8B">
        <w:rPr>
          <w:rFonts w:ascii="Times New Roman" w:hAnsi="Times New Roman" w:cs="Times New Roman"/>
          <w:sz w:val="24"/>
          <w:szCs w:val="24"/>
        </w:rPr>
        <w:t xml:space="preserve"> to its acquisition. </w:t>
      </w:r>
      <w:r w:rsidR="003F27B0" w:rsidRPr="00201D8B">
        <w:rPr>
          <w:rFonts w:ascii="Times New Roman" w:hAnsi="Times New Roman" w:cs="Times New Roman"/>
          <w:sz w:val="24"/>
          <w:szCs w:val="24"/>
        </w:rPr>
        <w:t>No misdirection on the basis of mistaken facts or error has been alle</w:t>
      </w:r>
      <w:r w:rsidR="00273247" w:rsidRPr="00201D8B">
        <w:rPr>
          <w:rFonts w:ascii="Times New Roman" w:hAnsi="Times New Roman" w:cs="Times New Roman"/>
          <w:sz w:val="24"/>
          <w:szCs w:val="24"/>
        </w:rPr>
        <w:t xml:space="preserve">ged. </w:t>
      </w:r>
      <w:r w:rsidR="003F27B0" w:rsidRPr="00201D8B">
        <w:rPr>
          <w:rFonts w:ascii="Times New Roman" w:hAnsi="Times New Roman" w:cs="Times New Roman"/>
          <w:sz w:val="24"/>
          <w:szCs w:val="24"/>
        </w:rPr>
        <w:t xml:space="preserve">I am satisfied the learned judge a quo properly exercised his discretion.  I accordingly find that </w:t>
      </w:r>
      <w:r w:rsidR="003F27B0" w:rsidRPr="00201D8B">
        <w:rPr>
          <w:rFonts w:ascii="Times New Roman" w:hAnsi="Times New Roman" w:cs="Times New Roman"/>
          <w:sz w:val="24"/>
          <w:szCs w:val="24"/>
        </w:rPr>
        <w:lastRenderedPageBreak/>
        <w:t xml:space="preserve">no case has been made for this court to interfere with the decision of the court </w:t>
      </w:r>
      <w:r w:rsidR="003F27B0" w:rsidRPr="00201D8B">
        <w:rPr>
          <w:rFonts w:ascii="Times New Roman" w:hAnsi="Times New Roman" w:cs="Times New Roman"/>
          <w:i/>
          <w:sz w:val="24"/>
          <w:szCs w:val="24"/>
        </w:rPr>
        <w:t>a quo</w:t>
      </w:r>
      <w:r w:rsidR="003F27B0" w:rsidRPr="00201D8B">
        <w:rPr>
          <w:rFonts w:ascii="Times New Roman" w:hAnsi="Times New Roman" w:cs="Times New Roman"/>
          <w:sz w:val="24"/>
          <w:szCs w:val="24"/>
        </w:rPr>
        <w:t xml:space="preserve"> on this point.  It follows from this that the appellant’s </w:t>
      </w:r>
      <w:proofErr w:type="gramStart"/>
      <w:r w:rsidR="003F27B0" w:rsidRPr="00201D8B">
        <w:rPr>
          <w:rFonts w:ascii="Times New Roman" w:hAnsi="Times New Roman" w:cs="Times New Roman"/>
          <w:sz w:val="24"/>
          <w:szCs w:val="24"/>
        </w:rPr>
        <w:t>claim for 70% of the value of the property</w:t>
      </w:r>
      <w:r w:rsidR="00273247" w:rsidRPr="00201D8B">
        <w:rPr>
          <w:rFonts w:ascii="Times New Roman" w:hAnsi="Times New Roman" w:cs="Times New Roman"/>
          <w:sz w:val="24"/>
          <w:szCs w:val="24"/>
        </w:rPr>
        <w:t>,</w:t>
      </w:r>
      <w:r w:rsidR="003F27B0" w:rsidRPr="00201D8B">
        <w:rPr>
          <w:rFonts w:ascii="Times New Roman" w:hAnsi="Times New Roman" w:cs="Times New Roman"/>
          <w:sz w:val="24"/>
          <w:szCs w:val="24"/>
        </w:rPr>
        <w:t xml:space="preserve"> followed by a right of first refusal in his favour</w:t>
      </w:r>
      <w:proofErr w:type="gramEnd"/>
      <w:r w:rsidR="003F27B0" w:rsidRPr="00201D8B">
        <w:rPr>
          <w:rFonts w:ascii="Times New Roman" w:hAnsi="Times New Roman" w:cs="Times New Roman"/>
          <w:sz w:val="24"/>
          <w:szCs w:val="24"/>
        </w:rPr>
        <w:t>, is equally without merit.</w:t>
      </w:r>
    </w:p>
    <w:p w:rsidR="003F27B0" w:rsidRPr="00201D8B" w:rsidRDefault="003F27B0" w:rsidP="003F27B0">
      <w:pPr>
        <w:spacing w:after="0" w:line="480" w:lineRule="auto"/>
        <w:jc w:val="both"/>
        <w:rPr>
          <w:rFonts w:ascii="Times New Roman" w:hAnsi="Times New Roman" w:cs="Times New Roman"/>
          <w:sz w:val="24"/>
          <w:szCs w:val="24"/>
        </w:rPr>
      </w:pPr>
    </w:p>
    <w:p w:rsidR="005B16EA" w:rsidRPr="00201D8B" w:rsidRDefault="003F27B0" w:rsidP="003F27B0">
      <w:pPr>
        <w:spacing w:after="0" w:line="480" w:lineRule="auto"/>
        <w:jc w:val="both"/>
        <w:rPr>
          <w:rFonts w:ascii="Times New Roman" w:hAnsi="Times New Roman" w:cs="Times New Roman"/>
          <w:sz w:val="24"/>
          <w:szCs w:val="24"/>
        </w:rPr>
      </w:pPr>
      <w:r w:rsidRPr="00201D8B">
        <w:rPr>
          <w:rFonts w:ascii="Times New Roman" w:hAnsi="Times New Roman" w:cs="Times New Roman"/>
          <w:sz w:val="24"/>
          <w:szCs w:val="24"/>
        </w:rPr>
        <w:tab/>
      </w:r>
      <w:r w:rsidRPr="00201D8B">
        <w:rPr>
          <w:rFonts w:ascii="Times New Roman" w:hAnsi="Times New Roman" w:cs="Times New Roman"/>
          <w:sz w:val="24"/>
          <w:szCs w:val="24"/>
        </w:rPr>
        <w:tab/>
        <w:t xml:space="preserve">The appellant </w:t>
      </w:r>
      <w:r w:rsidR="00566D34" w:rsidRPr="00201D8B">
        <w:rPr>
          <w:rFonts w:ascii="Times New Roman" w:hAnsi="Times New Roman" w:cs="Times New Roman"/>
          <w:sz w:val="24"/>
          <w:szCs w:val="24"/>
        </w:rPr>
        <w:t xml:space="preserve">further </w:t>
      </w:r>
      <w:r w:rsidRPr="00201D8B">
        <w:rPr>
          <w:rFonts w:ascii="Times New Roman" w:hAnsi="Times New Roman" w:cs="Times New Roman"/>
          <w:sz w:val="24"/>
          <w:szCs w:val="24"/>
        </w:rPr>
        <w:t>argues that the court erred by granting the respondent a right of occupation of the matrimonial home, in disregard of the fact that his contribution to the acquisition of the property was greater than the respondent’s.  I find this argument to be flawed in two respects.  Firstly the court a quo’s finding was that, on the facts presented and after applying the relevant principles of law, the parties were entitled to an equal share in the property.  Secondly and more to the point, the decision that the respondent</w:t>
      </w:r>
      <w:r w:rsidR="00D40714">
        <w:rPr>
          <w:rFonts w:ascii="Times New Roman" w:hAnsi="Times New Roman" w:cs="Times New Roman"/>
          <w:sz w:val="24"/>
          <w:szCs w:val="24"/>
        </w:rPr>
        <w:t xml:space="preserve"> </w:t>
      </w:r>
      <w:r w:rsidRPr="00201D8B">
        <w:rPr>
          <w:rFonts w:ascii="Times New Roman" w:hAnsi="Times New Roman" w:cs="Times New Roman"/>
          <w:sz w:val="24"/>
          <w:szCs w:val="24"/>
        </w:rPr>
        <w:t>should stay in the matrimonial home until the minor child attained the age of 18 years was influenced more (and properly</w:t>
      </w:r>
      <w:r w:rsidR="00566D34" w:rsidRPr="00201D8B">
        <w:rPr>
          <w:rFonts w:ascii="Times New Roman" w:hAnsi="Times New Roman" w:cs="Times New Roman"/>
          <w:sz w:val="24"/>
          <w:szCs w:val="24"/>
        </w:rPr>
        <w:t xml:space="preserve"> so</w:t>
      </w:r>
      <w:r w:rsidRPr="00201D8B">
        <w:rPr>
          <w:rFonts w:ascii="Times New Roman" w:hAnsi="Times New Roman" w:cs="Times New Roman"/>
          <w:sz w:val="24"/>
          <w:szCs w:val="24"/>
        </w:rPr>
        <w:t>) by a consideration of what would best serve the interests of the minor child, than by the extent of each part</w:t>
      </w:r>
      <w:r w:rsidR="005B16EA" w:rsidRPr="00201D8B">
        <w:rPr>
          <w:rFonts w:ascii="Times New Roman" w:hAnsi="Times New Roman" w:cs="Times New Roman"/>
          <w:sz w:val="24"/>
          <w:szCs w:val="24"/>
        </w:rPr>
        <w:t>ies</w:t>
      </w:r>
      <w:r w:rsidRPr="00201D8B">
        <w:rPr>
          <w:rFonts w:ascii="Times New Roman" w:hAnsi="Times New Roman" w:cs="Times New Roman"/>
          <w:sz w:val="24"/>
          <w:szCs w:val="24"/>
        </w:rPr>
        <w:t xml:space="preserve">’ contribution.  The respondent was granted custody of the minor child and the court is enjoined to consider the best interests of the minor children of </w:t>
      </w:r>
      <w:r w:rsidR="00566D34" w:rsidRPr="00201D8B">
        <w:rPr>
          <w:rFonts w:ascii="Times New Roman" w:hAnsi="Times New Roman" w:cs="Times New Roman"/>
          <w:sz w:val="24"/>
          <w:szCs w:val="24"/>
        </w:rPr>
        <w:t xml:space="preserve">the parties </w:t>
      </w:r>
      <w:r w:rsidRPr="00201D8B">
        <w:rPr>
          <w:rFonts w:ascii="Times New Roman" w:hAnsi="Times New Roman" w:cs="Times New Roman"/>
          <w:sz w:val="24"/>
          <w:szCs w:val="24"/>
        </w:rPr>
        <w:t xml:space="preserve">in its determination of their rights to any share of the matrimonial assets.  In any case the decision complained of is one that is commonly given in circumstances such as this.  </w:t>
      </w:r>
    </w:p>
    <w:p w:rsidR="005B16EA" w:rsidRPr="00201D8B" w:rsidRDefault="005B16EA" w:rsidP="003F27B0">
      <w:pPr>
        <w:spacing w:after="0" w:line="480" w:lineRule="auto"/>
        <w:jc w:val="both"/>
        <w:rPr>
          <w:rFonts w:ascii="Times New Roman" w:hAnsi="Times New Roman" w:cs="Times New Roman"/>
          <w:sz w:val="24"/>
          <w:szCs w:val="24"/>
        </w:rPr>
      </w:pPr>
    </w:p>
    <w:p w:rsidR="003F27B0" w:rsidRDefault="003F27B0" w:rsidP="00BC367E">
      <w:pPr>
        <w:spacing w:after="0" w:line="480" w:lineRule="auto"/>
        <w:ind w:left="720" w:firstLine="720"/>
        <w:jc w:val="both"/>
        <w:rPr>
          <w:rFonts w:ascii="Times New Roman" w:hAnsi="Times New Roman" w:cs="Times New Roman"/>
          <w:sz w:val="24"/>
          <w:szCs w:val="24"/>
        </w:rPr>
      </w:pPr>
      <w:r w:rsidRPr="00201D8B">
        <w:rPr>
          <w:rFonts w:ascii="Times New Roman" w:hAnsi="Times New Roman" w:cs="Times New Roman"/>
          <w:sz w:val="24"/>
          <w:szCs w:val="24"/>
        </w:rPr>
        <w:t>I would therefore dismiss this ground of appeal.</w:t>
      </w:r>
    </w:p>
    <w:p w:rsidR="00D40714" w:rsidRDefault="00D40714" w:rsidP="00BC367E">
      <w:pPr>
        <w:spacing w:after="0" w:line="480" w:lineRule="auto"/>
        <w:ind w:left="720" w:firstLine="720"/>
        <w:jc w:val="both"/>
        <w:rPr>
          <w:rFonts w:ascii="Times New Roman" w:hAnsi="Times New Roman" w:cs="Times New Roman"/>
          <w:sz w:val="24"/>
          <w:szCs w:val="24"/>
        </w:rPr>
      </w:pPr>
    </w:p>
    <w:p w:rsidR="00D40714" w:rsidRDefault="00D40714" w:rsidP="00BC367E">
      <w:pPr>
        <w:spacing w:after="0" w:line="480" w:lineRule="auto"/>
        <w:ind w:left="720" w:firstLine="720"/>
        <w:jc w:val="both"/>
        <w:rPr>
          <w:rFonts w:ascii="Times New Roman" w:hAnsi="Times New Roman" w:cs="Times New Roman"/>
          <w:sz w:val="24"/>
          <w:szCs w:val="24"/>
        </w:rPr>
      </w:pPr>
    </w:p>
    <w:p w:rsidR="00D40714" w:rsidRDefault="00D40714" w:rsidP="00BC367E">
      <w:pPr>
        <w:spacing w:after="0" w:line="480" w:lineRule="auto"/>
        <w:ind w:left="720" w:firstLine="720"/>
        <w:jc w:val="both"/>
        <w:rPr>
          <w:rFonts w:ascii="Times New Roman" w:hAnsi="Times New Roman" w:cs="Times New Roman"/>
          <w:sz w:val="24"/>
          <w:szCs w:val="24"/>
        </w:rPr>
      </w:pPr>
    </w:p>
    <w:p w:rsidR="00D40714" w:rsidRPr="00201D8B" w:rsidRDefault="00D40714" w:rsidP="00BC367E">
      <w:pPr>
        <w:spacing w:after="0" w:line="480" w:lineRule="auto"/>
        <w:ind w:left="720" w:firstLine="720"/>
        <w:jc w:val="both"/>
        <w:rPr>
          <w:rFonts w:ascii="Times New Roman" w:hAnsi="Times New Roman" w:cs="Times New Roman"/>
          <w:sz w:val="24"/>
          <w:szCs w:val="24"/>
        </w:rPr>
      </w:pPr>
    </w:p>
    <w:p w:rsidR="00272439" w:rsidRPr="00D40714" w:rsidRDefault="00D40714" w:rsidP="00D40714">
      <w:pPr>
        <w:spacing w:after="0" w:line="480" w:lineRule="auto"/>
        <w:jc w:val="both"/>
        <w:rPr>
          <w:rFonts w:ascii="Times New Roman" w:hAnsi="Times New Roman" w:cs="Times New Roman"/>
          <w:b/>
          <w:sz w:val="24"/>
          <w:szCs w:val="24"/>
          <w:u w:val="single"/>
        </w:rPr>
      </w:pPr>
      <w:r>
        <w:rPr>
          <w:rFonts w:ascii="Times New Roman" w:hAnsi="Times New Roman" w:cs="Times New Roman"/>
          <w:b/>
          <w:sz w:val="24"/>
          <w:szCs w:val="24"/>
        </w:rPr>
        <w:t>3.</w:t>
      </w:r>
      <w:r>
        <w:rPr>
          <w:rFonts w:ascii="Times New Roman" w:hAnsi="Times New Roman" w:cs="Times New Roman"/>
          <w:b/>
          <w:sz w:val="24"/>
          <w:szCs w:val="24"/>
        </w:rPr>
        <w:tab/>
      </w:r>
      <w:r w:rsidR="00272439" w:rsidRPr="00D40714">
        <w:rPr>
          <w:rFonts w:ascii="Times New Roman" w:hAnsi="Times New Roman" w:cs="Times New Roman"/>
          <w:b/>
          <w:sz w:val="24"/>
          <w:szCs w:val="24"/>
          <w:u w:val="single"/>
        </w:rPr>
        <w:t>FLAT NO. 3 SELMONT GARDENS, BELVEDERE</w:t>
      </w:r>
    </w:p>
    <w:p w:rsidR="005B16EA" w:rsidRPr="00201D8B" w:rsidRDefault="005B16EA" w:rsidP="00225F5C">
      <w:pPr>
        <w:spacing w:after="0" w:line="480" w:lineRule="auto"/>
        <w:jc w:val="both"/>
        <w:rPr>
          <w:rFonts w:ascii="Times New Roman" w:hAnsi="Times New Roman" w:cs="Times New Roman"/>
          <w:sz w:val="24"/>
          <w:szCs w:val="24"/>
        </w:rPr>
      </w:pPr>
    </w:p>
    <w:p w:rsidR="00272439" w:rsidRPr="00201D8B" w:rsidRDefault="00272439" w:rsidP="00D40714">
      <w:pPr>
        <w:spacing w:after="0" w:line="480" w:lineRule="auto"/>
        <w:ind w:firstLine="720"/>
        <w:jc w:val="both"/>
        <w:rPr>
          <w:rFonts w:ascii="Times New Roman" w:hAnsi="Times New Roman" w:cs="Times New Roman"/>
          <w:sz w:val="24"/>
          <w:szCs w:val="24"/>
        </w:rPr>
      </w:pPr>
      <w:r w:rsidRPr="00201D8B">
        <w:rPr>
          <w:rFonts w:ascii="Times New Roman" w:hAnsi="Times New Roman" w:cs="Times New Roman"/>
          <w:sz w:val="24"/>
          <w:szCs w:val="24"/>
        </w:rPr>
        <w:lastRenderedPageBreak/>
        <w:t xml:space="preserve">The </w:t>
      </w:r>
      <w:r w:rsidR="00B573AA" w:rsidRPr="00201D8B">
        <w:rPr>
          <w:rFonts w:ascii="Times New Roman" w:hAnsi="Times New Roman" w:cs="Times New Roman"/>
          <w:sz w:val="24"/>
          <w:szCs w:val="24"/>
        </w:rPr>
        <w:t xml:space="preserve">learned </w:t>
      </w:r>
      <w:r w:rsidRPr="00201D8B">
        <w:rPr>
          <w:rFonts w:ascii="Times New Roman" w:hAnsi="Times New Roman" w:cs="Times New Roman"/>
          <w:sz w:val="24"/>
          <w:szCs w:val="24"/>
        </w:rPr>
        <w:t xml:space="preserve">judge </w:t>
      </w:r>
      <w:r w:rsidRPr="00201D8B">
        <w:rPr>
          <w:rFonts w:ascii="Times New Roman" w:hAnsi="Times New Roman" w:cs="Times New Roman"/>
          <w:i/>
          <w:sz w:val="24"/>
          <w:szCs w:val="24"/>
        </w:rPr>
        <w:t>a quo</w:t>
      </w:r>
      <w:r w:rsidRPr="00201D8B">
        <w:rPr>
          <w:rFonts w:ascii="Times New Roman" w:hAnsi="Times New Roman" w:cs="Times New Roman"/>
          <w:sz w:val="24"/>
          <w:szCs w:val="24"/>
        </w:rPr>
        <w:t xml:space="preserve"> noted that the appellant had confirmed that this property was purchased by the respondent through a loan facility granted by her employer, the Reserve Bank of Z</w:t>
      </w:r>
      <w:r w:rsidR="00174EFC" w:rsidRPr="00201D8B">
        <w:rPr>
          <w:rFonts w:ascii="Times New Roman" w:hAnsi="Times New Roman" w:cs="Times New Roman"/>
          <w:sz w:val="24"/>
          <w:szCs w:val="24"/>
        </w:rPr>
        <w:t>imbabwe and was registered in her name.  T</w:t>
      </w:r>
      <w:r w:rsidRPr="00201D8B">
        <w:rPr>
          <w:rFonts w:ascii="Times New Roman" w:hAnsi="Times New Roman" w:cs="Times New Roman"/>
          <w:sz w:val="24"/>
          <w:szCs w:val="24"/>
        </w:rPr>
        <w:t>he court found that the parties had agreed that the mortgage loan in respect of this property would be serviced through the respondent’s income</w:t>
      </w:r>
      <w:r w:rsidR="00174EFC" w:rsidRPr="00201D8B">
        <w:rPr>
          <w:rFonts w:ascii="Times New Roman" w:hAnsi="Times New Roman" w:cs="Times New Roman"/>
          <w:sz w:val="24"/>
          <w:szCs w:val="24"/>
        </w:rPr>
        <w:t xml:space="preserve"> while the appellant’s income</w:t>
      </w:r>
      <w:r w:rsidRPr="00201D8B">
        <w:rPr>
          <w:rFonts w:ascii="Times New Roman" w:hAnsi="Times New Roman" w:cs="Times New Roman"/>
          <w:sz w:val="24"/>
          <w:szCs w:val="24"/>
        </w:rPr>
        <w:t xml:space="preserve"> would be used to maintain the family.  The court accepted the evidence of the appellant that he also contributed towards the maintenance of the property, </w:t>
      </w:r>
      <w:r w:rsidR="005B16EA" w:rsidRPr="00201D8B">
        <w:rPr>
          <w:rFonts w:ascii="Times New Roman" w:hAnsi="Times New Roman" w:cs="Times New Roman"/>
          <w:sz w:val="24"/>
          <w:szCs w:val="24"/>
        </w:rPr>
        <w:t xml:space="preserve">through the payment of </w:t>
      </w:r>
      <w:r w:rsidRPr="00201D8B">
        <w:rPr>
          <w:rFonts w:ascii="Times New Roman" w:hAnsi="Times New Roman" w:cs="Times New Roman"/>
          <w:sz w:val="24"/>
          <w:szCs w:val="24"/>
        </w:rPr>
        <w:t xml:space="preserve">levies and rates during the parties’3 year stay at the flat.  It was not in dispute that the respondent </w:t>
      </w:r>
      <w:r w:rsidR="00174EFC" w:rsidRPr="00201D8B">
        <w:rPr>
          <w:rFonts w:ascii="Times New Roman" w:hAnsi="Times New Roman" w:cs="Times New Roman"/>
          <w:sz w:val="24"/>
          <w:szCs w:val="24"/>
        </w:rPr>
        <w:t xml:space="preserve">in part </w:t>
      </w:r>
      <w:r w:rsidRPr="00201D8B">
        <w:rPr>
          <w:rFonts w:ascii="Times New Roman" w:hAnsi="Times New Roman" w:cs="Times New Roman"/>
          <w:sz w:val="24"/>
          <w:szCs w:val="24"/>
        </w:rPr>
        <w:t xml:space="preserve">bought the flat in question using proceeds from the sale of another flat she had bought before she married the appellant.  It is </w:t>
      </w:r>
      <w:r w:rsidR="005B16EA" w:rsidRPr="00201D8B">
        <w:rPr>
          <w:rFonts w:ascii="Times New Roman" w:hAnsi="Times New Roman" w:cs="Times New Roman"/>
          <w:sz w:val="24"/>
          <w:szCs w:val="24"/>
        </w:rPr>
        <w:t xml:space="preserve">also </w:t>
      </w:r>
      <w:r w:rsidRPr="00201D8B">
        <w:rPr>
          <w:rFonts w:ascii="Times New Roman" w:hAnsi="Times New Roman" w:cs="Times New Roman"/>
          <w:sz w:val="24"/>
          <w:szCs w:val="24"/>
        </w:rPr>
        <w:t xml:space="preserve">common cause that the appellant made no direct contribution to the acquisition of this property.  In awarding 5% and 95% of the value of this property to the appellant and respondent respectively, the learned judge </w:t>
      </w:r>
      <w:r w:rsidRPr="00201D8B">
        <w:rPr>
          <w:rFonts w:ascii="Times New Roman" w:hAnsi="Times New Roman" w:cs="Times New Roman"/>
          <w:i/>
          <w:sz w:val="24"/>
          <w:szCs w:val="24"/>
        </w:rPr>
        <w:t>a quo</w:t>
      </w:r>
      <w:r w:rsidRPr="00201D8B">
        <w:rPr>
          <w:rFonts w:ascii="Times New Roman" w:hAnsi="Times New Roman" w:cs="Times New Roman"/>
          <w:sz w:val="24"/>
          <w:szCs w:val="24"/>
        </w:rPr>
        <w:t>, after noting that he had drawn guidance from</w:t>
      </w:r>
      <w:r w:rsidR="00C57D37">
        <w:rPr>
          <w:rFonts w:ascii="Times New Roman" w:hAnsi="Times New Roman" w:cs="Times New Roman"/>
          <w:sz w:val="24"/>
          <w:szCs w:val="24"/>
        </w:rPr>
        <w:t>,</w:t>
      </w:r>
      <w:r w:rsidR="00D40714">
        <w:rPr>
          <w:rFonts w:ascii="Times New Roman" w:hAnsi="Times New Roman" w:cs="Times New Roman"/>
          <w:sz w:val="24"/>
          <w:szCs w:val="24"/>
        </w:rPr>
        <w:t xml:space="preserve"> </w:t>
      </w:r>
      <w:r w:rsidRPr="00AB520D">
        <w:rPr>
          <w:rFonts w:ascii="Times New Roman" w:hAnsi="Times New Roman" w:cs="Times New Roman"/>
          <w:i/>
          <w:sz w:val="24"/>
          <w:szCs w:val="24"/>
        </w:rPr>
        <w:t>inter alia</w:t>
      </w:r>
      <w:r w:rsidRPr="00201D8B">
        <w:rPr>
          <w:rFonts w:ascii="Times New Roman" w:hAnsi="Times New Roman" w:cs="Times New Roman"/>
          <w:sz w:val="24"/>
          <w:szCs w:val="24"/>
        </w:rPr>
        <w:t xml:space="preserve"> the celebrated case of </w:t>
      </w:r>
      <w:proofErr w:type="spellStart"/>
      <w:r w:rsidRPr="00201D8B">
        <w:rPr>
          <w:rFonts w:ascii="Times New Roman" w:hAnsi="Times New Roman" w:cs="Times New Roman"/>
          <w:i/>
          <w:sz w:val="24"/>
          <w:szCs w:val="24"/>
        </w:rPr>
        <w:t>Takafuma</w:t>
      </w:r>
      <w:proofErr w:type="spellEnd"/>
      <w:r w:rsidRPr="00201D8B">
        <w:rPr>
          <w:rFonts w:ascii="Times New Roman" w:hAnsi="Times New Roman" w:cs="Times New Roman"/>
          <w:i/>
          <w:sz w:val="24"/>
          <w:szCs w:val="24"/>
        </w:rPr>
        <w:t xml:space="preserve"> v </w:t>
      </w:r>
      <w:proofErr w:type="spellStart"/>
      <w:r w:rsidRPr="00201D8B">
        <w:rPr>
          <w:rFonts w:ascii="Times New Roman" w:hAnsi="Times New Roman" w:cs="Times New Roman"/>
          <w:i/>
          <w:sz w:val="24"/>
          <w:szCs w:val="24"/>
        </w:rPr>
        <w:t>Takafuma</w:t>
      </w:r>
      <w:proofErr w:type="spellEnd"/>
      <w:r w:rsidR="005B16EA" w:rsidRPr="00201D8B">
        <w:rPr>
          <w:rFonts w:ascii="Times New Roman" w:hAnsi="Times New Roman" w:cs="Times New Roman"/>
          <w:i/>
          <w:sz w:val="24"/>
          <w:szCs w:val="24"/>
        </w:rPr>
        <w:t xml:space="preserve"> (supra)</w:t>
      </w:r>
      <w:r w:rsidR="00B42812" w:rsidRPr="00201D8B">
        <w:rPr>
          <w:rFonts w:ascii="Times New Roman" w:hAnsi="Times New Roman" w:cs="Times New Roman"/>
          <w:sz w:val="24"/>
          <w:szCs w:val="24"/>
        </w:rPr>
        <w:t xml:space="preserve"> reasoned as follows at page 8 of his judgment:</w:t>
      </w:r>
    </w:p>
    <w:p w:rsidR="00990A38" w:rsidRPr="00201D8B" w:rsidRDefault="00AB22AF" w:rsidP="00990A38">
      <w:pPr>
        <w:spacing w:after="0" w:line="240" w:lineRule="auto"/>
        <w:jc w:val="both"/>
        <w:rPr>
          <w:rFonts w:ascii="Times New Roman" w:hAnsi="Times New Roman" w:cs="Times New Roman"/>
          <w:sz w:val="24"/>
          <w:szCs w:val="24"/>
        </w:rPr>
      </w:pPr>
      <w:r w:rsidRPr="00201D8B">
        <w:rPr>
          <w:rFonts w:ascii="Times New Roman" w:hAnsi="Times New Roman" w:cs="Times New Roman"/>
          <w:sz w:val="24"/>
          <w:szCs w:val="24"/>
        </w:rPr>
        <w:tab/>
      </w:r>
    </w:p>
    <w:p w:rsidR="00AB22AF" w:rsidRPr="00201D8B" w:rsidRDefault="007F3AFA" w:rsidP="00636B55">
      <w:pPr>
        <w:spacing w:after="0" w:line="240" w:lineRule="auto"/>
        <w:ind w:left="720"/>
        <w:jc w:val="both"/>
        <w:rPr>
          <w:rFonts w:ascii="Times New Roman" w:hAnsi="Times New Roman" w:cs="Times New Roman"/>
          <w:sz w:val="24"/>
          <w:szCs w:val="24"/>
        </w:rPr>
      </w:pPr>
      <w:r w:rsidRPr="00201D8B">
        <w:rPr>
          <w:rFonts w:ascii="Times New Roman" w:hAnsi="Times New Roman" w:cs="Times New Roman"/>
          <w:sz w:val="24"/>
          <w:szCs w:val="24"/>
        </w:rPr>
        <w:t>“</w:t>
      </w:r>
      <w:r w:rsidR="0044181A" w:rsidRPr="00201D8B">
        <w:rPr>
          <w:rFonts w:ascii="Times New Roman" w:hAnsi="Times New Roman" w:cs="Times New Roman"/>
          <w:sz w:val="24"/>
          <w:szCs w:val="24"/>
        </w:rPr>
        <w:t xml:space="preserve">... </w:t>
      </w:r>
      <w:r w:rsidR="00AB22AF" w:rsidRPr="00201D8B">
        <w:rPr>
          <w:rFonts w:ascii="Times New Roman" w:hAnsi="Times New Roman" w:cs="Times New Roman"/>
          <w:sz w:val="24"/>
          <w:szCs w:val="24"/>
        </w:rPr>
        <w:t xml:space="preserve">As regards number 3 </w:t>
      </w:r>
      <w:proofErr w:type="spellStart"/>
      <w:r w:rsidR="00AB22AF" w:rsidRPr="00201D8B">
        <w:rPr>
          <w:rFonts w:ascii="Times New Roman" w:hAnsi="Times New Roman" w:cs="Times New Roman"/>
          <w:sz w:val="24"/>
          <w:szCs w:val="24"/>
        </w:rPr>
        <w:t>Selmont</w:t>
      </w:r>
      <w:proofErr w:type="spellEnd"/>
      <w:r w:rsidR="00AB22AF" w:rsidRPr="00201D8B">
        <w:rPr>
          <w:rFonts w:ascii="Times New Roman" w:hAnsi="Times New Roman" w:cs="Times New Roman"/>
          <w:sz w:val="24"/>
          <w:szCs w:val="24"/>
        </w:rPr>
        <w:t xml:space="preserve"> Gardens, the starting point to note is that it was acquired during the subsistence of the marriage and therefore co</w:t>
      </w:r>
      <w:r w:rsidR="005B16EA" w:rsidRPr="00201D8B">
        <w:rPr>
          <w:rFonts w:ascii="Times New Roman" w:hAnsi="Times New Roman" w:cs="Times New Roman"/>
          <w:sz w:val="24"/>
          <w:szCs w:val="24"/>
        </w:rPr>
        <w:t>nstitutes matrimonial property.</w:t>
      </w:r>
      <w:r w:rsidR="00AB22AF" w:rsidRPr="00201D8B">
        <w:rPr>
          <w:rFonts w:ascii="Times New Roman" w:hAnsi="Times New Roman" w:cs="Times New Roman"/>
          <w:sz w:val="24"/>
          <w:szCs w:val="24"/>
        </w:rPr>
        <w:t xml:space="preserve"> However, the acquisition was solely financed by defendant </w:t>
      </w:r>
      <w:r w:rsidR="00AB22AF" w:rsidRPr="00201D8B">
        <w:rPr>
          <w:rFonts w:ascii="Times New Roman" w:hAnsi="Times New Roman" w:cs="Times New Roman"/>
          <w:i/>
          <w:sz w:val="24"/>
          <w:szCs w:val="24"/>
        </w:rPr>
        <w:t>albeit</w:t>
      </w:r>
      <w:r w:rsidR="00AB22AF" w:rsidRPr="00201D8B">
        <w:rPr>
          <w:rFonts w:ascii="Times New Roman" w:hAnsi="Times New Roman" w:cs="Times New Roman"/>
          <w:sz w:val="24"/>
          <w:szCs w:val="24"/>
        </w:rPr>
        <w:t xml:space="preserve"> from the procee</w:t>
      </w:r>
      <w:r w:rsidR="005B16EA" w:rsidRPr="00201D8B">
        <w:rPr>
          <w:rFonts w:ascii="Times New Roman" w:hAnsi="Times New Roman" w:cs="Times New Roman"/>
          <w:sz w:val="24"/>
          <w:szCs w:val="24"/>
        </w:rPr>
        <w:t>ds of an earlier property.</w:t>
      </w:r>
      <w:r w:rsidR="00AB22AF" w:rsidRPr="00201D8B">
        <w:rPr>
          <w:rFonts w:ascii="Times New Roman" w:hAnsi="Times New Roman" w:cs="Times New Roman"/>
          <w:sz w:val="24"/>
          <w:szCs w:val="24"/>
        </w:rPr>
        <w:t xml:space="preserve"> It is in fact registered in defendant’s name and would fall in the category of “hers”.  Plaintiff claims a share of the property on the basis of his contribution towards its maintenance.  This was basically in the form of rates, levies and telephone bills.  The amount involved was not stated.  The parties only stayed in the property for about three years.  I would hold that the plaintiff is entitled to a share </w:t>
      </w:r>
      <w:r w:rsidR="00AB22AF" w:rsidRPr="00201D8B">
        <w:rPr>
          <w:rFonts w:ascii="Times New Roman" w:hAnsi="Times New Roman" w:cs="Times New Roman"/>
          <w:i/>
          <w:sz w:val="24"/>
          <w:szCs w:val="24"/>
        </w:rPr>
        <w:t>albeit</w:t>
      </w:r>
      <w:r w:rsidR="00AB22AF" w:rsidRPr="00201D8B">
        <w:rPr>
          <w:rFonts w:ascii="Times New Roman" w:hAnsi="Times New Roman" w:cs="Times New Roman"/>
          <w:sz w:val="24"/>
          <w:szCs w:val="24"/>
        </w:rPr>
        <w:t xml:space="preserve"> it would be very negligible on account of his small indirect contribution.  This is in accordance with s 7 (1) (a) of the Matrimonial Causes Act which provides that-</w:t>
      </w:r>
    </w:p>
    <w:p w:rsidR="00AB22AF" w:rsidRPr="00201D8B" w:rsidRDefault="00AB22AF" w:rsidP="007F3AFA">
      <w:pPr>
        <w:spacing w:after="0" w:line="240" w:lineRule="auto"/>
        <w:ind w:left="720"/>
        <w:jc w:val="both"/>
        <w:rPr>
          <w:rFonts w:ascii="Times New Roman" w:hAnsi="Times New Roman" w:cs="Times New Roman"/>
          <w:sz w:val="24"/>
          <w:szCs w:val="24"/>
        </w:rPr>
      </w:pPr>
      <w:r w:rsidRPr="00201D8B">
        <w:rPr>
          <w:rFonts w:ascii="Times New Roman" w:hAnsi="Times New Roman" w:cs="Times New Roman"/>
          <w:sz w:val="24"/>
          <w:szCs w:val="24"/>
        </w:rPr>
        <w:t>“(1)</w:t>
      </w:r>
      <w:r w:rsidRPr="00201D8B">
        <w:rPr>
          <w:rFonts w:ascii="Times New Roman" w:hAnsi="Times New Roman" w:cs="Times New Roman"/>
          <w:sz w:val="24"/>
          <w:szCs w:val="24"/>
        </w:rPr>
        <w:tab/>
        <w:t>Subject to this section, in granting a decree of divorce, judicial separation or nullity of marriage, or at any time thereafter, an appropriate court may make an order with regard to-</w:t>
      </w:r>
    </w:p>
    <w:p w:rsidR="00C61C93" w:rsidRPr="00201D8B" w:rsidRDefault="00C61C93" w:rsidP="007F3AFA">
      <w:pPr>
        <w:pStyle w:val="ListParagraph"/>
        <w:numPr>
          <w:ilvl w:val="0"/>
          <w:numId w:val="11"/>
        </w:numPr>
        <w:spacing w:after="0" w:line="240" w:lineRule="auto"/>
        <w:jc w:val="both"/>
        <w:rPr>
          <w:rFonts w:ascii="Times New Roman" w:hAnsi="Times New Roman" w:cs="Times New Roman"/>
          <w:sz w:val="24"/>
          <w:szCs w:val="24"/>
        </w:rPr>
      </w:pPr>
      <w:r w:rsidRPr="00201D8B">
        <w:rPr>
          <w:rFonts w:ascii="Times New Roman" w:hAnsi="Times New Roman" w:cs="Times New Roman"/>
          <w:sz w:val="24"/>
          <w:szCs w:val="24"/>
        </w:rPr>
        <w:t>The division, apportionment of distribution of the assets of the spouses, including an order that any asset be transferred from one spouse to the other;</w:t>
      </w:r>
    </w:p>
    <w:p w:rsidR="00C61C93" w:rsidRPr="00201D8B" w:rsidRDefault="00C61C93" w:rsidP="007F3AFA">
      <w:pPr>
        <w:pStyle w:val="ListParagraph"/>
        <w:numPr>
          <w:ilvl w:val="0"/>
          <w:numId w:val="11"/>
        </w:numPr>
        <w:spacing w:after="0" w:line="240" w:lineRule="auto"/>
        <w:jc w:val="both"/>
        <w:rPr>
          <w:rFonts w:ascii="Times New Roman" w:hAnsi="Times New Roman" w:cs="Times New Roman"/>
          <w:sz w:val="24"/>
          <w:szCs w:val="24"/>
        </w:rPr>
      </w:pPr>
      <w:r w:rsidRPr="00201D8B">
        <w:rPr>
          <w:rFonts w:ascii="Times New Roman" w:hAnsi="Times New Roman" w:cs="Times New Roman"/>
          <w:sz w:val="24"/>
          <w:szCs w:val="24"/>
        </w:rPr>
        <w:t>………………………………</w:t>
      </w:r>
      <w:r w:rsidR="00225F5C" w:rsidRPr="00201D8B">
        <w:rPr>
          <w:rFonts w:ascii="Times New Roman" w:hAnsi="Times New Roman" w:cs="Times New Roman"/>
          <w:sz w:val="24"/>
          <w:szCs w:val="24"/>
        </w:rPr>
        <w:t>”</w:t>
      </w:r>
    </w:p>
    <w:p w:rsidR="00423953" w:rsidRPr="00201D8B" w:rsidRDefault="00C61C93" w:rsidP="00636B55">
      <w:pPr>
        <w:spacing w:after="0" w:line="240" w:lineRule="auto"/>
        <w:ind w:left="720"/>
        <w:jc w:val="both"/>
        <w:rPr>
          <w:rFonts w:ascii="Times New Roman" w:hAnsi="Times New Roman" w:cs="Times New Roman"/>
          <w:sz w:val="24"/>
          <w:szCs w:val="24"/>
        </w:rPr>
      </w:pPr>
      <w:r w:rsidRPr="00201D8B">
        <w:rPr>
          <w:rFonts w:ascii="Times New Roman" w:hAnsi="Times New Roman" w:cs="Times New Roman"/>
          <w:sz w:val="24"/>
          <w:szCs w:val="24"/>
        </w:rPr>
        <w:t>Therefore, although the flat belongs to defendant it can be subject to division by virtue of the above provision.  However, in making such a decision the court must take into account the provisions of s 7 (4)</w:t>
      </w:r>
      <w:r w:rsidR="0044181A" w:rsidRPr="00201D8B">
        <w:rPr>
          <w:rFonts w:ascii="Times New Roman" w:hAnsi="Times New Roman" w:cs="Times New Roman"/>
          <w:sz w:val="24"/>
          <w:szCs w:val="24"/>
        </w:rPr>
        <w:t xml:space="preserve"> ...”</w:t>
      </w:r>
    </w:p>
    <w:p w:rsidR="00423953" w:rsidRPr="00201D8B" w:rsidRDefault="00423953" w:rsidP="00225F5C">
      <w:pPr>
        <w:spacing w:after="0" w:line="480" w:lineRule="auto"/>
        <w:jc w:val="both"/>
        <w:rPr>
          <w:rFonts w:ascii="Times New Roman" w:hAnsi="Times New Roman" w:cs="Times New Roman"/>
          <w:sz w:val="24"/>
          <w:szCs w:val="24"/>
        </w:rPr>
      </w:pPr>
    </w:p>
    <w:p w:rsidR="00423953" w:rsidRPr="00201D8B" w:rsidRDefault="00423953" w:rsidP="00225F5C">
      <w:pPr>
        <w:spacing w:after="0" w:line="480" w:lineRule="auto"/>
        <w:jc w:val="both"/>
        <w:rPr>
          <w:rFonts w:ascii="Times New Roman" w:hAnsi="Times New Roman" w:cs="Times New Roman"/>
          <w:sz w:val="24"/>
          <w:szCs w:val="24"/>
        </w:rPr>
      </w:pPr>
      <w:r w:rsidRPr="00201D8B">
        <w:rPr>
          <w:rFonts w:ascii="Times New Roman" w:hAnsi="Times New Roman" w:cs="Times New Roman"/>
          <w:sz w:val="24"/>
          <w:szCs w:val="24"/>
        </w:rPr>
        <w:lastRenderedPageBreak/>
        <w:tab/>
      </w:r>
      <w:r w:rsidRPr="00201D8B">
        <w:rPr>
          <w:rFonts w:ascii="Times New Roman" w:hAnsi="Times New Roman" w:cs="Times New Roman"/>
          <w:sz w:val="24"/>
          <w:szCs w:val="24"/>
        </w:rPr>
        <w:tab/>
        <w:t>After citing the provisions of s 7 (4) of the Act, the learned judge determined that in the court’s discretion, t</w:t>
      </w:r>
      <w:r w:rsidR="0044181A" w:rsidRPr="00201D8B">
        <w:rPr>
          <w:rFonts w:ascii="Times New Roman" w:hAnsi="Times New Roman" w:cs="Times New Roman"/>
          <w:sz w:val="24"/>
          <w:szCs w:val="24"/>
        </w:rPr>
        <w:t>he appellant would be awarded 5</w:t>
      </w:r>
      <w:r w:rsidRPr="00201D8B">
        <w:rPr>
          <w:rFonts w:ascii="Times New Roman" w:hAnsi="Times New Roman" w:cs="Times New Roman"/>
          <w:sz w:val="24"/>
          <w:szCs w:val="24"/>
        </w:rPr>
        <w:t xml:space="preserve">%.  </w:t>
      </w:r>
    </w:p>
    <w:p w:rsidR="00423953" w:rsidRPr="00201D8B" w:rsidRDefault="00423953" w:rsidP="00225F5C">
      <w:pPr>
        <w:spacing w:after="0" w:line="480" w:lineRule="auto"/>
        <w:jc w:val="both"/>
        <w:rPr>
          <w:rFonts w:ascii="Times New Roman" w:hAnsi="Times New Roman" w:cs="Times New Roman"/>
          <w:sz w:val="24"/>
          <w:szCs w:val="24"/>
        </w:rPr>
      </w:pPr>
    </w:p>
    <w:p w:rsidR="00423953" w:rsidRPr="00201D8B" w:rsidRDefault="00423953" w:rsidP="00225F5C">
      <w:pPr>
        <w:spacing w:after="0" w:line="480" w:lineRule="auto"/>
        <w:jc w:val="both"/>
        <w:rPr>
          <w:rFonts w:ascii="Times New Roman" w:hAnsi="Times New Roman" w:cs="Times New Roman"/>
          <w:sz w:val="24"/>
          <w:szCs w:val="24"/>
        </w:rPr>
      </w:pPr>
      <w:r w:rsidRPr="00201D8B">
        <w:rPr>
          <w:rFonts w:ascii="Times New Roman" w:hAnsi="Times New Roman" w:cs="Times New Roman"/>
          <w:sz w:val="24"/>
          <w:szCs w:val="24"/>
        </w:rPr>
        <w:tab/>
      </w:r>
      <w:r w:rsidRPr="00201D8B">
        <w:rPr>
          <w:rFonts w:ascii="Times New Roman" w:hAnsi="Times New Roman" w:cs="Times New Roman"/>
          <w:sz w:val="24"/>
          <w:szCs w:val="24"/>
        </w:rPr>
        <w:tab/>
        <w:t xml:space="preserve">The appellant, while accepting that the learned judge </w:t>
      </w:r>
      <w:r w:rsidRPr="00201D8B">
        <w:rPr>
          <w:rFonts w:ascii="Times New Roman" w:hAnsi="Times New Roman" w:cs="Times New Roman"/>
          <w:i/>
          <w:sz w:val="24"/>
          <w:szCs w:val="24"/>
        </w:rPr>
        <w:t>a quo</w:t>
      </w:r>
      <w:r w:rsidRPr="00201D8B">
        <w:rPr>
          <w:rFonts w:ascii="Times New Roman" w:hAnsi="Times New Roman" w:cs="Times New Roman"/>
          <w:sz w:val="24"/>
          <w:szCs w:val="24"/>
        </w:rPr>
        <w:t xml:space="preserve"> properly considered the principle enunciated in </w:t>
      </w:r>
      <w:proofErr w:type="spellStart"/>
      <w:r w:rsidRPr="00201D8B">
        <w:rPr>
          <w:rFonts w:ascii="Times New Roman" w:hAnsi="Times New Roman" w:cs="Times New Roman"/>
          <w:i/>
          <w:sz w:val="24"/>
          <w:szCs w:val="24"/>
        </w:rPr>
        <w:t>Takafuma</w:t>
      </w:r>
      <w:proofErr w:type="spellEnd"/>
      <w:r w:rsidRPr="00201D8B">
        <w:rPr>
          <w:rFonts w:ascii="Times New Roman" w:hAnsi="Times New Roman" w:cs="Times New Roman"/>
          <w:i/>
          <w:sz w:val="24"/>
          <w:szCs w:val="24"/>
        </w:rPr>
        <w:t xml:space="preserve"> v </w:t>
      </w:r>
      <w:proofErr w:type="spellStart"/>
      <w:r w:rsidRPr="00201D8B">
        <w:rPr>
          <w:rFonts w:ascii="Times New Roman" w:hAnsi="Times New Roman" w:cs="Times New Roman"/>
          <w:i/>
          <w:sz w:val="24"/>
          <w:szCs w:val="24"/>
        </w:rPr>
        <w:t>Takafuma</w:t>
      </w:r>
      <w:proofErr w:type="spellEnd"/>
      <w:r w:rsidRPr="00201D8B">
        <w:rPr>
          <w:rFonts w:ascii="Times New Roman" w:hAnsi="Times New Roman" w:cs="Times New Roman"/>
          <w:sz w:val="24"/>
          <w:szCs w:val="24"/>
        </w:rPr>
        <w:t xml:space="preserve"> (supra) argues that the court then erred </w:t>
      </w:r>
      <w:r w:rsidR="0044181A" w:rsidRPr="00201D8B">
        <w:rPr>
          <w:rFonts w:ascii="Times New Roman" w:hAnsi="Times New Roman" w:cs="Times New Roman"/>
          <w:sz w:val="24"/>
          <w:szCs w:val="24"/>
        </w:rPr>
        <w:t>by failing to give du</w:t>
      </w:r>
      <w:r w:rsidRPr="00201D8B">
        <w:rPr>
          <w:rFonts w:ascii="Times New Roman" w:hAnsi="Times New Roman" w:cs="Times New Roman"/>
          <w:sz w:val="24"/>
          <w:szCs w:val="24"/>
        </w:rPr>
        <w:t xml:space="preserve">e weight to </w:t>
      </w:r>
      <w:r w:rsidR="00AB520D">
        <w:rPr>
          <w:rFonts w:ascii="Times New Roman" w:hAnsi="Times New Roman" w:cs="Times New Roman"/>
          <w:sz w:val="24"/>
          <w:szCs w:val="24"/>
        </w:rPr>
        <w:t>his</w:t>
      </w:r>
      <w:r w:rsidRPr="00201D8B">
        <w:rPr>
          <w:rFonts w:ascii="Times New Roman" w:hAnsi="Times New Roman" w:cs="Times New Roman"/>
          <w:sz w:val="24"/>
          <w:szCs w:val="24"/>
        </w:rPr>
        <w:t xml:space="preserve"> indirect contribution to the acquisition of the property.  Additionally that the award made had the result that the </w:t>
      </w:r>
      <w:r w:rsidR="00565B29" w:rsidRPr="00201D8B">
        <w:rPr>
          <w:rFonts w:ascii="Times New Roman" w:hAnsi="Times New Roman" w:cs="Times New Roman"/>
          <w:sz w:val="24"/>
          <w:szCs w:val="24"/>
        </w:rPr>
        <w:t>r</w:t>
      </w:r>
      <w:r w:rsidRPr="00201D8B">
        <w:rPr>
          <w:rFonts w:ascii="Times New Roman" w:hAnsi="Times New Roman" w:cs="Times New Roman"/>
          <w:sz w:val="24"/>
          <w:szCs w:val="24"/>
        </w:rPr>
        <w:t xml:space="preserve">espondent was unjustly enriched.  </w:t>
      </w:r>
    </w:p>
    <w:p w:rsidR="006E235C" w:rsidRPr="00201D8B" w:rsidRDefault="00423953" w:rsidP="005B16EA">
      <w:pPr>
        <w:spacing w:after="0" w:line="480" w:lineRule="auto"/>
        <w:jc w:val="both"/>
        <w:rPr>
          <w:rFonts w:ascii="Times New Roman" w:hAnsi="Times New Roman" w:cs="Times New Roman"/>
          <w:sz w:val="24"/>
          <w:szCs w:val="24"/>
        </w:rPr>
      </w:pPr>
      <w:r w:rsidRPr="00201D8B">
        <w:rPr>
          <w:rFonts w:ascii="Times New Roman" w:hAnsi="Times New Roman" w:cs="Times New Roman"/>
          <w:sz w:val="24"/>
          <w:szCs w:val="24"/>
        </w:rPr>
        <w:tab/>
      </w:r>
      <w:r w:rsidRPr="00201D8B">
        <w:rPr>
          <w:rFonts w:ascii="Times New Roman" w:hAnsi="Times New Roman" w:cs="Times New Roman"/>
          <w:sz w:val="24"/>
          <w:szCs w:val="24"/>
        </w:rPr>
        <w:tab/>
      </w:r>
    </w:p>
    <w:p w:rsidR="006E235C" w:rsidRPr="00201D8B" w:rsidRDefault="006E235C" w:rsidP="00636B55">
      <w:pPr>
        <w:spacing w:after="0" w:line="480" w:lineRule="auto"/>
        <w:ind w:firstLine="1440"/>
        <w:jc w:val="both"/>
        <w:rPr>
          <w:rFonts w:ascii="Times New Roman" w:hAnsi="Times New Roman" w:cs="Times New Roman"/>
          <w:sz w:val="24"/>
          <w:szCs w:val="24"/>
        </w:rPr>
      </w:pPr>
      <w:r w:rsidRPr="00201D8B">
        <w:rPr>
          <w:rFonts w:ascii="Times New Roman" w:hAnsi="Times New Roman" w:cs="Times New Roman"/>
          <w:sz w:val="24"/>
          <w:szCs w:val="24"/>
        </w:rPr>
        <w:t xml:space="preserve">The appellant does not allege that the court </w:t>
      </w:r>
      <w:r w:rsidRPr="00201D8B">
        <w:rPr>
          <w:rFonts w:ascii="Times New Roman" w:hAnsi="Times New Roman" w:cs="Times New Roman"/>
          <w:i/>
          <w:sz w:val="24"/>
          <w:szCs w:val="24"/>
        </w:rPr>
        <w:t>a quo</w:t>
      </w:r>
      <w:r w:rsidRPr="00201D8B">
        <w:rPr>
          <w:rFonts w:ascii="Times New Roman" w:hAnsi="Times New Roman" w:cs="Times New Roman"/>
          <w:sz w:val="24"/>
          <w:szCs w:val="24"/>
        </w:rPr>
        <w:t xml:space="preserve"> applied a wrong principle in determining the apportionment of this property.  The contrary is in fact suggested in his submission in relation to the court’s reliance on</w:t>
      </w:r>
      <w:r w:rsidR="009463F2">
        <w:rPr>
          <w:rFonts w:ascii="Times New Roman" w:hAnsi="Times New Roman" w:cs="Times New Roman"/>
          <w:sz w:val="24"/>
          <w:szCs w:val="24"/>
        </w:rPr>
        <w:t>,</w:t>
      </w:r>
      <w:r w:rsidR="00D40714">
        <w:rPr>
          <w:rFonts w:ascii="Times New Roman" w:hAnsi="Times New Roman" w:cs="Times New Roman"/>
          <w:sz w:val="24"/>
          <w:szCs w:val="24"/>
        </w:rPr>
        <w:t xml:space="preserve"> </w:t>
      </w:r>
      <w:r w:rsidRPr="009463F2">
        <w:rPr>
          <w:rFonts w:ascii="Times New Roman" w:hAnsi="Times New Roman" w:cs="Times New Roman"/>
          <w:i/>
          <w:sz w:val="24"/>
          <w:szCs w:val="24"/>
        </w:rPr>
        <w:t>inter alia</w:t>
      </w:r>
      <w:r w:rsidRPr="00201D8B">
        <w:rPr>
          <w:rFonts w:ascii="Times New Roman" w:hAnsi="Times New Roman" w:cs="Times New Roman"/>
          <w:sz w:val="24"/>
          <w:szCs w:val="24"/>
        </w:rPr>
        <w:t xml:space="preserve">, the case of </w:t>
      </w:r>
      <w:proofErr w:type="spellStart"/>
      <w:r w:rsidRPr="00201D8B">
        <w:rPr>
          <w:rFonts w:ascii="Times New Roman" w:hAnsi="Times New Roman" w:cs="Times New Roman"/>
          <w:i/>
          <w:sz w:val="24"/>
          <w:szCs w:val="24"/>
        </w:rPr>
        <w:t>Takafuma</w:t>
      </w:r>
      <w:proofErr w:type="spellEnd"/>
      <w:r w:rsidRPr="00201D8B">
        <w:rPr>
          <w:rFonts w:ascii="Times New Roman" w:hAnsi="Times New Roman" w:cs="Times New Roman"/>
          <w:i/>
          <w:sz w:val="24"/>
          <w:szCs w:val="24"/>
        </w:rPr>
        <w:t xml:space="preserve"> v </w:t>
      </w:r>
      <w:proofErr w:type="spellStart"/>
      <w:r w:rsidRPr="00201D8B">
        <w:rPr>
          <w:rFonts w:ascii="Times New Roman" w:hAnsi="Times New Roman" w:cs="Times New Roman"/>
          <w:i/>
          <w:sz w:val="24"/>
          <w:szCs w:val="24"/>
        </w:rPr>
        <w:t>Takafuma</w:t>
      </w:r>
      <w:proofErr w:type="spellEnd"/>
      <w:r w:rsidRPr="00201D8B">
        <w:rPr>
          <w:rFonts w:ascii="Times New Roman" w:hAnsi="Times New Roman" w:cs="Times New Roman"/>
          <w:sz w:val="24"/>
          <w:szCs w:val="24"/>
        </w:rPr>
        <w:t>.  Nor does the appellant argue that the tr</w:t>
      </w:r>
      <w:r w:rsidR="0044181A" w:rsidRPr="00201D8B">
        <w:rPr>
          <w:rFonts w:ascii="Times New Roman" w:hAnsi="Times New Roman" w:cs="Times New Roman"/>
          <w:sz w:val="24"/>
          <w:szCs w:val="24"/>
        </w:rPr>
        <w:t>ial court allowed extraneous</w:t>
      </w:r>
      <w:r w:rsidRPr="00201D8B">
        <w:rPr>
          <w:rFonts w:ascii="Times New Roman" w:hAnsi="Times New Roman" w:cs="Times New Roman"/>
          <w:sz w:val="24"/>
          <w:szCs w:val="24"/>
        </w:rPr>
        <w:t xml:space="preserve"> or irrelevant </w:t>
      </w:r>
      <w:r w:rsidR="0044181A" w:rsidRPr="00201D8B">
        <w:rPr>
          <w:rFonts w:ascii="Times New Roman" w:hAnsi="Times New Roman" w:cs="Times New Roman"/>
          <w:sz w:val="24"/>
          <w:szCs w:val="24"/>
        </w:rPr>
        <w:t>factor</w:t>
      </w:r>
      <w:r w:rsidRPr="00201D8B">
        <w:rPr>
          <w:rFonts w:ascii="Times New Roman" w:hAnsi="Times New Roman" w:cs="Times New Roman"/>
          <w:sz w:val="24"/>
          <w:szCs w:val="24"/>
        </w:rPr>
        <w:t xml:space="preserve">s to guide </w:t>
      </w:r>
      <w:r w:rsidR="0044181A" w:rsidRPr="00201D8B">
        <w:rPr>
          <w:rFonts w:ascii="Times New Roman" w:hAnsi="Times New Roman" w:cs="Times New Roman"/>
          <w:sz w:val="24"/>
          <w:szCs w:val="24"/>
        </w:rPr>
        <w:t xml:space="preserve">it, </w:t>
      </w:r>
      <w:r w:rsidR="00B573AA" w:rsidRPr="00201D8B">
        <w:rPr>
          <w:rFonts w:ascii="Times New Roman" w:hAnsi="Times New Roman" w:cs="Times New Roman"/>
          <w:sz w:val="24"/>
          <w:szCs w:val="24"/>
        </w:rPr>
        <w:t>mistook</w:t>
      </w:r>
      <w:r w:rsidRPr="00201D8B">
        <w:rPr>
          <w:rFonts w:ascii="Times New Roman" w:hAnsi="Times New Roman" w:cs="Times New Roman"/>
          <w:sz w:val="24"/>
          <w:szCs w:val="24"/>
        </w:rPr>
        <w:t xml:space="preserve"> facts or disregard</w:t>
      </w:r>
      <w:r w:rsidR="00B573AA" w:rsidRPr="00201D8B">
        <w:rPr>
          <w:rFonts w:ascii="Times New Roman" w:hAnsi="Times New Roman" w:cs="Times New Roman"/>
          <w:sz w:val="24"/>
          <w:szCs w:val="24"/>
        </w:rPr>
        <w:t>ed</w:t>
      </w:r>
      <w:r w:rsidRPr="00201D8B">
        <w:rPr>
          <w:rFonts w:ascii="Times New Roman" w:hAnsi="Times New Roman" w:cs="Times New Roman"/>
          <w:sz w:val="24"/>
          <w:szCs w:val="24"/>
        </w:rPr>
        <w:t xml:space="preserve"> some relevant considerations.  There is no dispute, and the court </w:t>
      </w:r>
      <w:r w:rsidRPr="00201D8B">
        <w:rPr>
          <w:rFonts w:ascii="Times New Roman" w:hAnsi="Times New Roman" w:cs="Times New Roman"/>
          <w:i/>
          <w:sz w:val="24"/>
          <w:szCs w:val="24"/>
        </w:rPr>
        <w:t>a quo</w:t>
      </w:r>
      <w:r w:rsidRPr="00201D8B">
        <w:rPr>
          <w:rFonts w:ascii="Times New Roman" w:hAnsi="Times New Roman" w:cs="Times New Roman"/>
          <w:sz w:val="24"/>
          <w:szCs w:val="24"/>
        </w:rPr>
        <w:t xml:space="preserve"> properly took this in</w:t>
      </w:r>
      <w:r w:rsidR="00B573AA" w:rsidRPr="00201D8B">
        <w:rPr>
          <w:rFonts w:ascii="Times New Roman" w:hAnsi="Times New Roman" w:cs="Times New Roman"/>
          <w:sz w:val="24"/>
          <w:szCs w:val="24"/>
        </w:rPr>
        <w:t>to</w:t>
      </w:r>
      <w:r w:rsidRPr="00201D8B">
        <w:rPr>
          <w:rFonts w:ascii="Times New Roman" w:hAnsi="Times New Roman" w:cs="Times New Roman"/>
          <w:sz w:val="24"/>
          <w:szCs w:val="24"/>
        </w:rPr>
        <w:t xml:space="preserve"> account</w:t>
      </w:r>
      <w:r w:rsidR="0044181A" w:rsidRPr="00201D8B">
        <w:rPr>
          <w:rFonts w:ascii="Times New Roman" w:hAnsi="Times New Roman" w:cs="Times New Roman"/>
          <w:sz w:val="24"/>
          <w:szCs w:val="24"/>
        </w:rPr>
        <w:t>,</w:t>
      </w:r>
      <w:r w:rsidRPr="00201D8B">
        <w:rPr>
          <w:rFonts w:ascii="Times New Roman" w:hAnsi="Times New Roman" w:cs="Times New Roman"/>
          <w:sz w:val="24"/>
          <w:szCs w:val="24"/>
        </w:rPr>
        <w:t xml:space="preserve"> as to w</w:t>
      </w:r>
      <w:r w:rsidR="0044181A" w:rsidRPr="00201D8B">
        <w:rPr>
          <w:rFonts w:ascii="Times New Roman" w:hAnsi="Times New Roman" w:cs="Times New Roman"/>
          <w:sz w:val="24"/>
          <w:szCs w:val="24"/>
        </w:rPr>
        <w:t>ho</w:t>
      </w:r>
      <w:r w:rsidRPr="00201D8B">
        <w:rPr>
          <w:rFonts w:ascii="Times New Roman" w:hAnsi="Times New Roman" w:cs="Times New Roman"/>
          <w:sz w:val="24"/>
          <w:szCs w:val="24"/>
        </w:rPr>
        <w:t xml:space="preserve"> between the parties contributed substantially and directly to the acquisition of the property in question.  Nor is the </w:t>
      </w:r>
      <w:r w:rsidR="006070CF" w:rsidRPr="00201D8B">
        <w:rPr>
          <w:rFonts w:ascii="Times New Roman" w:hAnsi="Times New Roman" w:cs="Times New Roman"/>
          <w:sz w:val="24"/>
          <w:szCs w:val="24"/>
        </w:rPr>
        <w:t xml:space="preserve">indirect </w:t>
      </w:r>
      <w:r w:rsidRPr="00201D8B">
        <w:rPr>
          <w:rFonts w:ascii="Times New Roman" w:hAnsi="Times New Roman" w:cs="Times New Roman"/>
          <w:sz w:val="24"/>
          <w:szCs w:val="24"/>
        </w:rPr>
        <w:t>nature and manner of the appellant’s contribution in the short period of three (3) years that they stayed in the property, disputed.</w:t>
      </w:r>
    </w:p>
    <w:p w:rsidR="006E235C" w:rsidRPr="00201D8B" w:rsidRDefault="006E235C" w:rsidP="00225F5C">
      <w:pPr>
        <w:spacing w:after="0" w:line="480" w:lineRule="auto"/>
        <w:jc w:val="both"/>
        <w:rPr>
          <w:rFonts w:ascii="Times New Roman" w:hAnsi="Times New Roman" w:cs="Times New Roman"/>
          <w:sz w:val="24"/>
          <w:szCs w:val="24"/>
        </w:rPr>
      </w:pPr>
    </w:p>
    <w:p w:rsidR="006E235C" w:rsidRPr="00201D8B" w:rsidRDefault="006E235C" w:rsidP="00225F5C">
      <w:pPr>
        <w:spacing w:after="0" w:line="480" w:lineRule="auto"/>
        <w:jc w:val="both"/>
        <w:rPr>
          <w:rFonts w:ascii="Times New Roman" w:hAnsi="Times New Roman" w:cs="Times New Roman"/>
          <w:sz w:val="24"/>
          <w:szCs w:val="24"/>
        </w:rPr>
      </w:pPr>
      <w:r w:rsidRPr="00201D8B">
        <w:rPr>
          <w:rFonts w:ascii="Times New Roman" w:hAnsi="Times New Roman" w:cs="Times New Roman"/>
          <w:sz w:val="24"/>
          <w:szCs w:val="24"/>
        </w:rPr>
        <w:tab/>
      </w:r>
      <w:r w:rsidRPr="00201D8B">
        <w:rPr>
          <w:rFonts w:ascii="Times New Roman" w:hAnsi="Times New Roman" w:cs="Times New Roman"/>
          <w:sz w:val="24"/>
          <w:szCs w:val="24"/>
        </w:rPr>
        <w:tab/>
        <w:t>There is</w:t>
      </w:r>
      <w:r w:rsidR="00B573AA" w:rsidRPr="00201D8B">
        <w:rPr>
          <w:rFonts w:ascii="Times New Roman" w:hAnsi="Times New Roman" w:cs="Times New Roman"/>
          <w:sz w:val="24"/>
          <w:szCs w:val="24"/>
        </w:rPr>
        <w:t>, in</w:t>
      </w:r>
      <w:r w:rsidRPr="00201D8B">
        <w:rPr>
          <w:rFonts w:ascii="Times New Roman" w:hAnsi="Times New Roman" w:cs="Times New Roman"/>
          <w:sz w:val="24"/>
          <w:szCs w:val="24"/>
        </w:rPr>
        <w:t xml:space="preserve"> my view</w:t>
      </w:r>
      <w:r w:rsidR="00B573AA" w:rsidRPr="00201D8B">
        <w:rPr>
          <w:rFonts w:ascii="Times New Roman" w:hAnsi="Times New Roman" w:cs="Times New Roman"/>
          <w:sz w:val="24"/>
          <w:szCs w:val="24"/>
        </w:rPr>
        <w:t>,</w:t>
      </w:r>
      <w:r w:rsidR="00E34791">
        <w:rPr>
          <w:rFonts w:ascii="Times New Roman" w:hAnsi="Times New Roman" w:cs="Times New Roman"/>
          <w:sz w:val="24"/>
          <w:szCs w:val="24"/>
        </w:rPr>
        <w:t xml:space="preserve"> </w:t>
      </w:r>
      <w:r w:rsidR="00B573AA" w:rsidRPr="00201D8B">
        <w:rPr>
          <w:rFonts w:ascii="Times New Roman" w:hAnsi="Times New Roman" w:cs="Times New Roman"/>
          <w:sz w:val="24"/>
          <w:szCs w:val="24"/>
        </w:rPr>
        <w:t xml:space="preserve">no </w:t>
      </w:r>
      <w:r w:rsidRPr="00201D8B">
        <w:rPr>
          <w:rFonts w:ascii="Times New Roman" w:hAnsi="Times New Roman" w:cs="Times New Roman"/>
          <w:sz w:val="24"/>
          <w:szCs w:val="24"/>
        </w:rPr>
        <w:t>doubt that the</w:t>
      </w:r>
      <w:r w:rsidR="00B573AA" w:rsidRPr="00201D8B">
        <w:rPr>
          <w:rFonts w:ascii="Times New Roman" w:hAnsi="Times New Roman" w:cs="Times New Roman"/>
          <w:sz w:val="24"/>
          <w:szCs w:val="24"/>
        </w:rPr>
        <w:t xml:space="preserve"> learned</w:t>
      </w:r>
      <w:r w:rsidRPr="00201D8B">
        <w:rPr>
          <w:rFonts w:ascii="Times New Roman" w:hAnsi="Times New Roman" w:cs="Times New Roman"/>
          <w:sz w:val="24"/>
          <w:szCs w:val="24"/>
        </w:rPr>
        <w:t xml:space="preserve"> judge </w:t>
      </w:r>
      <w:r w:rsidRPr="00201D8B">
        <w:rPr>
          <w:rFonts w:ascii="Times New Roman" w:hAnsi="Times New Roman" w:cs="Times New Roman"/>
          <w:i/>
          <w:sz w:val="24"/>
          <w:szCs w:val="24"/>
        </w:rPr>
        <w:t>a quo</w:t>
      </w:r>
      <w:r w:rsidRPr="00201D8B">
        <w:rPr>
          <w:rFonts w:ascii="Times New Roman" w:hAnsi="Times New Roman" w:cs="Times New Roman"/>
          <w:sz w:val="24"/>
          <w:szCs w:val="24"/>
        </w:rPr>
        <w:t xml:space="preserve"> took into account all the relevant facts and was guided by the correct principles in its application of s 7 of the Act, to the </w:t>
      </w:r>
      <w:r w:rsidR="00B573AA" w:rsidRPr="00201D8B">
        <w:rPr>
          <w:rFonts w:ascii="Times New Roman" w:hAnsi="Times New Roman" w:cs="Times New Roman"/>
          <w:sz w:val="24"/>
          <w:szCs w:val="24"/>
        </w:rPr>
        <w:t>distribution of</w:t>
      </w:r>
      <w:r w:rsidRPr="00201D8B">
        <w:rPr>
          <w:rFonts w:ascii="Times New Roman" w:hAnsi="Times New Roman" w:cs="Times New Roman"/>
          <w:sz w:val="24"/>
          <w:szCs w:val="24"/>
        </w:rPr>
        <w:t xml:space="preserve"> the property in question.</w:t>
      </w:r>
    </w:p>
    <w:p w:rsidR="006E235C" w:rsidRPr="00201D8B" w:rsidRDefault="006E235C" w:rsidP="00225F5C">
      <w:pPr>
        <w:spacing w:after="0" w:line="480" w:lineRule="auto"/>
        <w:jc w:val="both"/>
        <w:rPr>
          <w:rFonts w:ascii="Times New Roman" w:hAnsi="Times New Roman" w:cs="Times New Roman"/>
          <w:sz w:val="24"/>
          <w:szCs w:val="24"/>
        </w:rPr>
      </w:pPr>
    </w:p>
    <w:p w:rsidR="006E235C" w:rsidRPr="00201D8B" w:rsidRDefault="006E235C" w:rsidP="00225F5C">
      <w:pPr>
        <w:spacing w:after="0" w:line="480" w:lineRule="auto"/>
        <w:jc w:val="both"/>
        <w:rPr>
          <w:rFonts w:ascii="Times New Roman" w:hAnsi="Times New Roman" w:cs="Times New Roman"/>
          <w:sz w:val="24"/>
          <w:szCs w:val="24"/>
        </w:rPr>
      </w:pPr>
      <w:r w:rsidRPr="00201D8B">
        <w:rPr>
          <w:rFonts w:ascii="Times New Roman" w:hAnsi="Times New Roman" w:cs="Times New Roman"/>
          <w:sz w:val="24"/>
          <w:szCs w:val="24"/>
        </w:rPr>
        <w:lastRenderedPageBreak/>
        <w:tab/>
      </w:r>
      <w:r w:rsidRPr="00201D8B">
        <w:rPr>
          <w:rFonts w:ascii="Times New Roman" w:hAnsi="Times New Roman" w:cs="Times New Roman"/>
          <w:sz w:val="24"/>
          <w:szCs w:val="24"/>
        </w:rPr>
        <w:tab/>
        <w:t xml:space="preserve">I therefore do not find that the </w:t>
      </w:r>
      <w:r w:rsidR="006070CF" w:rsidRPr="00201D8B">
        <w:rPr>
          <w:rFonts w:ascii="Times New Roman" w:hAnsi="Times New Roman" w:cs="Times New Roman"/>
          <w:sz w:val="24"/>
          <w:szCs w:val="24"/>
        </w:rPr>
        <w:t xml:space="preserve">court </w:t>
      </w:r>
      <w:r w:rsidR="006070CF" w:rsidRPr="00201D8B">
        <w:rPr>
          <w:rFonts w:ascii="Times New Roman" w:hAnsi="Times New Roman" w:cs="Times New Roman"/>
          <w:i/>
          <w:sz w:val="24"/>
          <w:szCs w:val="24"/>
        </w:rPr>
        <w:t>a quo</w:t>
      </w:r>
      <w:r w:rsidR="00D40714">
        <w:rPr>
          <w:rFonts w:ascii="Times New Roman" w:hAnsi="Times New Roman" w:cs="Times New Roman"/>
          <w:i/>
          <w:sz w:val="24"/>
          <w:szCs w:val="24"/>
        </w:rPr>
        <w:t xml:space="preserve"> </w:t>
      </w:r>
      <w:r w:rsidRPr="00201D8B">
        <w:rPr>
          <w:rFonts w:ascii="Times New Roman" w:hAnsi="Times New Roman" w:cs="Times New Roman"/>
          <w:sz w:val="24"/>
          <w:szCs w:val="24"/>
        </w:rPr>
        <w:t xml:space="preserve">exercised </w:t>
      </w:r>
      <w:r w:rsidR="006070CF" w:rsidRPr="00201D8B">
        <w:rPr>
          <w:rFonts w:ascii="Times New Roman" w:hAnsi="Times New Roman" w:cs="Times New Roman"/>
          <w:sz w:val="24"/>
          <w:szCs w:val="24"/>
        </w:rPr>
        <w:t xml:space="preserve">its </w:t>
      </w:r>
      <w:r w:rsidRPr="00201D8B">
        <w:rPr>
          <w:rFonts w:ascii="Times New Roman" w:hAnsi="Times New Roman" w:cs="Times New Roman"/>
          <w:sz w:val="24"/>
          <w:szCs w:val="24"/>
        </w:rPr>
        <w:t>discretion erroneously i</w:t>
      </w:r>
      <w:r w:rsidR="00EE01F6">
        <w:rPr>
          <w:rFonts w:ascii="Times New Roman" w:hAnsi="Times New Roman" w:cs="Times New Roman"/>
          <w:sz w:val="24"/>
          <w:szCs w:val="24"/>
        </w:rPr>
        <w:t>n making the award</w:t>
      </w:r>
      <w:r w:rsidRPr="00201D8B">
        <w:rPr>
          <w:rFonts w:ascii="Times New Roman" w:hAnsi="Times New Roman" w:cs="Times New Roman"/>
          <w:sz w:val="24"/>
          <w:szCs w:val="24"/>
        </w:rPr>
        <w:t xml:space="preserve"> that </w:t>
      </w:r>
      <w:r w:rsidR="006070CF" w:rsidRPr="00201D8B">
        <w:rPr>
          <w:rFonts w:ascii="Times New Roman" w:hAnsi="Times New Roman" w:cs="Times New Roman"/>
          <w:sz w:val="24"/>
          <w:szCs w:val="24"/>
        </w:rPr>
        <w:t xml:space="preserve">it </w:t>
      </w:r>
      <w:r w:rsidRPr="00201D8B">
        <w:rPr>
          <w:rFonts w:ascii="Times New Roman" w:hAnsi="Times New Roman" w:cs="Times New Roman"/>
          <w:sz w:val="24"/>
          <w:szCs w:val="24"/>
        </w:rPr>
        <w:t>did.  It follows that the appellant’s submission that the respondent would be unjustly enriched, is without merit.</w:t>
      </w:r>
    </w:p>
    <w:p w:rsidR="006E235C" w:rsidRPr="00201D8B" w:rsidRDefault="006E235C" w:rsidP="00990A38">
      <w:pPr>
        <w:spacing w:after="0" w:line="240" w:lineRule="auto"/>
        <w:jc w:val="both"/>
        <w:rPr>
          <w:rFonts w:ascii="Times New Roman" w:hAnsi="Times New Roman" w:cs="Times New Roman"/>
          <w:sz w:val="24"/>
          <w:szCs w:val="24"/>
        </w:rPr>
      </w:pPr>
    </w:p>
    <w:p w:rsidR="00636B55" w:rsidRPr="00201D8B" w:rsidRDefault="00636B55" w:rsidP="00990A38">
      <w:pPr>
        <w:spacing w:after="0" w:line="240" w:lineRule="auto"/>
        <w:jc w:val="both"/>
        <w:rPr>
          <w:rFonts w:ascii="Times New Roman" w:hAnsi="Times New Roman" w:cs="Times New Roman"/>
          <w:sz w:val="24"/>
          <w:szCs w:val="24"/>
        </w:rPr>
      </w:pPr>
    </w:p>
    <w:p w:rsidR="00140A72" w:rsidRDefault="006E235C" w:rsidP="00140A72">
      <w:pPr>
        <w:spacing w:after="0" w:line="480" w:lineRule="auto"/>
        <w:jc w:val="both"/>
        <w:rPr>
          <w:rFonts w:ascii="Times New Roman" w:hAnsi="Times New Roman" w:cs="Times New Roman"/>
          <w:sz w:val="24"/>
          <w:szCs w:val="24"/>
        </w:rPr>
      </w:pPr>
      <w:r w:rsidRPr="00201D8B">
        <w:rPr>
          <w:rFonts w:ascii="Times New Roman" w:hAnsi="Times New Roman" w:cs="Times New Roman"/>
          <w:sz w:val="24"/>
          <w:szCs w:val="24"/>
        </w:rPr>
        <w:tab/>
      </w:r>
      <w:r w:rsidRPr="00201D8B">
        <w:rPr>
          <w:rFonts w:ascii="Times New Roman" w:hAnsi="Times New Roman" w:cs="Times New Roman"/>
          <w:sz w:val="24"/>
          <w:szCs w:val="24"/>
        </w:rPr>
        <w:tab/>
        <w:t>I would accordingly dismiss this ground of appeal.</w:t>
      </w:r>
    </w:p>
    <w:p w:rsidR="002656AB" w:rsidRDefault="00225F5C" w:rsidP="00E34791">
      <w:pPr>
        <w:spacing w:after="0" w:line="240" w:lineRule="auto"/>
        <w:jc w:val="both"/>
        <w:rPr>
          <w:rFonts w:ascii="Times New Roman" w:hAnsi="Times New Roman" w:cs="Times New Roman"/>
          <w:sz w:val="24"/>
          <w:szCs w:val="24"/>
        </w:rPr>
      </w:pPr>
      <w:r w:rsidRPr="00201D8B">
        <w:rPr>
          <w:rFonts w:ascii="Times New Roman" w:hAnsi="Times New Roman" w:cs="Times New Roman"/>
          <w:sz w:val="24"/>
          <w:szCs w:val="24"/>
        </w:rPr>
        <w:tab/>
      </w:r>
    </w:p>
    <w:p w:rsidR="00140A72" w:rsidRPr="00201D8B" w:rsidRDefault="00140A72" w:rsidP="00140A72">
      <w:pPr>
        <w:spacing w:before="240" w:after="0" w:line="480" w:lineRule="auto"/>
        <w:jc w:val="both"/>
        <w:rPr>
          <w:rFonts w:ascii="Times New Roman" w:hAnsi="Times New Roman" w:cs="Times New Roman"/>
          <w:sz w:val="24"/>
          <w:szCs w:val="24"/>
        </w:rPr>
      </w:pPr>
      <w:r>
        <w:rPr>
          <w:rFonts w:ascii="Times New Roman" w:hAnsi="Times New Roman" w:cs="Times New Roman"/>
          <w:sz w:val="24"/>
          <w:szCs w:val="24"/>
        </w:rPr>
        <w:t>It was for the reasons contained herein that the appeal was dismissed, with no order as to costs.</w:t>
      </w:r>
    </w:p>
    <w:p w:rsidR="006070CF" w:rsidRPr="00201D8B" w:rsidRDefault="006070CF" w:rsidP="00B573AA">
      <w:pPr>
        <w:spacing w:before="240" w:after="0" w:line="240" w:lineRule="auto"/>
        <w:jc w:val="both"/>
        <w:rPr>
          <w:rFonts w:ascii="Times New Roman" w:hAnsi="Times New Roman" w:cs="Times New Roman"/>
          <w:sz w:val="24"/>
          <w:szCs w:val="24"/>
        </w:rPr>
      </w:pPr>
    </w:p>
    <w:p w:rsidR="00A25573" w:rsidRPr="00201D8B" w:rsidRDefault="00A25573" w:rsidP="00B573AA">
      <w:pPr>
        <w:spacing w:before="240" w:after="0" w:line="240" w:lineRule="auto"/>
        <w:jc w:val="both"/>
        <w:rPr>
          <w:rFonts w:ascii="Times New Roman" w:hAnsi="Times New Roman" w:cs="Times New Roman"/>
          <w:sz w:val="24"/>
          <w:szCs w:val="24"/>
        </w:rPr>
      </w:pPr>
    </w:p>
    <w:p w:rsidR="008A1019" w:rsidRPr="00201D8B" w:rsidRDefault="008A1019" w:rsidP="00A25573">
      <w:pPr>
        <w:spacing w:after="0" w:line="480" w:lineRule="auto"/>
        <w:jc w:val="both"/>
        <w:rPr>
          <w:rFonts w:ascii="Times New Roman" w:hAnsi="Times New Roman" w:cs="Times New Roman"/>
          <w:sz w:val="24"/>
          <w:szCs w:val="24"/>
        </w:rPr>
      </w:pPr>
      <w:r w:rsidRPr="00201D8B">
        <w:rPr>
          <w:rFonts w:ascii="Times New Roman" w:hAnsi="Times New Roman" w:cs="Times New Roman"/>
          <w:sz w:val="24"/>
          <w:szCs w:val="24"/>
        </w:rPr>
        <w:tab/>
      </w:r>
      <w:r w:rsidRPr="00201D8B">
        <w:rPr>
          <w:rFonts w:ascii="Times New Roman" w:hAnsi="Times New Roman" w:cs="Times New Roman"/>
          <w:sz w:val="24"/>
          <w:szCs w:val="24"/>
        </w:rPr>
        <w:tab/>
      </w:r>
      <w:r w:rsidRPr="00201D8B">
        <w:rPr>
          <w:rFonts w:ascii="Times New Roman" w:hAnsi="Times New Roman" w:cs="Times New Roman"/>
          <w:sz w:val="24"/>
          <w:szCs w:val="24"/>
        </w:rPr>
        <w:tab/>
      </w:r>
      <w:r w:rsidR="00D47619" w:rsidRPr="00201D8B">
        <w:rPr>
          <w:rFonts w:ascii="Times New Roman" w:hAnsi="Times New Roman" w:cs="Times New Roman"/>
          <w:b/>
          <w:sz w:val="24"/>
          <w:szCs w:val="24"/>
        </w:rPr>
        <w:t>ZIYAMBI</w:t>
      </w:r>
      <w:r w:rsidRPr="00201D8B">
        <w:rPr>
          <w:rFonts w:ascii="Times New Roman" w:hAnsi="Times New Roman" w:cs="Times New Roman"/>
          <w:b/>
          <w:sz w:val="24"/>
          <w:szCs w:val="24"/>
        </w:rPr>
        <w:t xml:space="preserve"> JA:</w:t>
      </w:r>
      <w:r w:rsidRPr="00201D8B">
        <w:rPr>
          <w:rFonts w:ascii="Times New Roman" w:hAnsi="Times New Roman" w:cs="Times New Roman"/>
          <w:b/>
          <w:sz w:val="24"/>
          <w:szCs w:val="24"/>
        </w:rPr>
        <w:tab/>
      </w:r>
      <w:r w:rsidRPr="00201D8B">
        <w:rPr>
          <w:rFonts w:ascii="Times New Roman" w:hAnsi="Times New Roman" w:cs="Times New Roman"/>
          <w:sz w:val="24"/>
          <w:szCs w:val="24"/>
        </w:rPr>
        <w:t>I agree</w:t>
      </w:r>
    </w:p>
    <w:p w:rsidR="008A1019" w:rsidRPr="00201D8B" w:rsidRDefault="008A1019" w:rsidP="006E52D9">
      <w:pPr>
        <w:spacing w:after="0" w:line="240" w:lineRule="auto"/>
        <w:ind w:left="90" w:firstLine="1350"/>
        <w:jc w:val="both"/>
        <w:rPr>
          <w:rFonts w:ascii="Times New Roman" w:hAnsi="Times New Roman" w:cs="Times New Roman"/>
          <w:b/>
          <w:sz w:val="24"/>
          <w:szCs w:val="24"/>
        </w:rPr>
      </w:pPr>
    </w:p>
    <w:p w:rsidR="00B573AA" w:rsidRDefault="00B573AA" w:rsidP="00A25573">
      <w:pPr>
        <w:spacing w:after="0" w:line="480" w:lineRule="auto"/>
        <w:ind w:left="90" w:firstLine="1350"/>
        <w:jc w:val="both"/>
        <w:rPr>
          <w:rFonts w:ascii="Times New Roman" w:hAnsi="Times New Roman" w:cs="Times New Roman"/>
          <w:b/>
          <w:sz w:val="24"/>
          <w:szCs w:val="24"/>
        </w:rPr>
      </w:pPr>
    </w:p>
    <w:p w:rsidR="008A1019" w:rsidRPr="00201D8B" w:rsidRDefault="00D47619" w:rsidP="00A25573">
      <w:pPr>
        <w:spacing w:after="0" w:line="480" w:lineRule="auto"/>
        <w:ind w:left="810" w:firstLine="1350"/>
        <w:jc w:val="both"/>
        <w:rPr>
          <w:rFonts w:ascii="Times New Roman" w:hAnsi="Times New Roman" w:cs="Times New Roman"/>
          <w:b/>
          <w:sz w:val="24"/>
          <w:szCs w:val="24"/>
        </w:rPr>
      </w:pPr>
      <w:r w:rsidRPr="00201D8B">
        <w:rPr>
          <w:rFonts w:ascii="Times New Roman" w:hAnsi="Times New Roman" w:cs="Times New Roman"/>
          <w:b/>
          <w:sz w:val="24"/>
          <w:szCs w:val="24"/>
        </w:rPr>
        <w:t>GOWORA</w:t>
      </w:r>
      <w:r w:rsidR="008A1019" w:rsidRPr="00201D8B">
        <w:rPr>
          <w:rFonts w:ascii="Times New Roman" w:hAnsi="Times New Roman" w:cs="Times New Roman"/>
          <w:b/>
          <w:sz w:val="24"/>
          <w:szCs w:val="24"/>
        </w:rPr>
        <w:t xml:space="preserve"> JA:</w:t>
      </w:r>
      <w:r w:rsidR="008A1019" w:rsidRPr="00201D8B">
        <w:rPr>
          <w:rFonts w:ascii="Times New Roman" w:hAnsi="Times New Roman" w:cs="Times New Roman"/>
          <w:b/>
          <w:sz w:val="24"/>
          <w:szCs w:val="24"/>
        </w:rPr>
        <w:tab/>
      </w:r>
      <w:r w:rsidR="008A1019" w:rsidRPr="00201D8B">
        <w:rPr>
          <w:rFonts w:ascii="Times New Roman" w:hAnsi="Times New Roman" w:cs="Times New Roman"/>
          <w:sz w:val="24"/>
          <w:szCs w:val="24"/>
        </w:rPr>
        <w:t>I agree</w:t>
      </w:r>
    </w:p>
    <w:p w:rsidR="00A25573" w:rsidRPr="00201D8B" w:rsidRDefault="00A25573" w:rsidP="00225F5C">
      <w:pPr>
        <w:spacing w:after="0" w:line="360" w:lineRule="auto"/>
        <w:jc w:val="both"/>
        <w:rPr>
          <w:rFonts w:ascii="Times New Roman" w:hAnsi="Times New Roman" w:cs="Times New Roman"/>
          <w:i/>
          <w:sz w:val="24"/>
          <w:szCs w:val="24"/>
        </w:rPr>
      </w:pPr>
    </w:p>
    <w:p w:rsidR="00A25573" w:rsidRDefault="00A25573" w:rsidP="00225F5C">
      <w:pPr>
        <w:spacing w:after="0" w:line="360" w:lineRule="auto"/>
        <w:jc w:val="both"/>
        <w:rPr>
          <w:rFonts w:ascii="Times New Roman" w:hAnsi="Times New Roman" w:cs="Times New Roman"/>
          <w:i/>
          <w:sz w:val="24"/>
          <w:szCs w:val="24"/>
        </w:rPr>
      </w:pPr>
    </w:p>
    <w:p w:rsidR="008A1019" w:rsidRPr="00201D8B" w:rsidRDefault="00225F5C" w:rsidP="00225F5C">
      <w:pPr>
        <w:spacing w:after="0" w:line="360" w:lineRule="auto"/>
        <w:jc w:val="both"/>
        <w:rPr>
          <w:rFonts w:ascii="Times New Roman" w:hAnsi="Times New Roman" w:cs="Times New Roman"/>
          <w:sz w:val="24"/>
          <w:szCs w:val="24"/>
        </w:rPr>
      </w:pPr>
      <w:r w:rsidRPr="00201D8B">
        <w:rPr>
          <w:rFonts w:ascii="Times New Roman" w:hAnsi="Times New Roman" w:cs="Times New Roman"/>
          <w:i/>
          <w:sz w:val="24"/>
          <w:szCs w:val="24"/>
        </w:rPr>
        <w:t>T.K. Hove &amp; Partners</w:t>
      </w:r>
      <w:r w:rsidR="008A1019" w:rsidRPr="00201D8B">
        <w:rPr>
          <w:rFonts w:ascii="Times New Roman" w:hAnsi="Times New Roman" w:cs="Times New Roman"/>
          <w:sz w:val="24"/>
          <w:szCs w:val="24"/>
        </w:rPr>
        <w:t>, appellant’s legal practitioners</w:t>
      </w:r>
    </w:p>
    <w:p w:rsidR="00D667DE" w:rsidRPr="00201D8B" w:rsidRDefault="00225F5C" w:rsidP="00990A38">
      <w:pPr>
        <w:spacing w:after="0" w:line="360" w:lineRule="auto"/>
        <w:jc w:val="both"/>
        <w:rPr>
          <w:rFonts w:ascii="Times New Roman" w:hAnsi="Times New Roman" w:cs="Times New Roman"/>
          <w:sz w:val="24"/>
          <w:szCs w:val="24"/>
        </w:rPr>
      </w:pPr>
      <w:proofErr w:type="spellStart"/>
      <w:r w:rsidRPr="00201D8B">
        <w:rPr>
          <w:rFonts w:ascii="Times New Roman" w:hAnsi="Times New Roman" w:cs="Times New Roman"/>
          <w:i/>
          <w:sz w:val="24"/>
          <w:szCs w:val="24"/>
        </w:rPr>
        <w:t>Mtetwa</w:t>
      </w:r>
      <w:proofErr w:type="spellEnd"/>
      <w:r w:rsidR="00E34791">
        <w:rPr>
          <w:rFonts w:ascii="Times New Roman" w:hAnsi="Times New Roman" w:cs="Times New Roman"/>
          <w:i/>
          <w:sz w:val="24"/>
          <w:szCs w:val="24"/>
        </w:rPr>
        <w:t xml:space="preserve"> </w:t>
      </w:r>
      <w:r w:rsidRPr="00201D8B">
        <w:rPr>
          <w:rFonts w:ascii="Times New Roman" w:hAnsi="Times New Roman" w:cs="Times New Roman"/>
          <w:i/>
          <w:sz w:val="24"/>
          <w:szCs w:val="24"/>
        </w:rPr>
        <w:t>&amp;</w:t>
      </w:r>
      <w:r w:rsidR="00E34791">
        <w:rPr>
          <w:rFonts w:ascii="Times New Roman" w:hAnsi="Times New Roman" w:cs="Times New Roman"/>
          <w:i/>
          <w:sz w:val="24"/>
          <w:szCs w:val="24"/>
        </w:rPr>
        <w:t xml:space="preserve"> </w:t>
      </w:r>
      <w:proofErr w:type="spellStart"/>
      <w:r w:rsidRPr="00201D8B">
        <w:rPr>
          <w:rFonts w:ascii="Times New Roman" w:hAnsi="Times New Roman" w:cs="Times New Roman"/>
          <w:i/>
          <w:sz w:val="24"/>
          <w:szCs w:val="24"/>
        </w:rPr>
        <w:t>Nyambirai</w:t>
      </w:r>
      <w:proofErr w:type="spellEnd"/>
      <w:r w:rsidR="008A1019" w:rsidRPr="00201D8B">
        <w:rPr>
          <w:rFonts w:ascii="Times New Roman" w:hAnsi="Times New Roman" w:cs="Times New Roman"/>
          <w:sz w:val="24"/>
          <w:szCs w:val="24"/>
        </w:rPr>
        <w:t>, respondent’</w:t>
      </w:r>
      <w:r w:rsidRPr="00201D8B">
        <w:rPr>
          <w:rFonts w:ascii="Times New Roman" w:hAnsi="Times New Roman" w:cs="Times New Roman"/>
          <w:sz w:val="24"/>
          <w:szCs w:val="24"/>
        </w:rPr>
        <w:t>s</w:t>
      </w:r>
      <w:r w:rsidR="008A1019" w:rsidRPr="00201D8B">
        <w:rPr>
          <w:rFonts w:ascii="Times New Roman" w:hAnsi="Times New Roman" w:cs="Times New Roman"/>
          <w:sz w:val="24"/>
          <w:szCs w:val="24"/>
        </w:rPr>
        <w:t xml:space="preserve"> legal practitioners</w:t>
      </w:r>
    </w:p>
    <w:sectPr w:rsidR="00D667DE" w:rsidRPr="00201D8B" w:rsidSect="00B42812">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3CBD" w:rsidRDefault="000C3CBD" w:rsidP="008A1019">
      <w:pPr>
        <w:spacing w:after="0" w:line="240" w:lineRule="auto"/>
      </w:pPr>
      <w:r>
        <w:separator/>
      </w:r>
    </w:p>
  </w:endnote>
  <w:endnote w:type="continuationSeparator" w:id="0">
    <w:p w:rsidR="000C3CBD" w:rsidRDefault="000C3CBD" w:rsidP="008A1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3CBD" w:rsidRDefault="000C3CBD" w:rsidP="008A1019">
      <w:pPr>
        <w:spacing w:after="0" w:line="240" w:lineRule="auto"/>
      </w:pPr>
      <w:r>
        <w:separator/>
      </w:r>
    </w:p>
  </w:footnote>
  <w:footnote w:type="continuationSeparator" w:id="0">
    <w:p w:rsidR="000C3CBD" w:rsidRDefault="000C3CBD" w:rsidP="008A10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090"/>
      <w:gridCol w:w="1152"/>
    </w:tblGrid>
    <w:tr w:rsidR="00D15527">
      <w:tc>
        <w:tcPr>
          <w:tcW w:w="0" w:type="auto"/>
          <w:tcBorders>
            <w:right w:val="single" w:sz="6" w:space="0" w:color="000000" w:themeColor="text1"/>
          </w:tcBorders>
        </w:tcPr>
        <w:sdt>
          <w:sdtPr>
            <w:alias w:val="Company"/>
            <w:id w:val="78735422"/>
            <w:placeholder>
              <w:docPart w:val="5456D18C97EF444FA40E26829F4F024B"/>
            </w:placeholder>
            <w:dataBinding w:prefixMappings="xmlns:ns0='http://schemas.openxmlformats.org/officeDocument/2006/extended-properties'" w:xpath="/ns0:Properties[1]/ns0:Company[1]" w:storeItemID="{6668398D-A668-4E3E-A5EB-62B293D839F1}"/>
            <w:text/>
          </w:sdtPr>
          <w:sdtEndPr/>
          <w:sdtContent>
            <w:p w:rsidR="00D15527" w:rsidRDefault="008D54E4">
              <w:pPr>
                <w:pStyle w:val="Header"/>
                <w:jc w:val="right"/>
              </w:pPr>
              <w:r>
                <w:t>Judgment No. SC 29</w:t>
              </w:r>
              <w:r w:rsidR="008A1019">
                <w:t>/14</w:t>
              </w:r>
            </w:p>
          </w:sdtContent>
        </w:sdt>
        <w:sdt>
          <w:sdtPr>
            <w:rPr>
              <w:b/>
              <w:bCs/>
            </w:rPr>
            <w:alias w:val="Title"/>
            <w:id w:val="78735415"/>
            <w:placeholder>
              <w:docPart w:val="D4C871D75C4F47D19548014881D232C1"/>
            </w:placeholder>
            <w:dataBinding w:prefixMappings="xmlns:ns0='http://schemas.openxmlformats.org/package/2006/metadata/core-properties' xmlns:ns1='http://purl.org/dc/elements/1.1/'" w:xpath="/ns0:coreProperties[1]/ns1:title[1]" w:storeItemID="{6C3C8BC8-F283-45AE-878A-BAB7291924A1}"/>
            <w:text/>
          </w:sdtPr>
          <w:sdtEndPr/>
          <w:sdtContent>
            <w:p w:rsidR="00D15527" w:rsidRDefault="008A1019" w:rsidP="008A1019">
              <w:pPr>
                <w:pStyle w:val="Header"/>
                <w:jc w:val="right"/>
                <w:rPr>
                  <w:b/>
                  <w:bCs/>
                </w:rPr>
              </w:pPr>
              <w:r>
                <w:rPr>
                  <w:b/>
                  <w:bCs/>
                </w:rPr>
                <w:t>Civil Appeal No. SC 157/10</w:t>
              </w:r>
            </w:p>
          </w:sdtContent>
        </w:sdt>
      </w:tc>
      <w:tc>
        <w:tcPr>
          <w:tcW w:w="1152" w:type="dxa"/>
          <w:tcBorders>
            <w:left w:val="single" w:sz="6" w:space="0" w:color="000000" w:themeColor="text1"/>
          </w:tcBorders>
        </w:tcPr>
        <w:p w:rsidR="00D15527" w:rsidRDefault="007A70FF">
          <w:pPr>
            <w:pStyle w:val="Header"/>
            <w:rPr>
              <w:b/>
            </w:rPr>
          </w:pPr>
          <w:r>
            <w:fldChar w:fldCharType="begin"/>
          </w:r>
          <w:r w:rsidR="00216F53">
            <w:instrText xml:space="preserve"> PAGE   \* MERGEFORMAT </w:instrText>
          </w:r>
          <w:r>
            <w:fldChar w:fldCharType="separate"/>
          </w:r>
          <w:r w:rsidR="00257566">
            <w:rPr>
              <w:noProof/>
            </w:rPr>
            <w:t>12</w:t>
          </w:r>
          <w:r>
            <w:fldChar w:fldCharType="end"/>
          </w:r>
        </w:p>
      </w:tc>
    </w:tr>
  </w:tbl>
  <w:p w:rsidR="00D15527" w:rsidRDefault="000C3C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3DB6"/>
    <w:multiLevelType w:val="hybridMultilevel"/>
    <w:tmpl w:val="3D94E8D6"/>
    <w:lvl w:ilvl="0" w:tplc="34260320">
      <w:start w:val="3"/>
      <w:numFmt w:val="decimal"/>
      <w:lvlText w:val="%1."/>
      <w:lvlJc w:val="left"/>
      <w:pPr>
        <w:ind w:left="1778" w:hanging="360"/>
      </w:pPr>
      <w:rPr>
        <w:rFonts w:hint="default"/>
      </w:rPr>
    </w:lvl>
    <w:lvl w:ilvl="1" w:tplc="30090019" w:tentative="1">
      <w:start w:val="1"/>
      <w:numFmt w:val="lowerLetter"/>
      <w:lvlText w:val="%2."/>
      <w:lvlJc w:val="left"/>
      <w:pPr>
        <w:ind w:left="2498" w:hanging="360"/>
      </w:pPr>
    </w:lvl>
    <w:lvl w:ilvl="2" w:tplc="3009001B" w:tentative="1">
      <w:start w:val="1"/>
      <w:numFmt w:val="lowerRoman"/>
      <w:lvlText w:val="%3."/>
      <w:lvlJc w:val="right"/>
      <w:pPr>
        <w:ind w:left="3218" w:hanging="180"/>
      </w:pPr>
    </w:lvl>
    <w:lvl w:ilvl="3" w:tplc="3009000F" w:tentative="1">
      <w:start w:val="1"/>
      <w:numFmt w:val="decimal"/>
      <w:lvlText w:val="%4."/>
      <w:lvlJc w:val="left"/>
      <w:pPr>
        <w:ind w:left="3938" w:hanging="360"/>
      </w:pPr>
    </w:lvl>
    <w:lvl w:ilvl="4" w:tplc="30090019" w:tentative="1">
      <w:start w:val="1"/>
      <w:numFmt w:val="lowerLetter"/>
      <w:lvlText w:val="%5."/>
      <w:lvlJc w:val="left"/>
      <w:pPr>
        <w:ind w:left="4658" w:hanging="360"/>
      </w:pPr>
    </w:lvl>
    <w:lvl w:ilvl="5" w:tplc="3009001B" w:tentative="1">
      <w:start w:val="1"/>
      <w:numFmt w:val="lowerRoman"/>
      <w:lvlText w:val="%6."/>
      <w:lvlJc w:val="right"/>
      <w:pPr>
        <w:ind w:left="5378" w:hanging="180"/>
      </w:pPr>
    </w:lvl>
    <w:lvl w:ilvl="6" w:tplc="3009000F" w:tentative="1">
      <w:start w:val="1"/>
      <w:numFmt w:val="decimal"/>
      <w:lvlText w:val="%7."/>
      <w:lvlJc w:val="left"/>
      <w:pPr>
        <w:ind w:left="6098" w:hanging="360"/>
      </w:pPr>
    </w:lvl>
    <w:lvl w:ilvl="7" w:tplc="30090019" w:tentative="1">
      <w:start w:val="1"/>
      <w:numFmt w:val="lowerLetter"/>
      <w:lvlText w:val="%8."/>
      <w:lvlJc w:val="left"/>
      <w:pPr>
        <w:ind w:left="6818" w:hanging="360"/>
      </w:pPr>
    </w:lvl>
    <w:lvl w:ilvl="8" w:tplc="3009001B" w:tentative="1">
      <w:start w:val="1"/>
      <w:numFmt w:val="lowerRoman"/>
      <w:lvlText w:val="%9."/>
      <w:lvlJc w:val="right"/>
      <w:pPr>
        <w:ind w:left="7538" w:hanging="180"/>
      </w:pPr>
    </w:lvl>
  </w:abstractNum>
  <w:abstractNum w:abstractNumId="1">
    <w:nsid w:val="00322911"/>
    <w:multiLevelType w:val="hybridMultilevel"/>
    <w:tmpl w:val="4FF6DF96"/>
    <w:lvl w:ilvl="0" w:tplc="9DC65318">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nsid w:val="04920718"/>
    <w:multiLevelType w:val="hybridMultilevel"/>
    <w:tmpl w:val="CF9E554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nsid w:val="11A87B3F"/>
    <w:multiLevelType w:val="hybridMultilevel"/>
    <w:tmpl w:val="B624330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nsid w:val="129D44F7"/>
    <w:multiLevelType w:val="hybridMultilevel"/>
    <w:tmpl w:val="BD76D78C"/>
    <w:lvl w:ilvl="0" w:tplc="F1A0336A">
      <w:start w:val="1"/>
      <w:numFmt w:val="lowerRoman"/>
      <w:lvlText w:val="(%1)"/>
      <w:lvlJc w:val="left"/>
      <w:pPr>
        <w:ind w:left="1931" w:hanging="108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nsid w:val="159237D3"/>
    <w:multiLevelType w:val="hybridMultilevel"/>
    <w:tmpl w:val="9ACAB5CC"/>
    <w:lvl w:ilvl="0" w:tplc="58923124">
      <w:start w:val="1"/>
      <w:numFmt w:val="lowerRoman"/>
      <w:lvlText w:val="%1)"/>
      <w:lvlJc w:val="left"/>
      <w:pPr>
        <w:ind w:left="1800" w:hanging="72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6">
    <w:nsid w:val="16DA51C5"/>
    <w:multiLevelType w:val="hybridMultilevel"/>
    <w:tmpl w:val="A28EB1C4"/>
    <w:lvl w:ilvl="0" w:tplc="4546E0E8">
      <w:start w:val="1"/>
      <w:numFmt w:val="lowerRoman"/>
      <w:lvlText w:val="(%1)"/>
      <w:lvlJc w:val="left"/>
      <w:pPr>
        <w:ind w:left="2160" w:hanging="720"/>
      </w:pPr>
      <w:rPr>
        <w:rFonts w:ascii="Courier New" w:hAnsi="Courier New" w:cs="Courier New" w:hint="default"/>
        <w:sz w:val="24"/>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7">
    <w:nsid w:val="1FA52F3C"/>
    <w:multiLevelType w:val="hybridMultilevel"/>
    <w:tmpl w:val="4FEED716"/>
    <w:lvl w:ilvl="0" w:tplc="3009000F">
      <w:start w:val="3"/>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nsid w:val="1FD90CA5"/>
    <w:multiLevelType w:val="hybridMultilevel"/>
    <w:tmpl w:val="EBC687E6"/>
    <w:lvl w:ilvl="0" w:tplc="10DE8FCC">
      <w:start w:val="1"/>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9">
    <w:nsid w:val="23A412EC"/>
    <w:multiLevelType w:val="hybridMultilevel"/>
    <w:tmpl w:val="A9525E28"/>
    <w:lvl w:ilvl="0" w:tplc="4CF24530">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nsid w:val="36BC79FF"/>
    <w:multiLevelType w:val="hybridMultilevel"/>
    <w:tmpl w:val="41EC7B30"/>
    <w:lvl w:ilvl="0" w:tplc="43EC27C8">
      <w:start w:val="1"/>
      <w:numFmt w:val="lowerRoman"/>
      <w:lvlText w:val="%1)"/>
      <w:lvlJc w:val="left"/>
      <w:pPr>
        <w:ind w:left="1170" w:hanging="720"/>
      </w:pPr>
      <w:rPr>
        <w:rFonts w:ascii="Courier New" w:eastAsiaTheme="minorHAnsi" w:hAnsi="Courier New" w:cs="Courier New"/>
      </w:rPr>
    </w:lvl>
    <w:lvl w:ilvl="1" w:tplc="30090019" w:tentative="1">
      <w:start w:val="1"/>
      <w:numFmt w:val="lowerLetter"/>
      <w:lvlText w:val="%2."/>
      <w:lvlJc w:val="left"/>
      <w:pPr>
        <w:ind w:left="1530" w:hanging="360"/>
      </w:pPr>
    </w:lvl>
    <w:lvl w:ilvl="2" w:tplc="3009001B" w:tentative="1">
      <w:start w:val="1"/>
      <w:numFmt w:val="lowerRoman"/>
      <w:lvlText w:val="%3."/>
      <w:lvlJc w:val="right"/>
      <w:pPr>
        <w:ind w:left="2250" w:hanging="180"/>
      </w:pPr>
    </w:lvl>
    <w:lvl w:ilvl="3" w:tplc="3009000F" w:tentative="1">
      <w:start w:val="1"/>
      <w:numFmt w:val="decimal"/>
      <w:lvlText w:val="%4."/>
      <w:lvlJc w:val="left"/>
      <w:pPr>
        <w:ind w:left="2970" w:hanging="360"/>
      </w:pPr>
    </w:lvl>
    <w:lvl w:ilvl="4" w:tplc="30090019" w:tentative="1">
      <w:start w:val="1"/>
      <w:numFmt w:val="lowerLetter"/>
      <w:lvlText w:val="%5."/>
      <w:lvlJc w:val="left"/>
      <w:pPr>
        <w:ind w:left="3690" w:hanging="360"/>
      </w:pPr>
    </w:lvl>
    <w:lvl w:ilvl="5" w:tplc="3009001B" w:tentative="1">
      <w:start w:val="1"/>
      <w:numFmt w:val="lowerRoman"/>
      <w:lvlText w:val="%6."/>
      <w:lvlJc w:val="right"/>
      <w:pPr>
        <w:ind w:left="4410" w:hanging="180"/>
      </w:pPr>
    </w:lvl>
    <w:lvl w:ilvl="6" w:tplc="3009000F" w:tentative="1">
      <w:start w:val="1"/>
      <w:numFmt w:val="decimal"/>
      <w:lvlText w:val="%7."/>
      <w:lvlJc w:val="left"/>
      <w:pPr>
        <w:ind w:left="5130" w:hanging="360"/>
      </w:pPr>
    </w:lvl>
    <w:lvl w:ilvl="7" w:tplc="30090019" w:tentative="1">
      <w:start w:val="1"/>
      <w:numFmt w:val="lowerLetter"/>
      <w:lvlText w:val="%8."/>
      <w:lvlJc w:val="left"/>
      <w:pPr>
        <w:ind w:left="5850" w:hanging="360"/>
      </w:pPr>
    </w:lvl>
    <w:lvl w:ilvl="8" w:tplc="3009001B" w:tentative="1">
      <w:start w:val="1"/>
      <w:numFmt w:val="lowerRoman"/>
      <w:lvlText w:val="%9."/>
      <w:lvlJc w:val="right"/>
      <w:pPr>
        <w:ind w:left="6570" w:hanging="180"/>
      </w:pPr>
    </w:lvl>
  </w:abstractNum>
  <w:abstractNum w:abstractNumId="11">
    <w:nsid w:val="442E532E"/>
    <w:multiLevelType w:val="hybridMultilevel"/>
    <w:tmpl w:val="EFAC3DEE"/>
    <w:lvl w:ilvl="0" w:tplc="25E2CC1C">
      <w:start w:val="3"/>
      <w:numFmt w:val="lowerLetter"/>
      <w:lvlText w:val="(%1)"/>
      <w:lvlJc w:val="left"/>
      <w:pPr>
        <w:ind w:left="1571" w:hanging="720"/>
      </w:pPr>
      <w:rPr>
        <w:rFonts w:hint="default"/>
      </w:rPr>
    </w:lvl>
    <w:lvl w:ilvl="1" w:tplc="30090019" w:tentative="1">
      <w:start w:val="1"/>
      <w:numFmt w:val="lowerLetter"/>
      <w:lvlText w:val="%2."/>
      <w:lvlJc w:val="left"/>
      <w:pPr>
        <w:ind w:left="1931" w:hanging="360"/>
      </w:pPr>
    </w:lvl>
    <w:lvl w:ilvl="2" w:tplc="3009001B" w:tentative="1">
      <w:start w:val="1"/>
      <w:numFmt w:val="lowerRoman"/>
      <w:lvlText w:val="%3."/>
      <w:lvlJc w:val="right"/>
      <w:pPr>
        <w:ind w:left="2651" w:hanging="180"/>
      </w:pPr>
    </w:lvl>
    <w:lvl w:ilvl="3" w:tplc="3009000F" w:tentative="1">
      <w:start w:val="1"/>
      <w:numFmt w:val="decimal"/>
      <w:lvlText w:val="%4."/>
      <w:lvlJc w:val="left"/>
      <w:pPr>
        <w:ind w:left="3371" w:hanging="360"/>
      </w:pPr>
    </w:lvl>
    <w:lvl w:ilvl="4" w:tplc="30090019" w:tentative="1">
      <w:start w:val="1"/>
      <w:numFmt w:val="lowerLetter"/>
      <w:lvlText w:val="%5."/>
      <w:lvlJc w:val="left"/>
      <w:pPr>
        <w:ind w:left="4091" w:hanging="360"/>
      </w:pPr>
    </w:lvl>
    <w:lvl w:ilvl="5" w:tplc="3009001B" w:tentative="1">
      <w:start w:val="1"/>
      <w:numFmt w:val="lowerRoman"/>
      <w:lvlText w:val="%6."/>
      <w:lvlJc w:val="right"/>
      <w:pPr>
        <w:ind w:left="4811" w:hanging="180"/>
      </w:pPr>
    </w:lvl>
    <w:lvl w:ilvl="6" w:tplc="3009000F" w:tentative="1">
      <w:start w:val="1"/>
      <w:numFmt w:val="decimal"/>
      <w:lvlText w:val="%7."/>
      <w:lvlJc w:val="left"/>
      <w:pPr>
        <w:ind w:left="5531" w:hanging="360"/>
      </w:pPr>
    </w:lvl>
    <w:lvl w:ilvl="7" w:tplc="30090019" w:tentative="1">
      <w:start w:val="1"/>
      <w:numFmt w:val="lowerLetter"/>
      <w:lvlText w:val="%8."/>
      <w:lvlJc w:val="left"/>
      <w:pPr>
        <w:ind w:left="6251" w:hanging="360"/>
      </w:pPr>
    </w:lvl>
    <w:lvl w:ilvl="8" w:tplc="3009001B" w:tentative="1">
      <w:start w:val="1"/>
      <w:numFmt w:val="lowerRoman"/>
      <w:lvlText w:val="%9."/>
      <w:lvlJc w:val="right"/>
      <w:pPr>
        <w:ind w:left="6971" w:hanging="180"/>
      </w:pPr>
    </w:lvl>
  </w:abstractNum>
  <w:abstractNum w:abstractNumId="12">
    <w:nsid w:val="4DBD7E09"/>
    <w:multiLevelType w:val="hybridMultilevel"/>
    <w:tmpl w:val="1820D30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3">
    <w:nsid w:val="56C1038E"/>
    <w:multiLevelType w:val="hybridMultilevel"/>
    <w:tmpl w:val="71CE444A"/>
    <w:lvl w:ilvl="0" w:tplc="398C16FC">
      <w:start w:val="1"/>
      <w:numFmt w:val="lowerRoman"/>
      <w:lvlText w:val="%1)"/>
      <w:lvlJc w:val="left"/>
      <w:pPr>
        <w:ind w:left="1800" w:hanging="1080"/>
      </w:pPr>
      <w:rPr>
        <w:rFonts w:ascii="Courier New" w:eastAsiaTheme="minorHAnsi" w:hAnsi="Courier New" w:cs="Courier New"/>
        <w:b w:val="0"/>
        <w:u w:val="none"/>
      </w:rPr>
    </w:lvl>
    <w:lvl w:ilvl="1" w:tplc="30090019">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4">
    <w:nsid w:val="57B45D16"/>
    <w:multiLevelType w:val="hybridMultilevel"/>
    <w:tmpl w:val="F4586DB6"/>
    <w:lvl w:ilvl="0" w:tplc="8558E272">
      <w:start w:val="1"/>
      <w:numFmt w:val="lowerLetter"/>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5">
    <w:nsid w:val="57CC708B"/>
    <w:multiLevelType w:val="hybridMultilevel"/>
    <w:tmpl w:val="35A0B78E"/>
    <w:lvl w:ilvl="0" w:tplc="54A00B48">
      <w:start w:val="1"/>
      <w:numFmt w:val="lowerRoman"/>
      <w:lvlText w:val="%1)"/>
      <w:lvlJc w:val="left"/>
      <w:pPr>
        <w:ind w:left="1440" w:hanging="1080"/>
      </w:pPr>
      <w:rPr>
        <w:rFonts w:ascii="Courier New" w:eastAsiaTheme="minorHAnsi" w:hAnsi="Courier New" w:cs="Courier New"/>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6">
    <w:nsid w:val="5BF623D5"/>
    <w:multiLevelType w:val="hybridMultilevel"/>
    <w:tmpl w:val="9C7235F0"/>
    <w:lvl w:ilvl="0" w:tplc="49163D86">
      <w:start w:val="1"/>
      <w:numFmt w:val="upperRoman"/>
      <w:lvlText w:val="(%1)"/>
      <w:lvlJc w:val="left"/>
      <w:pPr>
        <w:ind w:left="1800" w:hanging="108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7">
    <w:nsid w:val="5DFB3D44"/>
    <w:multiLevelType w:val="hybridMultilevel"/>
    <w:tmpl w:val="2AAC9540"/>
    <w:lvl w:ilvl="0" w:tplc="D08E86F0">
      <w:start w:val="1"/>
      <w:numFmt w:val="decimal"/>
      <w:lvlText w:val="%1."/>
      <w:lvlJc w:val="left"/>
      <w:pPr>
        <w:ind w:left="1778" w:hanging="360"/>
      </w:pPr>
      <w:rPr>
        <w:rFonts w:hint="default"/>
      </w:rPr>
    </w:lvl>
    <w:lvl w:ilvl="1" w:tplc="30090019" w:tentative="1">
      <w:start w:val="1"/>
      <w:numFmt w:val="lowerLetter"/>
      <w:lvlText w:val="%2."/>
      <w:lvlJc w:val="left"/>
      <w:pPr>
        <w:ind w:left="2498" w:hanging="360"/>
      </w:pPr>
    </w:lvl>
    <w:lvl w:ilvl="2" w:tplc="3009001B" w:tentative="1">
      <w:start w:val="1"/>
      <w:numFmt w:val="lowerRoman"/>
      <w:lvlText w:val="%3."/>
      <w:lvlJc w:val="right"/>
      <w:pPr>
        <w:ind w:left="3218" w:hanging="180"/>
      </w:pPr>
    </w:lvl>
    <w:lvl w:ilvl="3" w:tplc="3009000F" w:tentative="1">
      <w:start w:val="1"/>
      <w:numFmt w:val="decimal"/>
      <w:lvlText w:val="%4."/>
      <w:lvlJc w:val="left"/>
      <w:pPr>
        <w:ind w:left="3938" w:hanging="360"/>
      </w:pPr>
    </w:lvl>
    <w:lvl w:ilvl="4" w:tplc="30090019" w:tentative="1">
      <w:start w:val="1"/>
      <w:numFmt w:val="lowerLetter"/>
      <w:lvlText w:val="%5."/>
      <w:lvlJc w:val="left"/>
      <w:pPr>
        <w:ind w:left="4658" w:hanging="360"/>
      </w:pPr>
    </w:lvl>
    <w:lvl w:ilvl="5" w:tplc="3009001B" w:tentative="1">
      <w:start w:val="1"/>
      <w:numFmt w:val="lowerRoman"/>
      <w:lvlText w:val="%6."/>
      <w:lvlJc w:val="right"/>
      <w:pPr>
        <w:ind w:left="5378" w:hanging="180"/>
      </w:pPr>
    </w:lvl>
    <w:lvl w:ilvl="6" w:tplc="3009000F" w:tentative="1">
      <w:start w:val="1"/>
      <w:numFmt w:val="decimal"/>
      <w:lvlText w:val="%7."/>
      <w:lvlJc w:val="left"/>
      <w:pPr>
        <w:ind w:left="6098" w:hanging="360"/>
      </w:pPr>
    </w:lvl>
    <w:lvl w:ilvl="7" w:tplc="30090019" w:tentative="1">
      <w:start w:val="1"/>
      <w:numFmt w:val="lowerLetter"/>
      <w:lvlText w:val="%8."/>
      <w:lvlJc w:val="left"/>
      <w:pPr>
        <w:ind w:left="6818" w:hanging="360"/>
      </w:pPr>
    </w:lvl>
    <w:lvl w:ilvl="8" w:tplc="3009001B" w:tentative="1">
      <w:start w:val="1"/>
      <w:numFmt w:val="lowerRoman"/>
      <w:lvlText w:val="%9."/>
      <w:lvlJc w:val="right"/>
      <w:pPr>
        <w:ind w:left="7538" w:hanging="180"/>
      </w:pPr>
    </w:lvl>
  </w:abstractNum>
  <w:abstractNum w:abstractNumId="18">
    <w:nsid w:val="5F9C275F"/>
    <w:multiLevelType w:val="hybridMultilevel"/>
    <w:tmpl w:val="3B129506"/>
    <w:lvl w:ilvl="0" w:tplc="0A1412F8">
      <w:start w:val="1"/>
      <w:numFmt w:val="lowerRoman"/>
      <w:lvlText w:val="(%1)"/>
      <w:lvlJc w:val="left"/>
      <w:pPr>
        <w:ind w:left="1800" w:hanging="108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9">
    <w:nsid w:val="5FB90ED5"/>
    <w:multiLevelType w:val="hybridMultilevel"/>
    <w:tmpl w:val="A1BC5474"/>
    <w:lvl w:ilvl="0" w:tplc="00724D94">
      <w:start w:val="1"/>
      <w:numFmt w:val="lowerRoman"/>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20">
    <w:nsid w:val="6DB342A1"/>
    <w:multiLevelType w:val="hybridMultilevel"/>
    <w:tmpl w:val="15BAF3D6"/>
    <w:lvl w:ilvl="0" w:tplc="9498F080">
      <w:start w:val="1"/>
      <w:numFmt w:val="lowerLetter"/>
      <w:lvlText w:val="%1)"/>
      <w:lvlJc w:val="left"/>
      <w:pPr>
        <w:ind w:left="1080" w:hanging="360"/>
      </w:pPr>
      <w:rPr>
        <w:rFonts w:hint="default"/>
      </w:rPr>
    </w:lvl>
    <w:lvl w:ilvl="1" w:tplc="30090019">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1">
    <w:nsid w:val="71077005"/>
    <w:multiLevelType w:val="hybridMultilevel"/>
    <w:tmpl w:val="22F0BB96"/>
    <w:lvl w:ilvl="0" w:tplc="13E6CCD8">
      <w:start w:val="1"/>
      <w:numFmt w:val="lowerLetter"/>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6"/>
  </w:num>
  <w:num w:numId="2">
    <w:abstractNumId w:val="13"/>
  </w:num>
  <w:num w:numId="3">
    <w:abstractNumId w:val="1"/>
  </w:num>
  <w:num w:numId="4">
    <w:abstractNumId w:val="5"/>
  </w:num>
  <w:num w:numId="5">
    <w:abstractNumId w:val="16"/>
  </w:num>
  <w:num w:numId="6">
    <w:abstractNumId w:val="18"/>
  </w:num>
  <w:num w:numId="7">
    <w:abstractNumId w:val="15"/>
  </w:num>
  <w:num w:numId="8">
    <w:abstractNumId w:val="10"/>
  </w:num>
  <w:num w:numId="9">
    <w:abstractNumId w:val="4"/>
  </w:num>
  <w:num w:numId="10">
    <w:abstractNumId w:val="17"/>
  </w:num>
  <w:num w:numId="11">
    <w:abstractNumId w:val="21"/>
  </w:num>
  <w:num w:numId="12">
    <w:abstractNumId w:val="14"/>
  </w:num>
  <w:num w:numId="13">
    <w:abstractNumId w:val="3"/>
  </w:num>
  <w:num w:numId="14">
    <w:abstractNumId w:val="12"/>
  </w:num>
  <w:num w:numId="15">
    <w:abstractNumId w:val="20"/>
  </w:num>
  <w:num w:numId="16">
    <w:abstractNumId w:val="11"/>
  </w:num>
  <w:num w:numId="17">
    <w:abstractNumId w:val="0"/>
  </w:num>
  <w:num w:numId="18">
    <w:abstractNumId w:val="7"/>
  </w:num>
  <w:num w:numId="19">
    <w:abstractNumId w:val="2"/>
  </w:num>
  <w:num w:numId="20">
    <w:abstractNumId w:val="19"/>
  </w:num>
  <w:num w:numId="21">
    <w:abstractNumId w:val="9"/>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019"/>
    <w:rsid w:val="00003F97"/>
    <w:rsid w:val="00042328"/>
    <w:rsid w:val="00043F03"/>
    <w:rsid w:val="00047ECD"/>
    <w:rsid w:val="000C3CBD"/>
    <w:rsid w:val="000E1B45"/>
    <w:rsid w:val="000E6248"/>
    <w:rsid w:val="000F13EB"/>
    <w:rsid w:val="00113285"/>
    <w:rsid w:val="0011548D"/>
    <w:rsid w:val="00140A72"/>
    <w:rsid w:val="00145F02"/>
    <w:rsid w:val="001541C3"/>
    <w:rsid w:val="001626B6"/>
    <w:rsid w:val="00174EFC"/>
    <w:rsid w:val="00194089"/>
    <w:rsid w:val="001C0CBE"/>
    <w:rsid w:val="001C46DE"/>
    <w:rsid w:val="001C6C51"/>
    <w:rsid w:val="001E627C"/>
    <w:rsid w:val="00201D8B"/>
    <w:rsid w:val="00204CC8"/>
    <w:rsid w:val="00216F53"/>
    <w:rsid w:val="00221DA5"/>
    <w:rsid w:val="00225F5C"/>
    <w:rsid w:val="00231E16"/>
    <w:rsid w:val="0024360E"/>
    <w:rsid w:val="00257566"/>
    <w:rsid w:val="002656AB"/>
    <w:rsid w:val="00272439"/>
    <w:rsid w:val="00273247"/>
    <w:rsid w:val="002921B2"/>
    <w:rsid w:val="00292EB3"/>
    <w:rsid w:val="002A567D"/>
    <w:rsid w:val="002B0C63"/>
    <w:rsid w:val="002C56B4"/>
    <w:rsid w:val="002D2F08"/>
    <w:rsid w:val="002F38FA"/>
    <w:rsid w:val="00322E87"/>
    <w:rsid w:val="003374EE"/>
    <w:rsid w:val="00364B53"/>
    <w:rsid w:val="00374F29"/>
    <w:rsid w:val="003B7F6F"/>
    <w:rsid w:val="003F27B0"/>
    <w:rsid w:val="00407EB5"/>
    <w:rsid w:val="00417D2C"/>
    <w:rsid w:val="00423953"/>
    <w:rsid w:val="00423D33"/>
    <w:rsid w:val="0044181A"/>
    <w:rsid w:val="004614A7"/>
    <w:rsid w:val="00490039"/>
    <w:rsid w:val="004A162A"/>
    <w:rsid w:val="004A1A5F"/>
    <w:rsid w:val="004A2377"/>
    <w:rsid w:val="004B4112"/>
    <w:rsid w:val="00504640"/>
    <w:rsid w:val="00520E8F"/>
    <w:rsid w:val="00565B29"/>
    <w:rsid w:val="00566D34"/>
    <w:rsid w:val="00581D19"/>
    <w:rsid w:val="005861AC"/>
    <w:rsid w:val="005A4105"/>
    <w:rsid w:val="005B16EA"/>
    <w:rsid w:val="006070CF"/>
    <w:rsid w:val="00615806"/>
    <w:rsid w:val="00620FFC"/>
    <w:rsid w:val="00636B55"/>
    <w:rsid w:val="006D10E1"/>
    <w:rsid w:val="006D23D1"/>
    <w:rsid w:val="006E235C"/>
    <w:rsid w:val="006E52D9"/>
    <w:rsid w:val="007348B0"/>
    <w:rsid w:val="007377D7"/>
    <w:rsid w:val="0075713E"/>
    <w:rsid w:val="007A70FF"/>
    <w:rsid w:val="007F3AFA"/>
    <w:rsid w:val="00805C5B"/>
    <w:rsid w:val="008152FC"/>
    <w:rsid w:val="008233A1"/>
    <w:rsid w:val="00826641"/>
    <w:rsid w:val="00856E58"/>
    <w:rsid w:val="00866950"/>
    <w:rsid w:val="008A1019"/>
    <w:rsid w:val="008A2AA2"/>
    <w:rsid w:val="008C5F08"/>
    <w:rsid w:val="008D01AA"/>
    <w:rsid w:val="008D54E4"/>
    <w:rsid w:val="009463F2"/>
    <w:rsid w:val="0095242E"/>
    <w:rsid w:val="00952894"/>
    <w:rsid w:val="00962DA8"/>
    <w:rsid w:val="00990A38"/>
    <w:rsid w:val="00996BA1"/>
    <w:rsid w:val="009A5186"/>
    <w:rsid w:val="009D0E26"/>
    <w:rsid w:val="00A25573"/>
    <w:rsid w:val="00A34EF3"/>
    <w:rsid w:val="00A3599D"/>
    <w:rsid w:val="00A541F2"/>
    <w:rsid w:val="00A66863"/>
    <w:rsid w:val="00A94407"/>
    <w:rsid w:val="00AA3346"/>
    <w:rsid w:val="00AB22AF"/>
    <w:rsid w:val="00AB520D"/>
    <w:rsid w:val="00AC6CC9"/>
    <w:rsid w:val="00B1212E"/>
    <w:rsid w:val="00B42812"/>
    <w:rsid w:val="00B573AA"/>
    <w:rsid w:val="00BC367E"/>
    <w:rsid w:val="00BC36D9"/>
    <w:rsid w:val="00C01B92"/>
    <w:rsid w:val="00C06B6B"/>
    <w:rsid w:val="00C17BD4"/>
    <w:rsid w:val="00C57D37"/>
    <w:rsid w:val="00C61C93"/>
    <w:rsid w:val="00C710A0"/>
    <w:rsid w:val="00C86BF1"/>
    <w:rsid w:val="00CB4A0B"/>
    <w:rsid w:val="00D05BA6"/>
    <w:rsid w:val="00D22C16"/>
    <w:rsid w:val="00D40714"/>
    <w:rsid w:val="00D45ED4"/>
    <w:rsid w:val="00D47619"/>
    <w:rsid w:val="00D667DE"/>
    <w:rsid w:val="00D66BF8"/>
    <w:rsid w:val="00D66CCA"/>
    <w:rsid w:val="00DC72AE"/>
    <w:rsid w:val="00DE3710"/>
    <w:rsid w:val="00DF1D21"/>
    <w:rsid w:val="00E27BC1"/>
    <w:rsid w:val="00E34791"/>
    <w:rsid w:val="00E45D06"/>
    <w:rsid w:val="00E94EE7"/>
    <w:rsid w:val="00E96393"/>
    <w:rsid w:val="00EC3E41"/>
    <w:rsid w:val="00EE01F6"/>
    <w:rsid w:val="00F05BCB"/>
    <w:rsid w:val="00F11DB9"/>
    <w:rsid w:val="00F12514"/>
    <w:rsid w:val="00F84C54"/>
    <w:rsid w:val="00FC26CD"/>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10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1019"/>
  </w:style>
  <w:style w:type="table" w:styleId="TableGrid">
    <w:name w:val="Table Grid"/>
    <w:basedOn w:val="TableNormal"/>
    <w:uiPriority w:val="1"/>
    <w:rsid w:val="008A1019"/>
    <w:pPr>
      <w:spacing w:after="0" w:line="240" w:lineRule="auto"/>
    </w:pPr>
    <w:rPr>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A1019"/>
    <w:pPr>
      <w:ind w:left="720"/>
      <w:contextualSpacing/>
    </w:pPr>
  </w:style>
  <w:style w:type="paragraph" w:styleId="FootnoteText">
    <w:name w:val="footnote text"/>
    <w:basedOn w:val="Normal"/>
    <w:link w:val="FootnoteTextChar"/>
    <w:uiPriority w:val="99"/>
    <w:semiHidden/>
    <w:unhideWhenUsed/>
    <w:rsid w:val="008A10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1019"/>
    <w:rPr>
      <w:sz w:val="20"/>
      <w:szCs w:val="20"/>
    </w:rPr>
  </w:style>
  <w:style w:type="character" w:styleId="FootnoteReference">
    <w:name w:val="footnote reference"/>
    <w:basedOn w:val="DefaultParagraphFont"/>
    <w:uiPriority w:val="99"/>
    <w:semiHidden/>
    <w:unhideWhenUsed/>
    <w:rsid w:val="008A1019"/>
    <w:rPr>
      <w:vertAlign w:val="superscript"/>
    </w:rPr>
  </w:style>
  <w:style w:type="paragraph" w:styleId="BalloonText">
    <w:name w:val="Balloon Text"/>
    <w:basedOn w:val="Normal"/>
    <w:link w:val="BalloonTextChar"/>
    <w:uiPriority w:val="99"/>
    <w:semiHidden/>
    <w:unhideWhenUsed/>
    <w:rsid w:val="008A1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019"/>
    <w:rPr>
      <w:rFonts w:ascii="Tahoma" w:hAnsi="Tahoma" w:cs="Tahoma"/>
      <w:sz w:val="16"/>
      <w:szCs w:val="16"/>
    </w:rPr>
  </w:style>
  <w:style w:type="paragraph" w:styleId="Footer">
    <w:name w:val="footer"/>
    <w:basedOn w:val="Normal"/>
    <w:link w:val="FooterChar"/>
    <w:uiPriority w:val="99"/>
    <w:unhideWhenUsed/>
    <w:rsid w:val="008A10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10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10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1019"/>
  </w:style>
  <w:style w:type="table" w:styleId="TableGrid">
    <w:name w:val="Table Grid"/>
    <w:basedOn w:val="TableNormal"/>
    <w:uiPriority w:val="1"/>
    <w:rsid w:val="008A1019"/>
    <w:pPr>
      <w:spacing w:after="0" w:line="240" w:lineRule="auto"/>
    </w:pPr>
    <w:rPr>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A1019"/>
    <w:pPr>
      <w:ind w:left="720"/>
      <w:contextualSpacing/>
    </w:pPr>
  </w:style>
  <w:style w:type="paragraph" w:styleId="FootnoteText">
    <w:name w:val="footnote text"/>
    <w:basedOn w:val="Normal"/>
    <w:link w:val="FootnoteTextChar"/>
    <w:uiPriority w:val="99"/>
    <w:semiHidden/>
    <w:unhideWhenUsed/>
    <w:rsid w:val="008A10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1019"/>
    <w:rPr>
      <w:sz w:val="20"/>
      <w:szCs w:val="20"/>
    </w:rPr>
  </w:style>
  <w:style w:type="character" w:styleId="FootnoteReference">
    <w:name w:val="footnote reference"/>
    <w:basedOn w:val="DefaultParagraphFont"/>
    <w:uiPriority w:val="99"/>
    <w:semiHidden/>
    <w:unhideWhenUsed/>
    <w:rsid w:val="008A1019"/>
    <w:rPr>
      <w:vertAlign w:val="superscript"/>
    </w:rPr>
  </w:style>
  <w:style w:type="paragraph" w:styleId="BalloonText">
    <w:name w:val="Balloon Text"/>
    <w:basedOn w:val="Normal"/>
    <w:link w:val="BalloonTextChar"/>
    <w:uiPriority w:val="99"/>
    <w:semiHidden/>
    <w:unhideWhenUsed/>
    <w:rsid w:val="008A1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019"/>
    <w:rPr>
      <w:rFonts w:ascii="Tahoma" w:hAnsi="Tahoma" w:cs="Tahoma"/>
      <w:sz w:val="16"/>
      <w:szCs w:val="16"/>
    </w:rPr>
  </w:style>
  <w:style w:type="paragraph" w:styleId="Footer">
    <w:name w:val="footer"/>
    <w:basedOn w:val="Normal"/>
    <w:link w:val="FooterChar"/>
    <w:uiPriority w:val="99"/>
    <w:unhideWhenUsed/>
    <w:rsid w:val="008A10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1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456D18C97EF444FA40E26829F4F024B"/>
        <w:category>
          <w:name w:val="General"/>
          <w:gallery w:val="placeholder"/>
        </w:category>
        <w:types>
          <w:type w:val="bbPlcHdr"/>
        </w:types>
        <w:behaviors>
          <w:behavior w:val="content"/>
        </w:behaviors>
        <w:guid w:val="{407A0F8D-6234-43C3-9F92-BC471F7258DA}"/>
      </w:docPartPr>
      <w:docPartBody>
        <w:p w:rsidR="00D57DC1" w:rsidRDefault="00783F5F" w:rsidP="00783F5F">
          <w:pPr>
            <w:pStyle w:val="5456D18C97EF444FA40E26829F4F024B"/>
          </w:pPr>
          <w:r>
            <w:t>[Type the company name]</w:t>
          </w:r>
        </w:p>
      </w:docPartBody>
    </w:docPart>
    <w:docPart>
      <w:docPartPr>
        <w:name w:val="D4C871D75C4F47D19548014881D232C1"/>
        <w:category>
          <w:name w:val="General"/>
          <w:gallery w:val="placeholder"/>
        </w:category>
        <w:types>
          <w:type w:val="bbPlcHdr"/>
        </w:types>
        <w:behaviors>
          <w:behavior w:val="content"/>
        </w:behaviors>
        <w:guid w:val="{CFA65EAB-F40C-4BE1-BDD3-DAE813BB39D6}"/>
      </w:docPartPr>
      <w:docPartBody>
        <w:p w:rsidR="00D57DC1" w:rsidRDefault="00783F5F" w:rsidP="00783F5F">
          <w:pPr>
            <w:pStyle w:val="D4C871D75C4F47D19548014881D232C1"/>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783F5F"/>
    <w:rsid w:val="00125983"/>
    <w:rsid w:val="00193449"/>
    <w:rsid w:val="00295E51"/>
    <w:rsid w:val="00403F39"/>
    <w:rsid w:val="006D4774"/>
    <w:rsid w:val="00707EB2"/>
    <w:rsid w:val="00757F5F"/>
    <w:rsid w:val="00783F5F"/>
    <w:rsid w:val="007F039E"/>
    <w:rsid w:val="00855C45"/>
    <w:rsid w:val="009557E7"/>
    <w:rsid w:val="009B0406"/>
    <w:rsid w:val="00C216E6"/>
    <w:rsid w:val="00C83E33"/>
    <w:rsid w:val="00CE1A5C"/>
    <w:rsid w:val="00D57DC1"/>
    <w:rsid w:val="00D94B5B"/>
    <w:rsid w:val="00E10402"/>
    <w:rsid w:val="00E32510"/>
    <w:rsid w:val="00E35F3D"/>
    <w:rsid w:val="00ED7EFA"/>
    <w:rsid w:val="00F12A9F"/>
    <w:rsid w:val="00F469BC"/>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D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56D18C97EF444FA40E26829F4F024B">
    <w:name w:val="5456D18C97EF444FA40E26829F4F024B"/>
    <w:rsid w:val="00783F5F"/>
  </w:style>
  <w:style w:type="paragraph" w:customStyle="1" w:styleId="D4C871D75C4F47D19548014881D232C1">
    <w:name w:val="D4C871D75C4F47D19548014881D232C1"/>
    <w:rsid w:val="00783F5F"/>
  </w:style>
  <w:style w:type="paragraph" w:customStyle="1" w:styleId="C91A3C28804043E28D251A186AE105FA">
    <w:name w:val="C91A3C28804043E28D251A186AE105FA"/>
    <w:rsid w:val="00D57DC1"/>
  </w:style>
  <w:style w:type="paragraph" w:customStyle="1" w:styleId="CFE839ECFA3449A6880ECC1D40401433">
    <w:name w:val="CFE839ECFA3449A6880ECC1D40401433"/>
    <w:rsid w:val="00D57DC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2934</Words>
  <Characters>16725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Civil Appeal No. SC 157/10</vt:lpstr>
    </vt:vector>
  </TitlesOfParts>
  <Company>Judgment No. SC 29/14</Company>
  <LinksUpToDate>false</LinksUpToDate>
  <CharactersWithSpaces>19620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157/10</dc:title>
  <dc:creator>LIBRARY</dc:creator>
  <cp:lastModifiedBy>Takudzwa</cp:lastModifiedBy>
  <cp:revision>2</cp:revision>
  <cp:lastPrinted>2014-03-28T08:43:00Z</cp:lastPrinted>
  <dcterms:created xsi:type="dcterms:W3CDTF">2014-07-23T00:55:00Z</dcterms:created>
  <dcterms:modified xsi:type="dcterms:W3CDTF">2014-07-23T00:55:00Z</dcterms:modified>
</cp:coreProperties>
</file>