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839" w:rsidRPr="00BC4828" w:rsidRDefault="00BC4828" w:rsidP="00BC316A">
      <w:pPr>
        <w:spacing w:line="360" w:lineRule="auto"/>
        <w:rPr>
          <w:b/>
        </w:rPr>
      </w:pPr>
      <w:bookmarkStart w:id="0" w:name="_GoBack"/>
      <w:bookmarkEnd w:id="0"/>
      <w:r>
        <w:rPr>
          <w:b/>
          <w:u w:val="single"/>
        </w:rPr>
        <w:t>DISTRIBUTABLE</w:t>
      </w:r>
      <w:r>
        <w:rPr>
          <w:b/>
        </w:rPr>
        <w:tab/>
        <w:t>(24)</w:t>
      </w:r>
    </w:p>
    <w:p w:rsidR="00DB2839" w:rsidRDefault="00DB2839" w:rsidP="00BC316A">
      <w:pPr>
        <w:spacing w:line="360" w:lineRule="auto"/>
      </w:pPr>
    </w:p>
    <w:p w:rsidR="00BC316A" w:rsidRPr="00BC316A" w:rsidRDefault="00BC316A" w:rsidP="00BC316A">
      <w:pPr>
        <w:spacing w:line="360" w:lineRule="auto"/>
      </w:pPr>
    </w:p>
    <w:p w:rsidR="00CF4805" w:rsidRPr="00BC316A" w:rsidRDefault="00F909EC" w:rsidP="00BC316A">
      <w:pPr>
        <w:jc w:val="center"/>
        <w:rPr>
          <w:b/>
        </w:rPr>
      </w:pPr>
      <w:r>
        <w:rPr>
          <w:b/>
        </w:rPr>
        <w:t xml:space="preserve">(1)     </w:t>
      </w:r>
      <w:r w:rsidR="00CF4805" w:rsidRPr="00BC316A">
        <w:rPr>
          <w:b/>
        </w:rPr>
        <w:t xml:space="preserve">SMIT </w:t>
      </w:r>
      <w:r w:rsidR="00BC316A">
        <w:rPr>
          <w:b/>
        </w:rPr>
        <w:t xml:space="preserve">    </w:t>
      </w:r>
      <w:r w:rsidR="00CF4805" w:rsidRPr="00BC316A">
        <w:rPr>
          <w:b/>
        </w:rPr>
        <w:t xml:space="preserve">INVESTMENT </w:t>
      </w:r>
      <w:r w:rsidR="00BC316A">
        <w:rPr>
          <w:b/>
        </w:rPr>
        <w:t xml:space="preserve">    </w:t>
      </w:r>
      <w:r w:rsidR="00CF4805" w:rsidRPr="00BC316A">
        <w:rPr>
          <w:b/>
        </w:rPr>
        <w:t>HOLDINGS</w:t>
      </w:r>
      <w:r w:rsidR="00BC316A">
        <w:rPr>
          <w:b/>
        </w:rPr>
        <w:t xml:space="preserve">    </w:t>
      </w:r>
      <w:r w:rsidR="00CF4805" w:rsidRPr="00BC316A">
        <w:rPr>
          <w:b/>
        </w:rPr>
        <w:t xml:space="preserve"> SA</w:t>
      </w:r>
      <w:r w:rsidR="00BC316A">
        <w:rPr>
          <w:b/>
        </w:rPr>
        <w:t xml:space="preserve">    </w:t>
      </w:r>
      <w:r w:rsidR="00CF4805" w:rsidRPr="00BC316A">
        <w:rPr>
          <w:b/>
        </w:rPr>
        <w:t xml:space="preserve"> (PROP</w:t>
      </w:r>
      <w:r w:rsidR="006A4590" w:rsidRPr="00BC316A">
        <w:rPr>
          <w:b/>
        </w:rPr>
        <w:t>R</w:t>
      </w:r>
      <w:r w:rsidR="00CF4805" w:rsidRPr="00BC316A">
        <w:rPr>
          <w:b/>
        </w:rPr>
        <w:t>IET</w:t>
      </w:r>
      <w:r w:rsidR="005F42C7" w:rsidRPr="00BC316A">
        <w:rPr>
          <w:b/>
        </w:rPr>
        <w:t>A</w:t>
      </w:r>
      <w:r w:rsidR="00CF4805" w:rsidRPr="00BC316A">
        <w:rPr>
          <w:b/>
        </w:rPr>
        <w:t xml:space="preserve">RY) </w:t>
      </w:r>
      <w:r w:rsidR="00BC316A">
        <w:rPr>
          <w:b/>
        </w:rPr>
        <w:t xml:space="preserve">    </w:t>
      </w:r>
      <w:r w:rsidR="00CF4805" w:rsidRPr="00BC316A">
        <w:rPr>
          <w:b/>
        </w:rPr>
        <w:t>LIMITED</w:t>
      </w:r>
      <w:r>
        <w:rPr>
          <w:b/>
        </w:rPr>
        <w:t xml:space="preserve">     (2)     </w:t>
      </w:r>
      <w:r w:rsidR="00CF4805" w:rsidRPr="00BC316A">
        <w:rPr>
          <w:b/>
        </w:rPr>
        <w:t xml:space="preserve">GENET </w:t>
      </w:r>
      <w:r w:rsidR="00BC316A">
        <w:rPr>
          <w:b/>
        </w:rPr>
        <w:t xml:space="preserve">    </w:t>
      </w:r>
      <w:r w:rsidR="00CF4805" w:rsidRPr="00BC316A">
        <w:rPr>
          <w:b/>
        </w:rPr>
        <w:t xml:space="preserve">MINING </w:t>
      </w:r>
      <w:r w:rsidR="00BC316A">
        <w:rPr>
          <w:b/>
        </w:rPr>
        <w:t xml:space="preserve">    </w:t>
      </w:r>
      <w:r w:rsidR="00CF4805" w:rsidRPr="00BC316A">
        <w:rPr>
          <w:b/>
        </w:rPr>
        <w:t>(PROP</w:t>
      </w:r>
      <w:r w:rsidR="006A4590" w:rsidRPr="00BC316A">
        <w:rPr>
          <w:b/>
        </w:rPr>
        <w:t>R</w:t>
      </w:r>
      <w:r w:rsidR="00CF4805" w:rsidRPr="00BC316A">
        <w:rPr>
          <w:b/>
        </w:rPr>
        <w:t>IET</w:t>
      </w:r>
      <w:r w:rsidR="005F42C7" w:rsidRPr="00BC316A">
        <w:rPr>
          <w:b/>
        </w:rPr>
        <w:t>A</w:t>
      </w:r>
      <w:r w:rsidR="00CF4805" w:rsidRPr="00BC316A">
        <w:rPr>
          <w:b/>
        </w:rPr>
        <w:t xml:space="preserve">RY) </w:t>
      </w:r>
      <w:r w:rsidR="00BC316A">
        <w:rPr>
          <w:b/>
        </w:rPr>
        <w:t xml:space="preserve">    </w:t>
      </w:r>
      <w:r w:rsidR="00CF4805" w:rsidRPr="00BC316A">
        <w:rPr>
          <w:b/>
        </w:rPr>
        <w:t>LIMITED</w:t>
      </w:r>
    </w:p>
    <w:p w:rsidR="00383032" w:rsidRPr="00BC316A" w:rsidRDefault="00383032" w:rsidP="00BC316A">
      <w:pPr>
        <w:jc w:val="center"/>
        <w:rPr>
          <w:b/>
        </w:rPr>
      </w:pPr>
      <w:r w:rsidRPr="00BC316A">
        <w:rPr>
          <w:b/>
        </w:rPr>
        <w:t>v</w:t>
      </w:r>
    </w:p>
    <w:p w:rsidR="00CF4805" w:rsidRPr="00F909EC" w:rsidRDefault="00F909EC" w:rsidP="00BC316A">
      <w:pPr>
        <w:pStyle w:val="ListParagraph"/>
        <w:numPr>
          <w:ilvl w:val="0"/>
          <w:numId w:val="2"/>
        </w:numPr>
        <w:spacing w:line="360" w:lineRule="auto"/>
        <w:jc w:val="center"/>
        <w:rPr>
          <w:b/>
        </w:rPr>
      </w:pPr>
      <w:r w:rsidRPr="00F909EC">
        <w:rPr>
          <w:b/>
        </w:rPr>
        <w:t xml:space="preserve">    </w:t>
      </w:r>
      <w:r w:rsidR="00CF4805" w:rsidRPr="00F909EC">
        <w:rPr>
          <w:b/>
        </w:rPr>
        <w:t xml:space="preserve">THE </w:t>
      </w:r>
      <w:r w:rsidR="00BC316A" w:rsidRPr="00F909EC">
        <w:rPr>
          <w:b/>
        </w:rPr>
        <w:t xml:space="preserve">    </w:t>
      </w:r>
      <w:r w:rsidR="00CF4805" w:rsidRPr="00F909EC">
        <w:rPr>
          <w:b/>
        </w:rPr>
        <w:t>SHERIFF</w:t>
      </w:r>
      <w:r w:rsidR="00BC316A" w:rsidRPr="00F909EC">
        <w:rPr>
          <w:b/>
        </w:rPr>
        <w:t xml:space="preserve">    </w:t>
      </w:r>
      <w:r w:rsidR="00CF4805" w:rsidRPr="00F909EC">
        <w:rPr>
          <w:b/>
        </w:rPr>
        <w:t xml:space="preserve"> OF </w:t>
      </w:r>
      <w:r w:rsidR="00BC316A" w:rsidRPr="00F909EC">
        <w:rPr>
          <w:b/>
        </w:rPr>
        <w:t xml:space="preserve">    </w:t>
      </w:r>
      <w:r w:rsidR="00CF4805" w:rsidRPr="00F909EC">
        <w:rPr>
          <w:b/>
        </w:rPr>
        <w:t>ZIMBABWE</w:t>
      </w:r>
      <w:r w:rsidRPr="00F909EC">
        <w:rPr>
          <w:b/>
        </w:rPr>
        <w:t xml:space="preserve">     (2)     </w:t>
      </w:r>
      <w:r w:rsidR="00CF4805" w:rsidRPr="00F909EC">
        <w:rPr>
          <w:b/>
        </w:rPr>
        <w:t>PUNGWE</w:t>
      </w:r>
      <w:r w:rsidR="00BC316A" w:rsidRPr="00F909EC">
        <w:rPr>
          <w:b/>
        </w:rPr>
        <w:t xml:space="preserve">    </w:t>
      </w:r>
      <w:r w:rsidR="00CF4805" w:rsidRPr="00F909EC">
        <w:rPr>
          <w:b/>
        </w:rPr>
        <w:t xml:space="preserve"> MINING</w:t>
      </w:r>
      <w:r w:rsidR="00BC316A" w:rsidRPr="00F909EC">
        <w:rPr>
          <w:b/>
        </w:rPr>
        <w:t xml:space="preserve">    </w:t>
      </w:r>
      <w:r w:rsidR="00CF4805" w:rsidRPr="00F909EC">
        <w:rPr>
          <w:b/>
        </w:rPr>
        <w:t xml:space="preserve"> (PRIVATE) </w:t>
      </w:r>
      <w:r w:rsidR="00BC316A" w:rsidRPr="00F909EC">
        <w:rPr>
          <w:b/>
        </w:rPr>
        <w:t xml:space="preserve">    </w:t>
      </w:r>
      <w:r w:rsidR="00CF4805" w:rsidRPr="00F909EC">
        <w:rPr>
          <w:b/>
        </w:rPr>
        <w:t>LIMITED</w:t>
      </w:r>
    </w:p>
    <w:p w:rsidR="006E0951" w:rsidRPr="00BC316A" w:rsidRDefault="006E0951" w:rsidP="00BC316A">
      <w:pPr>
        <w:spacing w:line="360" w:lineRule="auto"/>
        <w:jc w:val="both"/>
        <w:rPr>
          <w:b/>
        </w:rPr>
      </w:pPr>
    </w:p>
    <w:p w:rsidR="00E404FC" w:rsidRDefault="00E404FC" w:rsidP="00BC316A">
      <w:pPr>
        <w:spacing w:line="360" w:lineRule="auto"/>
        <w:jc w:val="both"/>
        <w:rPr>
          <w:b/>
        </w:rPr>
      </w:pPr>
    </w:p>
    <w:p w:rsidR="00BC316A" w:rsidRPr="00BC316A" w:rsidRDefault="00BC316A" w:rsidP="00BC316A">
      <w:pPr>
        <w:jc w:val="both"/>
        <w:rPr>
          <w:b/>
        </w:rPr>
      </w:pPr>
    </w:p>
    <w:p w:rsidR="00E404FC" w:rsidRPr="00BC316A" w:rsidRDefault="00E404FC" w:rsidP="00BC316A">
      <w:pPr>
        <w:jc w:val="both"/>
        <w:rPr>
          <w:b/>
        </w:rPr>
      </w:pPr>
      <w:r w:rsidRPr="00BC316A">
        <w:rPr>
          <w:b/>
        </w:rPr>
        <w:t>SUPREME COURT OF ZIMBABWE</w:t>
      </w:r>
    </w:p>
    <w:p w:rsidR="00E404FC" w:rsidRPr="00BC316A" w:rsidRDefault="00D204EB" w:rsidP="00BC316A">
      <w:pPr>
        <w:jc w:val="both"/>
        <w:rPr>
          <w:b/>
        </w:rPr>
      </w:pPr>
      <w:r w:rsidRPr="00BC316A">
        <w:rPr>
          <w:b/>
        </w:rPr>
        <w:t>MALABA CJ, HLATSHWAYO JA &amp; PATEL JA</w:t>
      </w:r>
    </w:p>
    <w:p w:rsidR="00AF48D9" w:rsidRPr="00BC316A" w:rsidRDefault="00AF48D9" w:rsidP="00BC316A">
      <w:pPr>
        <w:jc w:val="both"/>
      </w:pPr>
      <w:r w:rsidRPr="00BC316A">
        <w:rPr>
          <w:b/>
        </w:rPr>
        <w:t xml:space="preserve">HARARE, </w:t>
      </w:r>
      <w:r w:rsidR="0007763D" w:rsidRPr="00BC316A">
        <w:rPr>
          <w:b/>
        </w:rPr>
        <w:t>26 JANUARY &amp; 19 JUNE</w:t>
      </w:r>
      <w:r w:rsidR="00BC316A">
        <w:rPr>
          <w:b/>
        </w:rPr>
        <w:t>,</w:t>
      </w:r>
      <w:r w:rsidR="0007763D" w:rsidRPr="00BC316A">
        <w:rPr>
          <w:b/>
        </w:rPr>
        <w:t xml:space="preserve"> 2018</w:t>
      </w:r>
    </w:p>
    <w:p w:rsidR="008E3E30" w:rsidRPr="00BC316A" w:rsidRDefault="008E3E30" w:rsidP="00BC316A">
      <w:pPr>
        <w:jc w:val="both"/>
      </w:pPr>
    </w:p>
    <w:p w:rsidR="00B763ED" w:rsidRDefault="00B763ED" w:rsidP="00BC316A">
      <w:pPr>
        <w:spacing w:line="360" w:lineRule="auto"/>
        <w:jc w:val="both"/>
      </w:pPr>
    </w:p>
    <w:p w:rsidR="00BC316A" w:rsidRPr="00BC316A" w:rsidRDefault="00BC316A" w:rsidP="00BC316A">
      <w:pPr>
        <w:spacing w:line="360" w:lineRule="auto"/>
        <w:jc w:val="both"/>
      </w:pPr>
    </w:p>
    <w:p w:rsidR="008E3E30" w:rsidRPr="00BC316A" w:rsidRDefault="00C3231D" w:rsidP="00BC316A">
      <w:pPr>
        <w:spacing w:line="480" w:lineRule="auto"/>
        <w:jc w:val="both"/>
      </w:pPr>
      <w:r w:rsidRPr="00BC316A">
        <w:rPr>
          <w:i/>
        </w:rPr>
        <w:t xml:space="preserve">D. </w:t>
      </w:r>
      <w:proofErr w:type="spellStart"/>
      <w:r w:rsidRPr="00BC316A">
        <w:rPr>
          <w:i/>
        </w:rPr>
        <w:t>Tivadar</w:t>
      </w:r>
      <w:proofErr w:type="spellEnd"/>
      <w:r w:rsidR="002D0DAD" w:rsidRPr="00BC316A">
        <w:t xml:space="preserve">, for the </w:t>
      </w:r>
      <w:r w:rsidR="006A4590" w:rsidRPr="00BC316A">
        <w:t>appellants</w:t>
      </w:r>
    </w:p>
    <w:p w:rsidR="002D0DAD" w:rsidRPr="00BC316A" w:rsidRDefault="00C3231D" w:rsidP="00BC316A">
      <w:pPr>
        <w:spacing w:line="480" w:lineRule="auto"/>
        <w:jc w:val="both"/>
      </w:pPr>
      <w:r w:rsidRPr="00BC316A">
        <w:rPr>
          <w:i/>
        </w:rPr>
        <w:t xml:space="preserve">A. </w:t>
      </w:r>
      <w:proofErr w:type="spellStart"/>
      <w:r w:rsidRPr="00BC316A">
        <w:rPr>
          <w:i/>
        </w:rPr>
        <w:t>Moyo</w:t>
      </w:r>
      <w:proofErr w:type="spellEnd"/>
      <w:r w:rsidR="002D0DAD" w:rsidRPr="00BC316A">
        <w:t xml:space="preserve">, for the </w:t>
      </w:r>
      <w:r w:rsidRPr="00BC316A">
        <w:t>1</w:t>
      </w:r>
      <w:r w:rsidRPr="00BC316A">
        <w:rPr>
          <w:vertAlign w:val="superscript"/>
        </w:rPr>
        <w:t>st</w:t>
      </w:r>
      <w:r w:rsidRPr="00BC316A">
        <w:t xml:space="preserve"> </w:t>
      </w:r>
      <w:r w:rsidR="006A4590" w:rsidRPr="00BC316A">
        <w:t>respondent</w:t>
      </w:r>
    </w:p>
    <w:p w:rsidR="00C3231D" w:rsidRPr="00BC316A" w:rsidRDefault="00C3231D" w:rsidP="00BC316A">
      <w:pPr>
        <w:spacing w:line="360" w:lineRule="auto"/>
        <w:jc w:val="both"/>
      </w:pPr>
      <w:r w:rsidRPr="00BC316A">
        <w:rPr>
          <w:i/>
        </w:rPr>
        <w:t xml:space="preserve">T. </w:t>
      </w:r>
      <w:proofErr w:type="spellStart"/>
      <w:r w:rsidRPr="00BC316A">
        <w:rPr>
          <w:i/>
        </w:rPr>
        <w:t>Mpofu</w:t>
      </w:r>
      <w:proofErr w:type="spellEnd"/>
      <w:r w:rsidRPr="00BC316A">
        <w:rPr>
          <w:i/>
        </w:rPr>
        <w:t xml:space="preserve">, </w:t>
      </w:r>
      <w:r w:rsidRPr="00BC316A">
        <w:t>for the 2</w:t>
      </w:r>
      <w:r w:rsidRPr="00BC316A">
        <w:rPr>
          <w:vertAlign w:val="superscript"/>
        </w:rPr>
        <w:t>nd</w:t>
      </w:r>
      <w:r w:rsidRPr="00BC316A">
        <w:t xml:space="preserve"> </w:t>
      </w:r>
      <w:r w:rsidR="006A4590" w:rsidRPr="00BC316A">
        <w:t>respondent</w:t>
      </w:r>
    </w:p>
    <w:p w:rsidR="00C3231D" w:rsidRDefault="00C3231D" w:rsidP="00BC316A">
      <w:pPr>
        <w:spacing w:line="360" w:lineRule="auto"/>
        <w:jc w:val="both"/>
      </w:pPr>
    </w:p>
    <w:p w:rsidR="00BC316A" w:rsidRPr="00BC316A" w:rsidRDefault="00BC316A" w:rsidP="00BC316A">
      <w:pPr>
        <w:jc w:val="both"/>
      </w:pPr>
    </w:p>
    <w:p w:rsidR="00B763ED" w:rsidRPr="00BC316A" w:rsidRDefault="00B763ED" w:rsidP="00BC316A">
      <w:pPr>
        <w:spacing w:line="360" w:lineRule="auto"/>
        <w:jc w:val="both"/>
      </w:pPr>
    </w:p>
    <w:p w:rsidR="00F9429C" w:rsidRPr="00BC316A" w:rsidRDefault="0002331C" w:rsidP="00BC316A">
      <w:pPr>
        <w:spacing w:line="480" w:lineRule="auto"/>
        <w:jc w:val="both"/>
      </w:pPr>
      <w:r w:rsidRPr="00BC316A">
        <w:tab/>
      </w:r>
      <w:r w:rsidR="00BC316A">
        <w:tab/>
      </w:r>
      <w:r w:rsidRPr="00BC316A">
        <w:rPr>
          <w:b/>
        </w:rPr>
        <w:t xml:space="preserve">PATEL </w:t>
      </w:r>
      <w:r w:rsidR="00F7784D" w:rsidRPr="00BC316A">
        <w:rPr>
          <w:b/>
        </w:rPr>
        <w:t>JA:</w:t>
      </w:r>
      <w:r w:rsidRPr="00BC316A">
        <w:tab/>
      </w:r>
      <w:r w:rsidR="00962F8C" w:rsidRPr="00BC316A">
        <w:tab/>
        <w:t>Thi</w:t>
      </w:r>
      <w:r w:rsidR="00BC316A">
        <w:t>s is an appeal against the Judge</w:t>
      </w:r>
      <w:r w:rsidR="00962F8C" w:rsidRPr="00BC316A">
        <w:t xml:space="preserve">ment of the High Court in interpleader proceedings arising from the attachment of mining equipment carried out by the first </w:t>
      </w:r>
      <w:r w:rsidR="00825BF5" w:rsidRPr="00BC316A">
        <w:t>respondent</w:t>
      </w:r>
      <w:r w:rsidR="00962F8C" w:rsidRPr="00BC316A">
        <w:t xml:space="preserve"> (the Sheriff) at </w:t>
      </w:r>
      <w:proofErr w:type="spellStart"/>
      <w:r w:rsidR="00962F8C" w:rsidRPr="00BC316A">
        <w:t>Mbada</w:t>
      </w:r>
      <w:proofErr w:type="spellEnd"/>
      <w:r w:rsidR="00962F8C" w:rsidRPr="00BC316A">
        <w:t xml:space="preserve"> Mine. </w:t>
      </w:r>
      <w:r w:rsidR="00552E40" w:rsidRPr="00BC316A">
        <w:t xml:space="preserve">The second </w:t>
      </w:r>
      <w:r w:rsidR="00825BF5" w:rsidRPr="00BC316A">
        <w:t>respondent</w:t>
      </w:r>
      <w:r w:rsidR="00BC316A">
        <w:t xml:space="preserve"> (the judge</w:t>
      </w:r>
      <w:r w:rsidR="00552E40" w:rsidRPr="00BC316A">
        <w:t xml:space="preserve">ment creditor) had obtained judgement against </w:t>
      </w:r>
      <w:proofErr w:type="spellStart"/>
      <w:r w:rsidR="00552E40" w:rsidRPr="00BC316A">
        <w:t>Mbada</w:t>
      </w:r>
      <w:proofErr w:type="spellEnd"/>
      <w:r w:rsidR="00552E40" w:rsidRPr="00BC316A">
        <w:t xml:space="preserve"> Mine and the Sheriff, having attached certain movables at </w:t>
      </w:r>
      <w:proofErr w:type="spellStart"/>
      <w:r w:rsidR="00552E40" w:rsidRPr="00BC316A">
        <w:t>Mbada</w:t>
      </w:r>
      <w:proofErr w:type="spellEnd"/>
      <w:r w:rsidR="00552E40" w:rsidRPr="00BC316A">
        <w:t xml:space="preserve"> Mine, had advertised them for sale.</w:t>
      </w:r>
      <w:r w:rsidR="00681530" w:rsidRPr="00BC316A">
        <w:t xml:space="preserve"> The property attached comprises mining equipment, vehicles and office furniture.</w:t>
      </w:r>
      <w:r w:rsidR="00F9429C" w:rsidRPr="00BC316A">
        <w:t xml:space="preserve"> </w:t>
      </w:r>
      <w:r w:rsidR="00863760" w:rsidRPr="00BC316A">
        <w:t xml:space="preserve">The </w:t>
      </w:r>
      <w:r w:rsidR="00FB6495" w:rsidRPr="00BC316A">
        <w:t>claimants</w:t>
      </w:r>
      <w:r w:rsidR="00863760" w:rsidRPr="00BC316A">
        <w:t xml:space="preserve"> </w:t>
      </w:r>
      <w:r w:rsidR="00825BF5" w:rsidRPr="00BC316A">
        <w:t xml:space="preserve">in the court </w:t>
      </w:r>
      <w:r w:rsidR="00825BF5" w:rsidRPr="00BC316A">
        <w:rPr>
          <w:i/>
        </w:rPr>
        <w:t>a quo</w:t>
      </w:r>
      <w:r w:rsidR="00825BF5" w:rsidRPr="00BC316A">
        <w:t xml:space="preserve"> </w:t>
      </w:r>
      <w:r w:rsidR="00863760" w:rsidRPr="00BC316A">
        <w:t>had filed separate interpleader applications which were consolidated</w:t>
      </w:r>
      <w:r w:rsidR="002A221C" w:rsidRPr="00BC316A">
        <w:t xml:space="preserve"> and heard togethe</w:t>
      </w:r>
      <w:r w:rsidR="005F42C7" w:rsidRPr="00BC316A">
        <w:t>r,</w:t>
      </w:r>
      <w:r w:rsidR="00863760" w:rsidRPr="00BC316A">
        <w:t xml:space="preserve"> as the facts, the legal issues and the judgement creditor were the same.</w:t>
      </w:r>
    </w:p>
    <w:p w:rsidR="00800C47" w:rsidRPr="00BC316A" w:rsidRDefault="00F9429C" w:rsidP="00BC316A">
      <w:pPr>
        <w:spacing w:line="480" w:lineRule="auto"/>
        <w:jc w:val="both"/>
      </w:pPr>
      <w:r w:rsidRPr="00BC316A">
        <w:lastRenderedPageBreak/>
        <w:tab/>
      </w:r>
      <w:r w:rsidR="00BC316A">
        <w:tab/>
      </w:r>
      <w:r w:rsidR="002604DE" w:rsidRPr="00BC316A">
        <w:t xml:space="preserve">Both claimants averred that the </w:t>
      </w:r>
      <w:r w:rsidR="0092415E" w:rsidRPr="00BC316A">
        <w:t>items</w:t>
      </w:r>
      <w:r w:rsidR="002604DE" w:rsidRPr="00BC316A">
        <w:t xml:space="preserve"> attached had been imported by </w:t>
      </w:r>
      <w:proofErr w:type="spellStart"/>
      <w:r w:rsidR="002604DE" w:rsidRPr="00BC316A">
        <w:t>Mbada</w:t>
      </w:r>
      <w:proofErr w:type="spellEnd"/>
      <w:r w:rsidR="002604DE" w:rsidRPr="00BC316A">
        <w:t xml:space="preserve"> Mine but actually belonged to them.</w:t>
      </w:r>
      <w:r w:rsidR="00C23024" w:rsidRPr="00BC316A">
        <w:t xml:space="preserve"> Ownership in this equipment was reserved in their favour until it was fully paid for.</w:t>
      </w:r>
      <w:r w:rsidR="006F3287" w:rsidRPr="00BC316A">
        <w:t xml:space="preserve"> According to the claim</w:t>
      </w:r>
      <w:r w:rsidR="00BC316A">
        <w:t xml:space="preserve">ants, </w:t>
      </w:r>
      <w:proofErr w:type="spellStart"/>
      <w:r w:rsidR="00BC316A">
        <w:t>Mbada</w:t>
      </w:r>
      <w:proofErr w:type="spellEnd"/>
      <w:r w:rsidR="00BC316A">
        <w:t xml:space="preserve"> Mine still owes ZAR </w:t>
      </w:r>
      <w:r w:rsidR="006F3287" w:rsidRPr="00BC316A">
        <w:t xml:space="preserve">42 million and ZAR 48 million to the claimants respectively. </w:t>
      </w:r>
      <w:r w:rsidR="00A46625" w:rsidRPr="00BC316A">
        <w:t xml:space="preserve">Therefore, the equipment </w:t>
      </w:r>
      <w:r w:rsidR="00D96F86" w:rsidRPr="00BC316A">
        <w:t>was</w:t>
      </w:r>
      <w:r w:rsidR="00A46625" w:rsidRPr="00BC316A">
        <w:t xml:space="preserve"> not executable as per the agreements between the cl</w:t>
      </w:r>
      <w:r w:rsidR="00800C47" w:rsidRPr="00BC316A">
        <w:t>a</w:t>
      </w:r>
      <w:r w:rsidR="00A46625" w:rsidRPr="00BC316A">
        <w:t xml:space="preserve">imants and </w:t>
      </w:r>
      <w:proofErr w:type="spellStart"/>
      <w:r w:rsidR="00A46625" w:rsidRPr="00BC316A">
        <w:t>Mbada</w:t>
      </w:r>
      <w:proofErr w:type="spellEnd"/>
      <w:r w:rsidR="00A46625" w:rsidRPr="00BC316A">
        <w:t xml:space="preserve"> Mine until the purchase prices </w:t>
      </w:r>
      <w:r w:rsidR="00D96F86" w:rsidRPr="00BC316A">
        <w:t>had</w:t>
      </w:r>
      <w:r w:rsidR="00A46625" w:rsidRPr="00BC316A">
        <w:t xml:space="preserve"> been fully paid. </w:t>
      </w:r>
    </w:p>
    <w:p w:rsidR="00800C47" w:rsidRPr="00BC316A" w:rsidRDefault="00800C47" w:rsidP="00BC316A">
      <w:pPr>
        <w:spacing w:line="480" w:lineRule="auto"/>
        <w:jc w:val="both"/>
      </w:pPr>
    </w:p>
    <w:p w:rsidR="006E5A03" w:rsidRPr="00BC316A" w:rsidRDefault="00800C47" w:rsidP="00BC316A">
      <w:pPr>
        <w:spacing w:line="480" w:lineRule="auto"/>
        <w:jc w:val="both"/>
      </w:pPr>
      <w:r w:rsidRPr="00BC316A">
        <w:tab/>
      </w:r>
      <w:r w:rsidR="00BC316A">
        <w:tab/>
      </w:r>
      <w:r w:rsidRPr="00BC316A">
        <w:t>The judgement creditor aver</w:t>
      </w:r>
      <w:r w:rsidR="005C0C61" w:rsidRPr="00BC316A">
        <w:t>red</w:t>
      </w:r>
      <w:r w:rsidRPr="00BC316A">
        <w:t xml:space="preserve"> that </w:t>
      </w:r>
      <w:proofErr w:type="spellStart"/>
      <w:r w:rsidRPr="00BC316A">
        <w:t>Mbada</w:t>
      </w:r>
      <w:proofErr w:type="spellEnd"/>
      <w:r w:rsidRPr="00BC316A">
        <w:t xml:space="preserve"> Mine </w:t>
      </w:r>
      <w:r w:rsidR="005C0C61" w:rsidRPr="00BC316A">
        <w:t xml:space="preserve">had </w:t>
      </w:r>
      <w:r w:rsidRPr="00BC316A">
        <w:t xml:space="preserve">imported and </w:t>
      </w:r>
      <w:r w:rsidR="005C0C61" w:rsidRPr="00BC316A">
        <w:t>was</w:t>
      </w:r>
      <w:r w:rsidRPr="00BC316A">
        <w:t xml:space="preserve"> the owner </w:t>
      </w:r>
      <w:r w:rsidR="002F5CEE" w:rsidRPr="00BC316A">
        <w:t xml:space="preserve">of </w:t>
      </w:r>
      <w:r w:rsidRPr="00BC316A">
        <w:t>the equipment in question.</w:t>
      </w:r>
      <w:r w:rsidR="00A07D3C" w:rsidRPr="00BC316A">
        <w:t xml:space="preserve"> The agreements relied upon by the claimants were a façade since the claimants had neither imported the equipment nor did it belong to them.</w:t>
      </w:r>
    </w:p>
    <w:p w:rsidR="006E5A03" w:rsidRPr="00BC316A" w:rsidRDefault="006E5A03" w:rsidP="00BC316A">
      <w:pPr>
        <w:spacing w:line="480" w:lineRule="auto"/>
        <w:jc w:val="both"/>
      </w:pPr>
    </w:p>
    <w:p w:rsidR="006E5A03" w:rsidRPr="00BC316A" w:rsidRDefault="006E5A03" w:rsidP="00BC316A">
      <w:pPr>
        <w:spacing w:line="480" w:lineRule="auto"/>
        <w:jc w:val="both"/>
      </w:pPr>
      <w:r w:rsidRPr="00BC316A">
        <w:rPr>
          <w:u w:val="single"/>
        </w:rPr>
        <w:t>Decision of the High Court</w:t>
      </w:r>
      <w:r w:rsidR="00AC4AEC" w:rsidRPr="00BC316A">
        <w:rPr>
          <w:u w:val="single"/>
        </w:rPr>
        <w:t xml:space="preserve"> and Grounds of Appeal</w:t>
      </w:r>
    </w:p>
    <w:p w:rsidR="00A028EF" w:rsidRPr="00BC316A" w:rsidRDefault="006E5A03" w:rsidP="00BC316A">
      <w:pPr>
        <w:spacing w:line="480" w:lineRule="auto"/>
        <w:jc w:val="both"/>
      </w:pPr>
      <w:r w:rsidRPr="00BC316A">
        <w:tab/>
      </w:r>
      <w:r w:rsidR="00BC316A">
        <w:tab/>
      </w:r>
      <w:r w:rsidRPr="00BC316A">
        <w:t xml:space="preserve">The High Court considered the relevant legislation and accepted that goods may be imported by persons other </w:t>
      </w:r>
      <w:r w:rsidR="0075170F" w:rsidRPr="00BC316A">
        <w:t xml:space="preserve">than their owner. </w:t>
      </w:r>
      <w:r w:rsidR="00661884" w:rsidRPr="00BC316A">
        <w:t xml:space="preserve">Also relevant was the definition of the </w:t>
      </w:r>
      <w:r w:rsidR="00F6381E" w:rsidRPr="00BC316A">
        <w:t>word</w:t>
      </w:r>
      <w:r w:rsidR="00661884" w:rsidRPr="00BC316A">
        <w:t xml:space="preserve"> “holder” in the </w:t>
      </w:r>
      <w:r w:rsidR="000A022B" w:rsidRPr="00BC316A">
        <w:t>Mine</w:t>
      </w:r>
      <w:r w:rsidR="005C0C61" w:rsidRPr="00BC316A">
        <w:t>s</w:t>
      </w:r>
      <w:r w:rsidR="00661884" w:rsidRPr="00BC316A">
        <w:t xml:space="preserve"> and Minerals Act</w:t>
      </w:r>
      <w:r w:rsidR="00F6381E" w:rsidRPr="00BC316A">
        <w:t xml:space="preserve">, in terms of which a holder </w:t>
      </w:r>
      <w:r w:rsidR="002F5CEE" w:rsidRPr="00BC316A">
        <w:t xml:space="preserve">of a registered mining location </w:t>
      </w:r>
      <w:r w:rsidR="00F6381E" w:rsidRPr="00BC316A">
        <w:t>can import goods belonging to another</w:t>
      </w:r>
      <w:r w:rsidR="002F5CEE" w:rsidRPr="00BC316A">
        <w:t xml:space="preserve"> and</w:t>
      </w:r>
      <w:r w:rsidR="00DD37D4" w:rsidRPr="00BC316A">
        <w:t xml:space="preserve"> can benefit from the suspension of duty on goods imported for his mining operations. </w:t>
      </w:r>
      <w:r w:rsidR="005D7FC2" w:rsidRPr="00BC316A">
        <w:t>Any person who is not a holder as defined or imports goods for resale is not entitled to suspensi</w:t>
      </w:r>
      <w:r w:rsidR="002F5CEE" w:rsidRPr="00BC316A">
        <w:t>on of duty under the governing Customs R</w:t>
      </w:r>
      <w:r w:rsidR="005D7FC2" w:rsidRPr="00BC316A">
        <w:t xml:space="preserve">egulations. </w:t>
      </w:r>
    </w:p>
    <w:p w:rsidR="00A028EF" w:rsidRPr="00BC316A" w:rsidRDefault="00A028EF" w:rsidP="00BC316A">
      <w:pPr>
        <w:spacing w:line="480" w:lineRule="auto"/>
        <w:jc w:val="both"/>
      </w:pPr>
    </w:p>
    <w:p w:rsidR="00996084" w:rsidRPr="00BC316A" w:rsidRDefault="00A028EF" w:rsidP="00BC316A">
      <w:pPr>
        <w:spacing w:line="480" w:lineRule="auto"/>
        <w:jc w:val="both"/>
      </w:pPr>
      <w:r w:rsidRPr="00BC316A">
        <w:tab/>
      </w:r>
      <w:r w:rsidR="00BC316A">
        <w:tab/>
      </w:r>
      <w:r w:rsidRPr="00BC316A">
        <w:t xml:space="preserve">The court </w:t>
      </w:r>
      <w:r w:rsidRPr="00BC316A">
        <w:rPr>
          <w:i/>
        </w:rPr>
        <w:t>a quo</w:t>
      </w:r>
      <w:r w:rsidRPr="00BC316A">
        <w:t xml:space="preserve"> found that the documents available showed that </w:t>
      </w:r>
      <w:proofErr w:type="spellStart"/>
      <w:r w:rsidRPr="00BC316A">
        <w:t>Mbada</w:t>
      </w:r>
      <w:proofErr w:type="spellEnd"/>
      <w:r w:rsidRPr="00BC316A">
        <w:t xml:space="preserve"> Mine, being a holder, had imported the disputed equipment into the country. </w:t>
      </w:r>
      <w:r w:rsidR="000E3205" w:rsidRPr="00BC316A">
        <w:t xml:space="preserve"> The claimants had not shown that they were the owners of that equipment. </w:t>
      </w:r>
      <w:r w:rsidR="00444450" w:rsidRPr="00BC316A">
        <w:t xml:space="preserve">They had not produced the </w:t>
      </w:r>
      <w:r w:rsidR="00444450" w:rsidRPr="00BC316A">
        <w:lastRenderedPageBreak/>
        <w:t>relevant importation documents issued by the customs authorities</w:t>
      </w:r>
      <w:r w:rsidR="00A1696D" w:rsidRPr="00BC316A">
        <w:t xml:space="preserve">. They had only produced transportation documents and invoices which did not assist their claims. </w:t>
      </w:r>
      <w:r w:rsidR="003B4955" w:rsidRPr="00BC316A">
        <w:t xml:space="preserve">The documents relating to suspension of duty showed the claimants as suppliers rather than owners of the equipment in question. </w:t>
      </w:r>
      <w:r w:rsidR="00906B74" w:rsidRPr="00BC316A">
        <w:t xml:space="preserve">Moreover, </w:t>
      </w:r>
      <w:r w:rsidR="00EF1C5B" w:rsidRPr="00BC316A">
        <w:t xml:space="preserve">there was nothing </w:t>
      </w:r>
      <w:r w:rsidR="00906B74" w:rsidRPr="00BC316A">
        <w:t>to show that the claimants had imported the equipment temporarily</w:t>
      </w:r>
      <w:r w:rsidR="002700A9" w:rsidRPr="00BC316A">
        <w:t xml:space="preserve"> in the absence of temporary import permits or proof of duty paid on the equipment. </w:t>
      </w:r>
      <w:r w:rsidR="004D365C" w:rsidRPr="00BC316A">
        <w:t xml:space="preserve">Additionally, one document issued by the customs authorities showed that some of the goods had been imported permanently by </w:t>
      </w:r>
      <w:proofErr w:type="spellStart"/>
      <w:r w:rsidR="004D365C" w:rsidRPr="00BC316A">
        <w:t>Mbada</w:t>
      </w:r>
      <w:proofErr w:type="spellEnd"/>
      <w:r w:rsidR="004D365C" w:rsidRPr="00BC316A">
        <w:t xml:space="preserve"> Mine. </w:t>
      </w:r>
      <w:r w:rsidR="00006FC1" w:rsidRPr="00BC316A">
        <w:t xml:space="preserve"> The equipment could only have been so imported if </w:t>
      </w:r>
      <w:proofErr w:type="spellStart"/>
      <w:r w:rsidR="00006FC1" w:rsidRPr="00BC316A">
        <w:t>Mbada</w:t>
      </w:r>
      <w:proofErr w:type="spellEnd"/>
      <w:r w:rsidR="00006FC1" w:rsidRPr="00BC316A">
        <w:t xml:space="preserve"> Mine had assumed permanent ownership. The claimants could not be owners of goods imported permanently by </w:t>
      </w:r>
      <w:proofErr w:type="spellStart"/>
      <w:r w:rsidR="00006FC1" w:rsidRPr="00BC316A">
        <w:t>Mbada</w:t>
      </w:r>
      <w:proofErr w:type="spellEnd"/>
      <w:r w:rsidR="00006FC1" w:rsidRPr="00BC316A">
        <w:t xml:space="preserve"> Mine. </w:t>
      </w:r>
    </w:p>
    <w:p w:rsidR="00996084" w:rsidRPr="00BC316A" w:rsidRDefault="00996084" w:rsidP="00BC316A">
      <w:pPr>
        <w:spacing w:line="480" w:lineRule="auto"/>
        <w:jc w:val="both"/>
      </w:pPr>
    </w:p>
    <w:p w:rsidR="006E5A03" w:rsidRPr="00BC316A" w:rsidRDefault="00996084" w:rsidP="00BC316A">
      <w:pPr>
        <w:spacing w:line="480" w:lineRule="auto"/>
        <w:jc w:val="both"/>
      </w:pPr>
      <w:r w:rsidRPr="00BC316A">
        <w:tab/>
      </w:r>
      <w:r w:rsidR="00BC316A">
        <w:tab/>
      </w:r>
      <w:r w:rsidRPr="00BC316A">
        <w:t xml:space="preserve">On the basis of these findings, the court </w:t>
      </w:r>
      <w:r w:rsidRPr="00BC316A">
        <w:rPr>
          <w:i/>
        </w:rPr>
        <w:t>a quo</w:t>
      </w:r>
      <w:r w:rsidRPr="00BC316A">
        <w:t xml:space="preserve"> held that the proba</w:t>
      </w:r>
      <w:r w:rsidR="005C0C61" w:rsidRPr="00BC316A">
        <w:t xml:space="preserve">bilities favoured the </w:t>
      </w:r>
      <w:r w:rsidR="00EF1C5B" w:rsidRPr="00BC316A">
        <w:t xml:space="preserve">judgment creditor’s </w:t>
      </w:r>
      <w:r w:rsidR="005C0C61" w:rsidRPr="00BC316A">
        <w:t>assertion</w:t>
      </w:r>
      <w:r w:rsidRPr="00BC316A">
        <w:t xml:space="preserve"> that the equipment belonged to </w:t>
      </w:r>
      <w:proofErr w:type="spellStart"/>
      <w:r w:rsidRPr="00BC316A">
        <w:t>Mbada</w:t>
      </w:r>
      <w:proofErr w:type="spellEnd"/>
      <w:r w:rsidRPr="00BC316A">
        <w:t xml:space="preserve"> Mine and that the agreements of sale relied upon were mere shams. </w:t>
      </w:r>
      <w:r w:rsidR="008C21EA" w:rsidRPr="00BC316A">
        <w:t xml:space="preserve">The evidence suggested that there was collusion between </w:t>
      </w:r>
      <w:proofErr w:type="spellStart"/>
      <w:r w:rsidR="008C21EA" w:rsidRPr="00BC316A">
        <w:t>Mbada</w:t>
      </w:r>
      <w:proofErr w:type="spellEnd"/>
      <w:r w:rsidR="008C21EA" w:rsidRPr="00BC316A">
        <w:t xml:space="preserve"> Mine and the claimants in order to frustrate the execution process. </w:t>
      </w:r>
      <w:r w:rsidR="0078559D" w:rsidRPr="00BC316A">
        <w:t>The claimants had failed to persuade the court that they were the owners of the equipment in dispute.</w:t>
      </w:r>
      <w:r w:rsidR="006662AE" w:rsidRPr="00BC316A">
        <w:t xml:space="preserve"> In the event, the court dismissed the </w:t>
      </w:r>
      <w:r w:rsidR="00FB6495" w:rsidRPr="00BC316A">
        <w:t>claimants</w:t>
      </w:r>
      <w:r w:rsidR="006662AE" w:rsidRPr="00BC316A">
        <w:t>’ claims with costs and declared the claimed property</w:t>
      </w:r>
      <w:r w:rsidR="003E08BC" w:rsidRPr="00BC316A">
        <w:t xml:space="preserve"> </w:t>
      </w:r>
      <w:proofErr w:type="gramStart"/>
      <w:r w:rsidR="006662AE" w:rsidRPr="00BC316A">
        <w:t>specially</w:t>
      </w:r>
      <w:proofErr w:type="gramEnd"/>
      <w:r w:rsidR="006662AE" w:rsidRPr="00BC316A">
        <w:t xml:space="preserve"> executable. </w:t>
      </w:r>
    </w:p>
    <w:p w:rsidR="00F01BD9" w:rsidRPr="00BC316A" w:rsidRDefault="00F01BD9" w:rsidP="00BC316A">
      <w:pPr>
        <w:spacing w:line="480" w:lineRule="auto"/>
        <w:jc w:val="both"/>
      </w:pPr>
    </w:p>
    <w:p w:rsidR="00C6459A" w:rsidRPr="00BC316A" w:rsidRDefault="00F01BD9" w:rsidP="00BC316A">
      <w:pPr>
        <w:spacing w:line="480" w:lineRule="auto"/>
        <w:jc w:val="both"/>
      </w:pPr>
      <w:r w:rsidRPr="00BC316A">
        <w:tab/>
      </w:r>
      <w:r w:rsidR="00BC316A">
        <w:tab/>
      </w:r>
      <w:r w:rsidRPr="00BC316A">
        <w:t xml:space="preserve">The grounds of appeal herein relate in essence to the ownership of the assets in </w:t>
      </w:r>
      <w:r w:rsidR="006601B9" w:rsidRPr="00BC316A">
        <w:t xml:space="preserve">question. </w:t>
      </w:r>
      <w:r w:rsidR="00C20A64" w:rsidRPr="00BC316A">
        <w:t xml:space="preserve">The </w:t>
      </w:r>
      <w:r w:rsidR="005C0C61" w:rsidRPr="00BC316A">
        <w:t>appellants</w:t>
      </w:r>
      <w:r w:rsidR="00C20A64" w:rsidRPr="00BC316A">
        <w:t xml:space="preserve"> assert that the question of ownership is governed by the agreements of sale and that ownership in the assets has not transferred from the </w:t>
      </w:r>
      <w:r w:rsidR="005C0C61" w:rsidRPr="00BC316A">
        <w:t xml:space="preserve">appellants </w:t>
      </w:r>
      <w:r w:rsidR="00C20A64" w:rsidRPr="00BC316A">
        <w:t xml:space="preserve">to </w:t>
      </w:r>
      <w:proofErr w:type="spellStart"/>
      <w:r w:rsidR="00C20A64" w:rsidRPr="00BC316A">
        <w:t>Mbada</w:t>
      </w:r>
      <w:proofErr w:type="spellEnd"/>
      <w:r w:rsidR="00C20A64" w:rsidRPr="00BC316A">
        <w:t xml:space="preserve"> Mine but remain</w:t>
      </w:r>
      <w:r w:rsidR="00197326" w:rsidRPr="00BC316A">
        <w:t>s</w:t>
      </w:r>
      <w:r w:rsidR="005C0C61" w:rsidRPr="00BC316A">
        <w:t xml:space="preserve"> vested in them</w:t>
      </w:r>
      <w:r w:rsidR="00C20A64" w:rsidRPr="00BC316A">
        <w:t xml:space="preserve"> pending full payment of the relevant purchase </w:t>
      </w:r>
      <w:r w:rsidR="00C20A64" w:rsidRPr="00BC316A">
        <w:lastRenderedPageBreak/>
        <w:t>price</w:t>
      </w:r>
      <w:r w:rsidR="00EF1C5B" w:rsidRPr="00BC316A">
        <w:t>s</w:t>
      </w:r>
      <w:r w:rsidR="00C20A64" w:rsidRPr="00BC316A">
        <w:t xml:space="preserve">. </w:t>
      </w:r>
      <w:r w:rsidR="009A54B6" w:rsidRPr="00BC316A">
        <w:t>They also assert that the importation process could not impact on the question of ownership or propriet</w:t>
      </w:r>
      <w:r w:rsidR="00197326" w:rsidRPr="00BC316A">
        <w:t>ar</w:t>
      </w:r>
      <w:r w:rsidR="009A54B6" w:rsidRPr="00BC316A">
        <w:t xml:space="preserve">y rights in the assets. </w:t>
      </w:r>
      <w:r w:rsidR="00D205FC" w:rsidRPr="00BC316A">
        <w:t xml:space="preserve">The </w:t>
      </w:r>
      <w:r w:rsidR="00C6459A" w:rsidRPr="00BC316A">
        <w:t>appellants</w:t>
      </w:r>
      <w:r w:rsidR="00D205FC" w:rsidRPr="00BC316A">
        <w:t xml:space="preserve"> could be the beneficial owners of equipment imported permanently by </w:t>
      </w:r>
      <w:proofErr w:type="spellStart"/>
      <w:r w:rsidR="00D205FC" w:rsidRPr="00BC316A">
        <w:t>Mbada</w:t>
      </w:r>
      <w:proofErr w:type="spellEnd"/>
      <w:r w:rsidR="00D205FC" w:rsidRPr="00BC316A">
        <w:t xml:space="preserve"> Mine. </w:t>
      </w:r>
      <w:r w:rsidR="001A7632" w:rsidRPr="00BC316A">
        <w:t xml:space="preserve">Lastly, they assert that the finding of collusion by the court </w:t>
      </w:r>
      <w:r w:rsidR="001A7632" w:rsidRPr="00BC316A">
        <w:rPr>
          <w:i/>
        </w:rPr>
        <w:t>a quo</w:t>
      </w:r>
      <w:r w:rsidR="001A7632" w:rsidRPr="00BC316A">
        <w:t xml:space="preserve"> was not supported by the evidence before the </w:t>
      </w:r>
      <w:r w:rsidR="002271C2" w:rsidRPr="00BC316A">
        <w:t>c</w:t>
      </w:r>
      <w:r w:rsidR="001A7632" w:rsidRPr="00BC316A">
        <w:t>ourt.</w:t>
      </w:r>
    </w:p>
    <w:p w:rsidR="00F01BD9" w:rsidRPr="00BC316A" w:rsidRDefault="00F01BD9" w:rsidP="00BC316A">
      <w:pPr>
        <w:spacing w:line="480" w:lineRule="auto"/>
        <w:jc w:val="both"/>
      </w:pPr>
    </w:p>
    <w:p w:rsidR="004C2A18" w:rsidRPr="00BC316A" w:rsidRDefault="004C2A18" w:rsidP="00BC316A">
      <w:pPr>
        <w:spacing w:line="480" w:lineRule="auto"/>
        <w:ind w:firstLine="1134"/>
        <w:jc w:val="both"/>
      </w:pPr>
      <w:r w:rsidRPr="00BC316A">
        <w:t xml:space="preserve">It is not in dispute that </w:t>
      </w:r>
      <w:proofErr w:type="spellStart"/>
      <w:r w:rsidRPr="00BC316A">
        <w:t>Mbada</w:t>
      </w:r>
      <w:proofErr w:type="spellEnd"/>
      <w:r w:rsidRPr="00BC316A">
        <w:t xml:space="preserve"> Mine had imported the assets that were attached by the Sheriff. The point of </w:t>
      </w:r>
      <w:r w:rsidR="000D2D6D" w:rsidRPr="00BC316A">
        <w:t>contention</w:t>
      </w:r>
      <w:r w:rsidRPr="00BC316A">
        <w:t xml:space="preserve"> is whether in so importing </w:t>
      </w:r>
      <w:proofErr w:type="spellStart"/>
      <w:r w:rsidRPr="00BC316A">
        <w:t>Mbada</w:t>
      </w:r>
      <w:proofErr w:type="spellEnd"/>
      <w:r w:rsidRPr="00BC316A">
        <w:t xml:space="preserve"> Mine had assumed the right of ownership in the assets. It is also not in dispute that initially, at some point, the appellants owned the assets in question.</w:t>
      </w:r>
    </w:p>
    <w:p w:rsidR="004C2A18" w:rsidRPr="00BC316A" w:rsidRDefault="004C2A18" w:rsidP="00BC316A">
      <w:pPr>
        <w:spacing w:line="480" w:lineRule="auto"/>
        <w:ind w:firstLine="720"/>
        <w:jc w:val="both"/>
      </w:pPr>
    </w:p>
    <w:p w:rsidR="006046BC" w:rsidRPr="00BC316A" w:rsidRDefault="00D34982" w:rsidP="00BC316A">
      <w:pPr>
        <w:spacing w:line="480" w:lineRule="auto"/>
        <w:jc w:val="both"/>
        <w:rPr>
          <w:u w:val="single"/>
        </w:rPr>
      </w:pPr>
      <w:r w:rsidRPr="00BC316A">
        <w:rPr>
          <w:u w:val="single"/>
        </w:rPr>
        <w:t xml:space="preserve">Arguments on </w:t>
      </w:r>
      <w:r w:rsidR="00C6459A" w:rsidRPr="00BC316A">
        <w:rPr>
          <w:u w:val="single"/>
        </w:rPr>
        <w:t>A</w:t>
      </w:r>
      <w:r w:rsidRPr="00BC316A">
        <w:rPr>
          <w:u w:val="single"/>
        </w:rPr>
        <w:t>ppeal</w:t>
      </w:r>
    </w:p>
    <w:p w:rsidR="00302134" w:rsidRPr="00BC316A" w:rsidRDefault="00FD4BA2" w:rsidP="00BC316A">
      <w:pPr>
        <w:spacing w:line="480" w:lineRule="auto"/>
        <w:ind w:firstLine="1134"/>
        <w:jc w:val="both"/>
      </w:pPr>
      <w:r w:rsidRPr="00BC316A">
        <w:t xml:space="preserve">The </w:t>
      </w:r>
      <w:r w:rsidR="006D7604" w:rsidRPr="00BC316A">
        <w:t>appellants</w:t>
      </w:r>
      <w:r w:rsidRPr="00BC316A">
        <w:t xml:space="preserve"> argue that </w:t>
      </w:r>
      <w:r w:rsidR="00F84362" w:rsidRPr="00BC316A">
        <w:t xml:space="preserve">the fact that </w:t>
      </w:r>
      <w:proofErr w:type="spellStart"/>
      <w:r w:rsidR="00F84362" w:rsidRPr="00BC316A">
        <w:t>Mbada</w:t>
      </w:r>
      <w:proofErr w:type="spellEnd"/>
      <w:r w:rsidR="00F84362" w:rsidRPr="00BC316A">
        <w:t xml:space="preserve"> </w:t>
      </w:r>
      <w:r w:rsidR="000A022B" w:rsidRPr="00BC316A">
        <w:t>Mine</w:t>
      </w:r>
      <w:r w:rsidRPr="00BC316A">
        <w:t xml:space="preserve"> was the one which imported the assets into the country did not mean that </w:t>
      </w:r>
      <w:proofErr w:type="spellStart"/>
      <w:r w:rsidR="000A022B" w:rsidRPr="00BC316A">
        <w:t>Mbada</w:t>
      </w:r>
      <w:proofErr w:type="spellEnd"/>
      <w:r w:rsidR="000A022B" w:rsidRPr="00BC316A">
        <w:t xml:space="preserve"> Mine</w:t>
      </w:r>
      <w:r w:rsidR="009C5F9E" w:rsidRPr="00BC316A">
        <w:t xml:space="preserve"> w</w:t>
      </w:r>
      <w:r w:rsidR="009F1D46" w:rsidRPr="00BC316A">
        <w:t xml:space="preserve">as the owner of the assets.  They </w:t>
      </w:r>
      <w:r w:rsidR="009C5F9E" w:rsidRPr="00BC316A">
        <w:t xml:space="preserve">argue further that the court </w:t>
      </w:r>
      <w:r w:rsidR="000D2D6D" w:rsidRPr="00BC316A">
        <w:rPr>
          <w:i/>
        </w:rPr>
        <w:t>a quo</w:t>
      </w:r>
      <w:r w:rsidR="000D2D6D" w:rsidRPr="00BC316A">
        <w:t>’s</w:t>
      </w:r>
      <w:r w:rsidR="009C5F9E" w:rsidRPr="00BC316A">
        <w:t xml:space="preserve"> reliance on importation documents was a misdirection si</w:t>
      </w:r>
      <w:r w:rsidR="009F1D46" w:rsidRPr="00BC316A">
        <w:t>n</w:t>
      </w:r>
      <w:r w:rsidR="009C5F9E" w:rsidRPr="00BC316A">
        <w:t xml:space="preserve">ce importation does not prove ownership. To buttress this submission, </w:t>
      </w:r>
      <w:r w:rsidR="006D7604" w:rsidRPr="00BC316A">
        <w:t>the appellants r</w:t>
      </w:r>
      <w:r w:rsidR="004C2A18" w:rsidRPr="00BC316A">
        <w:t>ely</w:t>
      </w:r>
      <w:r w:rsidR="006D7604" w:rsidRPr="00BC316A">
        <w:t xml:space="preserve"> upon</w:t>
      </w:r>
      <w:r w:rsidR="009C5F9E" w:rsidRPr="00BC316A">
        <w:t xml:space="preserve"> the definition of “importer” in t</w:t>
      </w:r>
      <w:r w:rsidR="009F1D46" w:rsidRPr="00BC316A">
        <w:t>he Customs and Excise Act</w:t>
      </w:r>
      <w:r w:rsidR="006D7604" w:rsidRPr="00BC316A">
        <w:t>.</w:t>
      </w:r>
      <w:r w:rsidR="00F478D8" w:rsidRPr="00BC316A">
        <w:t xml:space="preserve"> </w:t>
      </w:r>
      <w:r w:rsidR="009C5F9E" w:rsidRPr="00BC316A">
        <w:t xml:space="preserve">Having regard to this definition, the </w:t>
      </w:r>
      <w:r w:rsidR="00F478D8" w:rsidRPr="00BC316A">
        <w:t>appellants</w:t>
      </w:r>
      <w:r w:rsidR="009C5F9E" w:rsidRPr="00BC316A">
        <w:t xml:space="preserve"> argue that the mere fact that </w:t>
      </w:r>
      <w:proofErr w:type="spellStart"/>
      <w:r w:rsidR="009C5F9E" w:rsidRPr="00BC316A">
        <w:t>Mbada</w:t>
      </w:r>
      <w:proofErr w:type="spellEnd"/>
      <w:r w:rsidR="009C5F9E" w:rsidRPr="00BC316A">
        <w:t xml:space="preserve"> </w:t>
      </w:r>
      <w:r w:rsidR="000A022B" w:rsidRPr="00BC316A">
        <w:t>Mine</w:t>
      </w:r>
      <w:r w:rsidR="003000F5" w:rsidRPr="00BC316A">
        <w:t xml:space="preserve"> </w:t>
      </w:r>
      <w:r w:rsidR="00F478D8" w:rsidRPr="00BC316A">
        <w:t xml:space="preserve">had </w:t>
      </w:r>
      <w:r w:rsidR="009C5F9E" w:rsidRPr="00BC316A">
        <w:t>imported the assets did n</w:t>
      </w:r>
      <w:r w:rsidR="009F1D46" w:rsidRPr="00BC316A">
        <w:t>o</w:t>
      </w:r>
      <w:r w:rsidR="009C5F9E" w:rsidRPr="00BC316A">
        <w:t>t prove that ownership vested in it. This is so because the definition of importer includes an owner or other person</w:t>
      </w:r>
      <w:r w:rsidR="00546415" w:rsidRPr="00BC316A">
        <w:t>.</w:t>
      </w:r>
    </w:p>
    <w:p w:rsidR="00126C3E" w:rsidRPr="00BC316A" w:rsidRDefault="00126C3E" w:rsidP="00BC316A">
      <w:pPr>
        <w:spacing w:line="480" w:lineRule="auto"/>
        <w:jc w:val="both"/>
      </w:pPr>
    </w:p>
    <w:p w:rsidR="003000F5" w:rsidRPr="00BC316A" w:rsidRDefault="00302134" w:rsidP="00BC316A">
      <w:pPr>
        <w:spacing w:line="480" w:lineRule="auto"/>
        <w:ind w:firstLine="1134"/>
        <w:jc w:val="both"/>
      </w:pPr>
      <w:r w:rsidRPr="00BC316A">
        <w:t xml:space="preserve">It </w:t>
      </w:r>
      <w:r w:rsidR="00E81E81" w:rsidRPr="00BC316A">
        <w:t>is</w:t>
      </w:r>
      <w:r w:rsidRPr="00BC316A">
        <w:t xml:space="preserve"> </w:t>
      </w:r>
      <w:r w:rsidR="00126C3E" w:rsidRPr="00BC316A">
        <w:t xml:space="preserve">further submitted for the appellants </w:t>
      </w:r>
      <w:r w:rsidR="00603A23" w:rsidRPr="00BC316A">
        <w:t xml:space="preserve">that </w:t>
      </w:r>
      <w:r w:rsidRPr="00BC316A">
        <w:t xml:space="preserve">the </w:t>
      </w:r>
      <w:r w:rsidR="00F84362" w:rsidRPr="00BC316A">
        <w:t>agreements entered i</w:t>
      </w:r>
      <w:r w:rsidR="00603A23" w:rsidRPr="00BC316A">
        <w:t>n</w:t>
      </w:r>
      <w:r w:rsidR="00F84362" w:rsidRPr="00BC316A">
        <w:t xml:space="preserve">to </w:t>
      </w:r>
      <w:r w:rsidR="00126C3E" w:rsidRPr="00BC316A">
        <w:t>between</w:t>
      </w:r>
      <w:r w:rsidR="00F84362" w:rsidRPr="00BC316A">
        <w:t xml:space="preserve"> </w:t>
      </w:r>
      <w:proofErr w:type="spellStart"/>
      <w:r w:rsidR="00F84362" w:rsidRPr="00BC316A">
        <w:t>Mbada</w:t>
      </w:r>
      <w:proofErr w:type="spellEnd"/>
      <w:r w:rsidR="00F84362" w:rsidRPr="00BC316A">
        <w:t xml:space="preserve"> Mine and themselves s</w:t>
      </w:r>
      <w:r w:rsidR="00603A23" w:rsidRPr="00BC316A">
        <w:t>houl</w:t>
      </w:r>
      <w:r w:rsidR="00F84362" w:rsidRPr="00BC316A">
        <w:t xml:space="preserve">d have been taken into cognisance by the court </w:t>
      </w:r>
      <w:r w:rsidR="00F84362" w:rsidRPr="00BC316A">
        <w:rPr>
          <w:i/>
        </w:rPr>
        <w:t>a quo</w:t>
      </w:r>
      <w:r w:rsidR="00F84362" w:rsidRPr="00BC316A">
        <w:t xml:space="preserve"> because this was the evidence that proved the fact </w:t>
      </w:r>
      <w:r w:rsidR="00603A23" w:rsidRPr="00BC316A">
        <w:t>t</w:t>
      </w:r>
      <w:r w:rsidR="00F84362" w:rsidRPr="00BC316A">
        <w:t>hat ownershi</w:t>
      </w:r>
      <w:r w:rsidR="00F64B10" w:rsidRPr="00BC316A">
        <w:t xml:space="preserve">p </w:t>
      </w:r>
      <w:r w:rsidR="00126C3E" w:rsidRPr="00BC316A">
        <w:t xml:space="preserve">of the assets </w:t>
      </w:r>
      <w:r w:rsidR="00F64B10" w:rsidRPr="00BC316A">
        <w:lastRenderedPageBreak/>
        <w:t xml:space="preserve">remained with the </w:t>
      </w:r>
      <w:r w:rsidR="00126C3E" w:rsidRPr="00BC316A">
        <w:t>appellants</w:t>
      </w:r>
      <w:r w:rsidR="00F64B10" w:rsidRPr="00BC316A">
        <w:t>. T</w:t>
      </w:r>
      <w:r w:rsidR="00F84362" w:rsidRPr="00BC316A">
        <w:t>he</w:t>
      </w:r>
      <w:r w:rsidR="00126C3E" w:rsidRPr="00BC316A">
        <w:t>y</w:t>
      </w:r>
      <w:r w:rsidR="00F84362" w:rsidRPr="00BC316A">
        <w:t xml:space="preserve"> </w:t>
      </w:r>
      <w:r w:rsidR="00E81E81" w:rsidRPr="00BC316A">
        <w:t>rely</w:t>
      </w:r>
      <w:r w:rsidR="00F84362" w:rsidRPr="00BC316A">
        <w:t xml:space="preserve"> o</w:t>
      </w:r>
      <w:r w:rsidR="00603A23" w:rsidRPr="00BC316A">
        <w:t xml:space="preserve">n </w:t>
      </w:r>
      <w:r w:rsidR="001C4233" w:rsidRPr="00BC316A">
        <w:t xml:space="preserve">the reservation clauses in </w:t>
      </w:r>
      <w:r w:rsidR="00603A23" w:rsidRPr="00BC316A">
        <w:t>the agreement</w:t>
      </w:r>
      <w:r w:rsidR="001C4233" w:rsidRPr="00BC316A">
        <w:t>s</w:t>
      </w:r>
      <w:r w:rsidR="00603A23" w:rsidRPr="00BC316A">
        <w:t xml:space="preserve"> w</w:t>
      </w:r>
      <w:r w:rsidR="00F84362" w:rsidRPr="00BC316A">
        <w:t xml:space="preserve">hich </w:t>
      </w:r>
      <w:r w:rsidR="001C4233" w:rsidRPr="00BC316A">
        <w:t>s</w:t>
      </w:r>
      <w:r w:rsidR="00E81E81" w:rsidRPr="00BC316A">
        <w:t>tipulate</w:t>
      </w:r>
      <w:r w:rsidR="00F84362" w:rsidRPr="00BC316A">
        <w:t xml:space="preserve"> that the right of ownership </w:t>
      </w:r>
      <w:r w:rsidR="00E83479" w:rsidRPr="00BC316A">
        <w:t>in</w:t>
      </w:r>
      <w:r w:rsidR="00F84362" w:rsidRPr="00BC316A">
        <w:t xml:space="preserve"> the ass</w:t>
      </w:r>
      <w:r w:rsidR="00603A23" w:rsidRPr="00BC316A">
        <w:t>et</w:t>
      </w:r>
      <w:r w:rsidR="00F84362" w:rsidRPr="00BC316A">
        <w:t xml:space="preserve">s would remain reserved with the </w:t>
      </w:r>
      <w:r w:rsidR="00E83479" w:rsidRPr="00BC316A">
        <w:t>appellants</w:t>
      </w:r>
      <w:r w:rsidR="00F64B10" w:rsidRPr="00BC316A">
        <w:t xml:space="preserve"> until the purchase price was paid in full. </w:t>
      </w:r>
    </w:p>
    <w:p w:rsidR="00E83479" w:rsidRPr="00BC316A" w:rsidRDefault="00E83479" w:rsidP="00BC316A">
      <w:pPr>
        <w:spacing w:line="480" w:lineRule="auto"/>
        <w:jc w:val="both"/>
      </w:pPr>
    </w:p>
    <w:p w:rsidR="00F64B10" w:rsidRPr="00BC316A" w:rsidRDefault="00C67A75" w:rsidP="00BC316A">
      <w:pPr>
        <w:spacing w:line="480" w:lineRule="auto"/>
        <w:ind w:firstLine="1134"/>
        <w:jc w:val="both"/>
      </w:pPr>
      <w:r w:rsidRPr="00BC316A">
        <w:t>The appellants further</w:t>
      </w:r>
      <w:r w:rsidR="00F64B10" w:rsidRPr="00BC316A">
        <w:t xml:space="preserve"> argue that it was a misdirection </w:t>
      </w:r>
      <w:r w:rsidR="000A022B" w:rsidRPr="00BC316A">
        <w:t>on</w:t>
      </w:r>
      <w:r w:rsidR="00F64B10" w:rsidRPr="00BC316A">
        <w:t xml:space="preserve"> the court </w:t>
      </w:r>
      <w:r w:rsidR="008B79C4" w:rsidRPr="00BC316A">
        <w:rPr>
          <w:i/>
        </w:rPr>
        <w:t xml:space="preserve">a </w:t>
      </w:r>
      <w:r w:rsidR="00CD0F74" w:rsidRPr="00BC316A">
        <w:rPr>
          <w:i/>
        </w:rPr>
        <w:t>quo</w:t>
      </w:r>
      <w:r w:rsidR="00CD0F74" w:rsidRPr="00BC316A">
        <w:t xml:space="preserve">’s </w:t>
      </w:r>
      <w:r w:rsidR="00F64B10" w:rsidRPr="00BC316A">
        <w:t xml:space="preserve">part to simply dismiss evidence from the agreements on the ground that they were fraudulent and executed </w:t>
      </w:r>
      <w:r w:rsidR="00F64B10" w:rsidRPr="00BC316A">
        <w:rPr>
          <w:i/>
        </w:rPr>
        <w:t>ex post facto</w:t>
      </w:r>
      <w:r w:rsidR="00F64B10" w:rsidRPr="00BC316A">
        <w:t xml:space="preserve">. </w:t>
      </w:r>
      <w:r w:rsidR="006B23FA" w:rsidRPr="00BC316A">
        <w:t xml:space="preserve">The </w:t>
      </w:r>
      <w:r w:rsidR="00E81E81" w:rsidRPr="00BC316A">
        <w:t>appellants</w:t>
      </w:r>
      <w:r w:rsidR="006B23FA" w:rsidRPr="00BC316A">
        <w:t xml:space="preserve"> also </w:t>
      </w:r>
      <w:r w:rsidRPr="00BC316A">
        <w:t>r</w:t>
      </w:r>
      <w:r w:rsidR="00E81E81" w:rsidRPr="00BC316A">
        <w:t>ely</w:t>
      </w:r>
      <w:r w:rsidRPr="00BC316A">
        <w:t xml:space="preserve"> on </w:t>
      </w:r>
      <w:r w:rsidR="006B23FA" w:rsidRPr="00BC316A">
        <w:t xml:space="preserve">a letter addressed </w:t>
      </w:r>
      <w:r w:rsidR="00D14028" w:rsidRPr="00BC316A">
        <w:t xml:space="preserve">by </w:t>
      </w:r>
      <w:proofErr w:type="spellStart"/>
      <w:r w:rsidR="00D14028" w:rsidRPr="00BC316A">
        <w:t>Mbada</w:t>
      </w:r>
      <w:proofErr w:type="spellEnd"/>
      <w:r w:rsidR="00D14028" w:rsidRPr="00BC316A">
        <w:t xml:space="preserve"> Mine </w:t>
      </w:r>
      <w:r w:rsidR="006B23FA" w:rsidRPr="00BC316A">
        <w:t xml:space="preserve">to the Sheriff </w:t>
      </w:r>
      <w:r w:rsidR="00D14028" w:rsidRPr="00BC316A">
        <w:t>which indicate</w:t>
      </w:r>
      <w:r w:rsidR="00E81E81" w:rsidRPr="00BC316A">
        <w:t>s</w:t>
      </w:r>
      <w:r w:rsidR="00D14028" w:rsidRPr="00BC316A">
        <w:t xml:space="preserve"> </w:t>
      </w:r>
      <w:r w:rsidR="006B23FA" w:rsidRPr="00BC316A">
        <w:t xml:space="preserve">that the assets that had been attached belonged to </w:t>
      </w:r>
      <w:r w:rsidR="00D14028" w:rsidRPr="00BC316A">
        <w:t>the appellants</w:t>
      </w:r>
      <w:r w:rsidR="006B23FA" w:rsidRPr="00BC316A">
        <w:t xml:space="preserve"> as </w:t>
      </w:r>
      <w:proofErr w:type="spellStart"/>
      <w:r w:rsidR="006B23FA" w:rsidRPr="00BC316A">
        <w:t>Mbada</w:t>
      </w:r>
      <w:proofErr w:type="spellEnd"/>
      <w:r w:rsidR="006B23FA" w:rsidRPr="00BC316A">
        <w:t xml:space="preserve"> </w:t>
      </w:r>
      <w:r w:rsidR="00D14028" w:rsidRPr="00BC316A">
        <w:t xml:space="preserve">Mine </w:t>
      </w:r>
      <w:r w:rsidR="006B23FA" w:rsidRPr="00BC316A">
        <w:t xml:space="preserve">was </w:t>
      </w:r>
      <w:r w:rsidR="00603A23" w:rsidRPr="00BC316A">
        <w:t>s</w:t>
      </w:r>
      <w:r w:rsidR="006B23FA" w:rsidRPr="00BC316A">
        <w:t xml:space="preserve">till </w:t>
      </w:r>
      <w:r w:rsidR="00603A23" w:rsidRPr="00BC316A">
        <w:t>substantially</w:t>
      </w:r>
      <w:r w:rsidR="00F03BC5" w:rsidRPr="00BC316A">
        <w:t xml:space="preserve"> indebted to</w:t>
      </w:r>
      <w:r w:rsidR="000A022B" w:rsidRPr="00BC316A">
        <w:t xml:space="preserve"> </w:t>
      </w:r>
      <w:r w:rsidR="00800C44" w:rsidRPr="00BC316A">
        <w:t>them</w:t>
      </w:r>
      <w:r w:rsidR="00F03BC5" w:rsidRPr="00BC316A">
        <w:t xml:space="preserve">. </w:t>
      </w:r>
      <w:r w:rsidR="00800C44" w:rsidRPr="00BC316A">
        <w:t>They</w:t>
      </w:r>
      <w:r w:rsidR="00E81E81" w:rsidRPr="00BC316A">
        <w:t xml:space="preserve"> maintain </w:t>
      </w:r>
      <w:r w:rsidR="00AB6F4B" w:rsidRPr="00BC316A">
        <w:t xml:space="preserve">that </w:t>
      </w:r>
      <w:proofErr w:type="spellStart"/>
      <w:r w:rsidR="00AB6F4B" w:rsidRPr="00BC316A">
        <w:t>Mbada</w:t>
      </w:r>
      <w:proofErr w:type="spellEnd"/>
      <w:r w:rsidR="00AB6F4B" w:rsidRPr="00BC316A">
        <w:t xml:space="preserve"> </w:t>
      </w:r>
      <w:r w:rsidR="000A022B" w:rsidRPr="00BC316A">
        <w:t xml:space="preserve">Mine </w:t>
      </w:r>
      <w:r w:rsidR="00AB6F4B" w:rsidRPr="00BC316A">
        <w:t xml:space="preserve">was involved in the importation of the equipment only as </w:t>
      </w:r>
      <w:r w:rsidR="00097445" w:rsidRPr="00BC316A">
        <w:t xml:space="preserve">the </w:t>
      </w:r>
      <w:r w:rsidR="00AB6F4B" w:rsidRPr="00BC316A">
        <w:t xml:space="preserve">holder of </w:t>
      </w:r>
      <w:r w:rsidR="00800C44" w:rsidRPr="00BC316A">
        <w:t>a registered mining location</w:t>
      </w:r>
      <w:r w:rsidR="007C3892" w:rsidRPr="00BC316A">
        <w:t>.</w:t>
      </w:r>
      <w:r w:rsidR="007E4EB8" w:rsidRPr="00BC316A">
        <w:t xml:space="preserve"> </w:t>
      </w:r>
      <w:r w:rsidR="00F03BC5" w:rsidRPr="00BC316A">
        <w:t xml:space="preserve">Essentially, the crux of the </w:t>
      </w:r>
      <w:r w:rsidR="00800C44" w:rsidRPr="00BC316A">
        <w:t>appellants</w:t>
      </w:r>
      <w:r w:rsidR="00603A23" w:rsidRPr="00BC316A">
        <w:t>’</w:t>
      </w:r>
      <w:r w:rsidR="00F03BC5" w:rsidRPr="00BC316A">
        <w:t xml:space="preserve"> argument </w:t>
      </w:r>
      <w:r w:rsidR="00E81E81" w:rsidRPr="00BC316A">
        <w:t>is</w:t>
      </w:r>
      <w:r w:rsidR="00F03BC5" w:rsidRPr="00BC316A">
        <w:t xml:space="preserve"> that one can be a holder and an importer but </w:t>
      </w:r>
      <w:r w:rsidR="00C931F8" w:rsidRPr="00BC316A">
        <w:t>n</w:t>
      </w:r>
      <w:r w:rsidR="00F03BC5" w:rsidRPr="00BC316A">
        <w:t xml:space="preserve">ot </w:t>
      </w:r>
      <w:r w:rsidR="00C931F8" w:rsidRPr="00BC316A">
        <w:t xml:space="preserve">necessarily </w:t>
      </w:r>
      <w:r w:rsidR="00F03BC5" w:rsidRPr="00BC316A">
        <w:t>the owner of the assets imported.</w:t>
      </w:r>
    </w:p>
    <w:p w:rsidR="006B23FA" w:rsidRPr="00BC316A" w:rsidRDefault="006B23FA" w:rsidP="00BC316A">
      <w:pPr>
        <w:spacing w:line="480" w:lineRule="auto"/>
        <w:jc w:val="both"/>
      </w:pPr>
    </w:p>
    <w:p w:rsidR="00241AEA" w:rsidRPr="00BC316A" w:rsidRDefault="00F64B10" w:rsidP="00BC316A">
      <w:pPr>
        <w:spacing w:line="480" w:lineRule="auto"/>
        <w:ind w:firstLine="1134"/>
        <w:jc w:val="both"/>
      </w:pPr>
      <w:r w:rsidRPr="00BC316A">
        <w:t>The</w:t>
      </w:r>
      <w:r w:rsidR="000A022B" w:rsidRPr="00BC316A">
        <w:t xml:space="preserve"> </w:t>
      </w:r>
      <w:r w:rsidR="00983163" w:rsidRPr="00BC316A">
        <w:t>second respondent argues</w:t>
      </w:r>
      <w:r w:rsidRPr="00BC316A">
        <w:t xml:space="preserve"> that the fi</w:t>
      </w:r>
      <w:r w:rsidR="00AB6F4B" w:rsidRPr="00BC316A">
        <w:t>n</w:t>
      </w:r>
      <w:r w:rsidRPr="00BC316A">
        <w:t xml:space="preserve">dings of the court </w:t>
      </w:r>
      <w:r w:rsidRPr="00BC316A">
        <w:rPr>
          <w:i/>
        </w:rPr>
        <w:t>a quo</w:t>
      </w:r>
      <w:r w:rsidRPr="00BC316A">
        <w:t xml:space="preserve"> were on </w:t>
      </w:r>
      <w:r w:rsidR="00800C44" w:rsidRPr="00BC316A">
        <w:t>issues</w:t>
      </w:r>
      <w:r w:rsidRPr="00BC316A">
        <w:t xml:space="preserve"> of fact and that </w:t>
      </w:r>
      <w:r w:rsidR="00800C44" w:rsidRPr="00BC316A">
        <w:t>the appellants</w:t>
      </w:r>
      <w:r w:rsidRPr="00BC316A">
        <w:t xml:space="preserve"> </w:t>
      </w:r>
      <w:r w:rsidR="00E81E81" w:rsidRPr="00BC316A">
        <w:t>have</w:t>
      </w:r>
      <w:r w:rsidRPr="00BC316A">
        <w:t xml:space="preserve"> not </w:t>
      </w:r>
      <w:r w:rsidR="00800C44" w:rsidRPr="00BC316A">
        <w:t xml:space="preserve">challenged those </w:t>
      </w:r>
      <w:r w:rsidRPr="00BC316A">
        <w:t xml:space="preserve">findings </w:t>
      </w:r>
      <w:r w:rsidR="00800C44" w:rsidRPr="00BC316A">
        <w:t>as being</w:t>
      </w:r>
      <w:r w:rsidRPr="00BC316A">
        <w:t xml:space="preserve"> grossly unreasonable.</w:t>
      </w:r>
      <w:r w:rsidR="006B23FA" w:rsidRPr="00BC316A">
        <w:t xml:space="preserve"> It further </w:t>
      </w:r>
      <w:r w:rsidR="00800C44" w:rsidRPr="00BC316A">
        <w:t>a</w:t>
      </w:r>
      <w:r w:rsidR="00E81E81" w:rsidRPr="00BC316A">
        <w:t>rgues</w:t>
      </w:r>
      <w:r w:rsidR="006B23FA" w:rsidRPr="00BC316A">
        <w:t xml:space="preserve"> </w:t>
      </w:r>
      <w:r w:rsidR="00603A23" w:rsidRPr="00BC316A">
        <w:t>t</w:t>
      </w:r>
      <w:r w:rsidR="006B23FA" w:rsidRPr="00BC316A">
        <w:t xml:space="preserve">hat the letter </w:t>
      </w:r>
      <w:r w:rsidR="00800C44" w:rsidRPr="00BC316A">
        <w:t xml:space="preserve">from </w:t>
      </w:r>
      <w:proofErr w:type="spellStart"/>
      <w:r w:rsidR="00800C44" w:rsidRPr="00BC316A">
        <w:t>Mbada</w:t>
      </w:r>
      <w:proofErr w:type="spellEnd"/>
      <w:r w:rsidR="00800C44" w:rsidRPr="00BC316A">
        <w:t xml:space="preserve"> Mine </w:t>
      </w:r>
      <w:r w:rsidR="004B3AEE" w:rsidRPr="00BC316A">
        <w:t xml:space="preserve">to the Sheriff </w:t>
      </w:r>
      <w:r w:rsidR="00983163" w:rsidRPr="00BC316A">
        <w:t xml:space="preserve">relied </w:t>
      </w:r>
      <w:r w:rsidR="00800C44" w:rsidRPr="00BC316A">
        <w:t>upon by</w:t>
      </w:r>
      <w:r w:rsidR="006B23FA" w:rsidRPr="00BC316A">
        <w:t xml:space="preserve"> </w:t>
      </w:r>
      <w:r w:rsidR="00800C44" w:rsidRPr="00BC316A">
        <w:t xml:space="preserve">the appellants </w:t>
      </w:r>
      <w:r w:rsidR="004B3AEE" w:rsidRPr="00BC316A">
        <w:t xml:space="preserve">was </w:t>
      </w:r>
      <w:r w:rsidR="00603A23" w:rsidRPr="00BC316A">
        <w:t xml:space="preserve">unsigned and was </w:t>
      </w:r>
      <w:r w:rsidR="00800C44" w:rsidRPr="00BC316A">
        <w:t xml:space="preserve">therefore </w:t>
      </w:r>
      <w:r w:rsidR="00603A23" w:rsidRPr="00BC316A">
        <w:t>not authentic. I</w:t>
      </w:r>
      <w:r w:rsidR="00E81E81" w:rsidRPr="00BC316A">
        <w:t>t is also</w:t>
      </w:r>
      <w:r w:rsidR="004B3AEE" w:rsidRPr="00BC316A">
        <w:t xml:space="preserve"> </w:t>
      </w:r>
      <w:r w:rsidR="000A022B" w:rsidRPr="00BC316A">
        <w:t xml:space="preserve">the </w:t>
      </w:r>
      <w:r w:rsidR="00A97E2F" w:rsidRPr="00BC316A">
        <w:t>second respondent’s</w:t>
      </w:r>
      <w:r w:rsidR="00603A23" w:rsidRPr="00BC316A">
        <w:t xml:space="preserve"> </w:t>
      </w:r>
      <w:r w:rsidR="004B3AEE" w:rsidRPr="00BC316A">
        <w:t xml:space="preserve">submission that </w:t>
      </w:r>
      <w:r w:rsidR="00B5128F" w:rsidRPr="00BC316A">
        <w:t>the</w:t>
      </w:r>
      <w:r w:rsidR="004B3AEE" w:rsidRPr="00BC316A">
        <w:t xml:space="preserve"> letter from </w:t>
      </w:r>
      <w:r w:rsidR="00983163" w:rsidRPr="00BC316A">
        <w:t>the Zimbabwe Revenue Authority (ZIMRA)</w:t>
      </w:r>
      <w:r w:rsidR="004B3AEE" w:rsidRPr="00BC316A">
        <w:t xml:space="preserve"> to </w:t>
      </w:r>
      <w:proofErr w:type="spellStart"/>
      <w:r w:rsidR="004B3AEE" w:rsidRPr="00BC316A">
        <w:t>Mbada</w:t>
      </w:r>
      <w:proofErr w:type="spellEnd"/>
      <w:r w:rsidR="004B3AEE" w:rsidRPr="00BC316A">
        <w:t xml:space="preserve"> Mine</w:t>
      </w:r>
      <w:r w:rsidR="00B5128F" w:rsidRPr="00BC316A">
        <w:t>,</w:t>
      </w:r>
      <w:r w:rsidR="004B3AEE" w:rsidRPr="00BC316A">
        <w:t xml:space="preserve"> </w:t>
      </w:r>
      <w:r w:rsidR="00F03BC5" w:rsidRPr="00BC316A">
        <w:t xml:space="preserve">concerning </w:t>
      </w:r>
      <w:r w:rsidR="00B5128F" w:rsidRPr="00BC316A">
        <w:t xml:space="preserve">the </w:t>
      </w:r>
      <w:r w:rsidR="00E337FE" w:rsidRPr="00BC316A">
        <w:t>s</w:t>
      </w:r>
      <w:r w:rsidR="00F03BC5" w:rsidRPr="00BC316A">
        <w:t>uspension of duty on the import</w:t>
      </w:r>
      <w:r w:rsidR="00E337FE" w:rsidRPr="00BC316A">
        <w:t>ation of the assets</w:t>
      </w:r>
      <w:r w:rsidR="00B5128F" w:rsidRPr="00BC316A">
        <w:t>,</w:t>
      </w:r>
      <w:r w:rsidR="00E337FE" w:rsidRPr="00BC316A">
        <w:t xml:space="preserve"> implied that </w:t>
      </w:r>
      <w:r w:rsidR="00983163" w:rsidRPr="00BC316A">
        <w:t xml:space="preserve">it was </w:t>
      </w:r>
      <w:proofErr w:type="spellStart"/>
      <w:r w:rsidR="00F03BC5" w:rsidRPr="00BC316A">
        <w:t>Mbada</w:t>
      </w:r>
      <w:proofErr w:type="spellEnd"/>
      <w:r w:rsidR="00F03BC5" w:rsidRPr="00BC316A">
        <w:t xml:space="preserve"> </w:t>
      </w:r>
      <w:r w:rsidR="000A022B" w:rsidRPr="00BC316A">
        <w:t>Mine</w:t>
      </w:r>
      <w:r w:rsidR="00F03BC5" w:rsidRPr="00BC316A">
        <w:t xml:space="preserve"> </w:t>
      </w:r>
      <w:r w:rsidR="00983163" w:rsidRPr="00BC316A">
        <w:t>that was</w:t>
      </w:r>
      <w:r w:rsidR="00F03BC5" w:rsidRPr="00BC316A">
        <w:t xml:space="preserve"> the owner of the assets</w:t>
      </w:r>
      <w:r w:rsidR="00B5128F" w:rsidRPr="00BC316A">
        <w:t>.</w:t>
      </w:r>
      <w:r w:rsidR="00F03BC5" w:rsidRPr="00BC316A">
        <w:t xml:space="preserve"> </w:t>
      </w:r>
      <w:r w:rsidR="00B5128F" w:rsidRPr="00BC316A">
        <w:t xml:space="preserve">This was because there </w:t>
      </w:r>
      <w:r w:rsidR="00F03BC5" w:rsidRPr="00BC316A">
        <w:t>was a clause in the letter stipulating that the</w:t>
      </w:r>
      <w:r w:rsidR="00E337FE" w:rsidRPr="00BC316A">
        <w:t xml:space="preserve"> </w:t>
      </w:r>
      <w:r w:rsidR="00F03BC5" w:rsidRPr="00BC316A">
        <w:t>assets were not to be sold.</w:t>
      </w:r>
      <w:r w:rsidR="006B23FA" w:rsidRPr="00BC316A">
        <w:t xml:space="preserve"> </w:t>
      </w:r>
    </w:p>
    <w:p w:rsidR="00241AEA" w:rsidRPr="00BC316A" w:rsidRDefault="00241AEA" w:rsidP="00BC316A">
      <w:pPr>
        <w:spacing w:line="480" w:lineRule="auto"/>
        <w:jc w:val="both"/>
      </w:pPr>
    </w:p>
    <w:p w:rsidR="008A62FA" w:rsidRPr="00BC316A" w:rsidRDefault="00241AEA" w:rsidP="00BC316A">
      <w:pPr>
        <w:spacing w:line="480" w:lineRule="auto"/>
        <w:ind w:firstLine="1134"/>
        <w:jc w:val="both"/>
      </w:pPr>
      <w:r w:rsidRPr="00BC316A">
        <w:lastRenderedPageBreak/>
        <w:t xml:space="preserve">The question that this </w:t>
      </w:r>
      <w:r w:rsidR="00C2560E" w:rsidRPr="00BC316A">
        <w:t>C</w:t>
      </w:r>
      <w:r w:rsidRPr="00BC316A">
        <w:t xml:space="preserve">ourt has to decide is whether the </w:t>
      </w:r>
      <w:r w:rsidR="00C2560E" w:rsidRPr="00BC316A">
        <w:t>appellants have successfully</w:t>
      </w:r>
      <w:r w:rsidRPr="00BC316A">
        <w:t xml:space="preserve"> discharge</w:t>
      </w:r>
      <w:r w:rsidR="00C2560E" w:rsidRPr="00BC316A">
        <w:t>d</w:t>
      </w:r>
      <w:r w:rsidRPr="00BC316A">
        <w:t xml:space="preserve"> the onus of proving that they are the owners of the assets</w:t>
      </w:r>
      <w:r w:rsidR="00C2560E" w:rsidRPr="00BC316A">
        <w:t xml:space="preserve"> concerned</w:t>
      </w:r>
      <w:r w:rsidRPr="00BC316A">
        <w:t xml:space="preserve">. To answer this question, </w:t>
      </w:r>
      <w:r w:rsidR="00C2560E" w:rsidRPr="00BC316A">
        <w:t>it is necessary to determine</w:t>
      </w:r>
      <w:r w:rsidRPr="00BC316A">
        <w:t xml:space="preserve"> whether the reliance </w:t>
      </w:r>
      <w:r w:rsidR="00C2560E" w:rsidRPr="00BC316A">
        <w:t xml:space="preserve">by the court below on </w:t>
      </w:r>
      <w:r w:rsidRPr="00BC316A">
        <w:t>importation documents to pro</w:t>
      </w:r>
      <w:r w:rsidR="00E337FE" w:rsidRPr="00BC316A">
        <w:t>v</w:t>
      </w:r>
      <w:r w:rsidRPr="00BC316A">
        <w:t>e ownership</w:t>
      </w:r>
      <w:r w:rsidR="008A62FA" w:rsidRPr="00BC316A">
        <w:t xml:space="preserve"> was competent and whether the agreements showing </w:t>
      </w:r>
      <w:r w:rsidR="00983163" w:rsidRPr="00BC316A">
        <w:t xml:space="preserve">the </w:t>
      </w:r>
      <w:r w:rsidR="00C2560E" w:rsidRPr="00BC316A">
        <w:t>appellants</w:t>
      </w:r>
      <w:r w:rsidR="008A62FA" w:rsidRPr="00BC316A">
        <w:t xml:space="preserve">’ ownership </w:t>
      </w:r>
      <w:r w:rsidR="00C2560E" w:rsidRPr="00BC316A">
        <w:t xml:space="preserve">of the assets </w:t>
      </w:r>
      <w:r w:rsidR="008A62FA" w:rsidRPr="00BC316A">
        <w:t xml:space="preserve">were </w:t>
      </w:r>
      <w:r w:rsidR="00C2560E" w:rsidRPr="00BC316A">
        <w:t>genuine</w:t>
      </w:r>
      <w:r w:rsidR="008A62FA" w:rsidRPr="00BC316A">
        <w:t>.</w:t>
      </w:r>
    </w:p>
    <w:p w:rsidR="00E81E81" w:rsidRPr="00BC316A" w:rsidRDefault="00E81E81" w:rsidP="00BC316A">
      <w:pPr>
        <w:spacing w:line="480" w:lineRule="auto"/>
        <w:jc w:val="both"/>
      </w:pPr>
    </w:p>
    <w:p w:rsidR="00A42F88" w:rsidRPr="00BC316A" w:rsidRDefault="00A42F88" w:rsidP="00BC316A">
      <w:pPr>
        <w:spacing w:line="480" w:lineRule="auto"/>
        <w:jc w:val="both"/>
        <w:rPr>
          <w:u w:val="single"/>
        </w:rPr>
      </w:pPr>
      <w:r w:rsidRPr="00BC316A">
        <w:rPr>
          <w:u w:val="single"/>
        </w:rPr>
        <w:t xml:space="preserve">Whether Importer must be </w:t>
      </w:r>
      <w:r w:rsidR="00E81E81" w:rsidRPr="00BC316A">
        <w:rPr>
          <w:u w:val="single"/>
        </w:rPr>
        <w:t xml:space="preserve">the </w:t>
      </w:r>
      <w:r w:rsidRPr="00BC316A">
        <w:rPr>
          <w:u w:val="single"/>
        </w:rPr>
        <w:t xml:space="preserve">Owner </w:t>
      </w:r>
    </w:p>
    <w:p w:rsidR="003F78CE" w:rsidRPr="00BC316A" w:rsidRDefault="008A62FA" w:rsidP="00BC316A">
      <w:pPr>
        <w:spacing w:line="480" w:lineRule="auto"/>
        <w:ind w:firstLine="1134"/>
        <w:jc w:val="both"/>
      </w:pPr>
      <w:r w:rsidRPr="00BC316A">
        <w:t xml:space="preserve">I </w:t>
      </w:r>
      <w:r w:rsidR="007E4EB8" w:rsidRPr="00BC316A">
        <w:t>take the view that the court</w:t>
      </w:r>
      <w:r w:rsidRPr="00BC316A">
        <w:t xml:space="preserve"> </w:t>
      </w:r>
      <w:r w:rsidR="00462114" w:rsidRPr="00BC316A">
        <w:rPr>
          <w:i/>
        </w:rPr>
        <w:t>a quo</w:t>
      </w:r>
      <w:r w:rsidR="00462114" w:rsidRPr="00BC316A">
        <w:t>’s</w:t>
      </w:r>
      <w:r w:rsidRPr="00BC316A">
        <w:t xml:space="preserve"> reliance on importation documents to determine the issue of ownership </w:t>
      </w:r>
      <w:r w:rsidR="003F78CE" w:rsidRPr="00BC316A">
        <w:t>was</w:t>
      </w:r>
      <w:r w:rsidRPr="00BC316A">
        <w:t xml:space="preserve"> flawed and incorrect. This is so because the Customs and Excise Act </w:t>
      </w:r>
      <w:r w:rsidR="003F78CE" w:rsidRPr="00BC316A">
        <w:t>[</w:t>
      </w:r>
      <w:r w:rsidR="003F78CE" w:rsidRPr="00BC316A">
        <w:rPr>
          <w:i/>
        </w:rPr>
        <w:t>Chapter 23:02</w:t>
      </w:r>
      <w:r w:rsidR="003F78CE" w:rsidRPr="00BC316A">
        <w:t xml:space="preserve">] </w:t>
      </w:r>
      <w:r w:rsidR="004A75C1" w:rsidRPr="00BC316A">
        <w:t>makes it clear</w:t>
      </w:r>
      <w:r w:rsidRPr="00BC316A">
        <w:t xml:space="preserve"> that </w:t>
      </w:r>
      <w:r w:rsidR="003F78CE" w:rsidRPr="00BC316A">
        <w:t>a</w:t>
      </w:r>
      <w:r w:rsidRPr="00BC316A">
        <w:t xml:space="preserve"> person who is not the owner can be an importer of </w:t>
      </w:r>
      <w:r w:rsidR="004A75C1" w:rsidRPr="00BC316A">
        <w:t>goods</w:t>
      </w:r>
      <w:r w:rsidRPr="00BC316A">
        <w:t xml:space="preserve">. </w:t>
      </w:r>
      <w:r w:rsidR="004A75C1" w:rsidRPr="00BC316A">
        <w:t>S</w:t>
      </w:r>
      <w:r w:rsidRPr="00BC316A">
        <w:t xml:space="preserve">ection 2 of </w:t>
      </w:r>
      <w:r w:rsidR="003F78CE" w:rsidRPr="00BC316A">
        <w:t>that</w:t>
      </w:r>
      <w:r w:rsidRPr="00BC316A">
        <w:t xml:space="preserve"> Act states that an importer</w:t>
      </w:r>
      <w:r w:rsidR="00BA1D64" w:rsidRPr="00BC316A">
        <w:t>:</w:t>
      </w:r>
    </w:p>
    <w:p w:rsidR="00BA1D64" w:rsidRPr="00BC316A" w:rsidRDefault="00BA1D64" w:rsidP="00BC316A">
      <w:pPr>
        <w:ind w:left="720"/>
        <w:jc w:val="both"/>
      </w:pPr>
      <w:r w:rsidRPr="00BC316A">
        <w:t>“</w:t>
      </w:r>
      <w:r w:rsidR="008A62FA" w:rsidRPr="00BC316A">
        <w:t xml:space="preserve">includes any owner of </w:t>
      </w:r>
      <w:r w:rsidR="008A62FA" w:rsidRPr="00BC316A">
        <w:rPr>
          <w:u w:val="single"/>
        </w:rPr>
        <w:t>or other person</w:t>
      </w:r>
      <w:r w:rsidR="008A62FA" w:rsidRPr="00BC316A">
        <w:t xml:space="preserve"> possessed of or beneficially interested in any goods at any time before entry of the same has been made</w:t>
      </w:r>
      <w:r w:rsidRPr="00BC316A">
        <w:t xml:space="preserve"> and the requirements of this Act fulfil</w:t>
      </w:r>
      <w:r w:rsidR="005F502B" w:rsidRPr="00BC316A">
        <w:t>led</w:t>
      </w:r>
      <w:r w:rsidRPr="00BC316A">
        <w:t>.” (</w:t>
      </w:r>
      <w:r w:rsidR="005F502B" w:rsidRPr="00BC316A">
        <w:t>my</w:t>
      </w:r>
      <w:r w:rsidRPr="00BC316A">
        <w:t xml:space="preserve"> emphasis)</w:t>
      </w:r>
    </w:p>
    <w:p w:rsidR="00BA1D64" w:rsidRDefault="00BA1D64" w:rsidP="00BC316A">
      <w:pPr>
        <w:spacing w:line="480" w:lineRule="auto"/>
        <w:jc w:val="both"/>
      </w:pPr>
    </w:p>
    <w:p w:rsidR="00BC316A" w:rsidRPr="00BC316A" w:rsidRDefault="00BC316A" w:rsidP="00BC316A">
      <w:pPr>
        <w:jc w:val="both"/>
      </w:pPr>
    </w:p>
    <w:p w:rsidR="00635178" w:rsidRPr="00BC316A" w:rsidRDefault="008A62FA" w:rsidP="00BC316A">
      <w:pPr>
        <w:spacing w:line="480" w:lineRule="auto"/>
        <w:ind w:firstLine="1134"/>
        <w:jc w:val="both"/>
      </w:pPr>
      <w:r w:rsidRPr="00BC316A">
        <w:t>The above provision is clear and unambiguous</w:t>
      </w:r>
      <w:r w:rsidR="00884429" w:rsidRPr="00BC316A">
        <w:t>. A</w:t>
      </w:r>
      <w:r w:rsidRPr="00BC316A">
        <w:t>n importer ca</w:t>
      </w:r>
      <w:r w:rsidR="00E337FE" w:rsidRPr="00BC316A">
        <w:t>n</w:t>
      </w:r>
      <w:r w:rsidRPr="00BC316A">
        <w:t xml:space="preserve"> either be the owner or anyone else who </w:t>
      </w:r>
      <w:r w:rsidR="00AB6F4B" w:rsidRPr="00BC316A">
        <w:t xml:space="preserve">is </w:t>
      </w:r>
      <w:r w:rsidR="00884429" w:rsidRPr="00BC316A">
        <w:t xml:space="preserve">possessed of or </w:t>
      </w:r>
      <w:r w:rsidR="00AB6F4B" w:rsidRPr="00BC316A">
        <w:t xml:space="preserve">beneficially interested in the goods to be imported. It does not limit the definition of an importer to the owner alone. </w:t>
      </w:r>
      <w:proofErr w:type="spellStart"/>
      <w:r w:rsidR="00AB6F4B" w:rsidRPr="00BC316A">
        <w:t>Mbada</w:t>
      </w:r>
      <w:proofErr w:type="spellEnd"/>
      <w:r w:rsidR="00AB6F4B" w:rsidRPr="00BC316A">
        <w:t xml:space="preserve"> </w:t>
      </w:r>
      <w:r w:rsidR="000A022B" w:rsidRPr="00BC316A">
        <w:t>Mine</w:t>
      </w:r>
      <w:r w:rsidR="00AB6F4B" w:rsidRPr="00BC316A">
        <w:t xml:space="preserve"> possess</w:t>
      </w:r>
      <w:r w:rsidR="000A022B" w:rsidRPr="00BC316A">
        <w:t>ed</w:t>
      </w:r>
      <w:r w:rsidR="00AB6F4B" w:rsidRPr="00BC316A">
        <w:t xml:space="preserve"> an interest in the assets as they were to be used at its mine. It </w:t>
      </w:r>
      <w:r w:rsidR="007E4EB8" w:rsidRPr="00BC316A">
        <w:t>was not disput</w:t>
      </w:r>
      <w:r w:rsidR="00AB6F4B" w:rsidRPr="00BC316A">
        <w:t xml:space="preserve">ed that it was </w:t>
      </w:r>
      <w:proofErr w:type="spellStart"/>
      <w:r w:rsidR="00AB6F4B" w:rsidRPr="00BC316A">
        <w:t>Mbada</w:t>
      </w:r>
      <w:proofErr w:type="spellEnd"/>
      <w:r w:rsidR="00AB6F4B" w:rsidRPr="00BC316A">
        <w:t xml:space="preserve"> </w:t>
      </w:r>
      <w:r w:rsidR="000A022B" w:rsidRPr="00BC316A">
        <w:t>Mine</w:t>
      </w:r>
      <w:r w:rsidR="00AB6F4B" w:rsidRPr="00BC316A">
        <w:t xml:space="preserve"> that had imported the assets</w:t>
      </w:r>
      <w:r w:rsidR="00884429" w:rsidRPr="00BC316A">
        <w:t xml:space="preserve">. However, by holding that </w:t>
      </w:r>
      <w:proofErr w:type="spellStart"/>
      <w:r w:rsidR="00884429" w:rsidRPr="00BC316A">
        <w:t>Mbada</w:t>
      </w:r>
      <w:proofErr w:type="spellEnd"/>
      <w:r w:rsidR="00884429" w:rsidRPr="00BC316A">
        <w:t xml:space="preserve"> Mine was also their owner,</w:t>
      </w:r>
      <w:r w:rsidR="00AB6F4B" w:rsidRPr="00BC316A">
        <w:t xml:space="preserve"> </w:t>
      </w:r>
      <w:r w:rsidR="00884429" w:rsidRPr="00BC316A">
        <w:t xml:space="preserve">simply </w:t>
      </w:r>
      <w:r w:rsidR="00AB6F4B" w:rsidRPr="00BC316A">
        <w:t xml:space="preserve">by virtue of having imported the assets, </w:t>
      </w:r>
      <w:r w:rsidR="00884429" w:rsidRPr="00BC316A">
        <w:t xml:space="preserve">the court </w:t>
      </w:r>
      <w:r w:rsidR="00884429" w:rsidRPr="00BC316A">
        <w:rPr>
          <w:i/>
        </w:rPr>
        <w:t xml:space="preserve">a quo </w:t>
      </w:r>
      <w:r w:rsidR="00884429" w:rsidRPr="00BC316A">
        <w:t>undoubtedly misdirected itself.</w:t>
      </w:r>
      <w:r w:rsidR="00DC77FD" w:rsidRPr="00BC316A">
        <w:t xml:space="preserve"> It is abundantly clear under the Customs and Excise Act</w:t>
      </w:r>
      <w:r w:rsidR="00AB6F4B" w:rsidRPr="00BC316A">
        <w:t xml:space="preserve"> that even a non- owner may import goods.</w:t>
      </w:r>
    </w:p>
    <w:p w:rsidR="008A62FA" w:rsidRPr="00BC316A" w:rsidRDefault="00635178" w:rsidP="00BC316A">
      <w:pPr>
        <w:spacing w:line="480" w:lineRule="auto"/>
        <w:ind w:firstLine="720"/>
        <w:jc w:val="both"/>
      </w:pPr>
      <w:r w:rsidRPr="00BC316A">
        <w:t xml:space="preserve"> </w:t>
      </w:r>
    </w:p>
    <w:p w:rsidR="003000F5" w:rsidRPr="00BC316A" w:rsidRDefault="007630D7" w:rsidP="00BC316A">
      <w:pPr>
        <w:spacing w:line="480" w:lineRule="auto"/>
        <w:ind w:firstLine="1134"/>
        <w:jc w:val="both"/>
      </w:pPr>
      <w:r w:rsidRPr="00BC316A">
        <w:lastRenderedPageBreak/>
        <w:t xml:space="preserve">In relation to </w:t>
      </w:r>
      <w:r w:rsidR="000A264F" w:rsidRPr="00BC316A">
        <w:t xml:space="preserve">suspension of duty on </w:t>
      </w:r>
      <w:r w:rsidR="00635178" w:rsidRPr="00BC316A">
        <w:t xml:space="preserve">the </w:t>
      </w:r>
      <w:r w:rsidRPr="00BC316A">
        <w:t>importation of mi</w:t>
      </w:r>
      <w:r w:rsidR="00C931F8" w:rsidRPr="00BC316A">
        <w:t>ning equipm</w:t>
      </w:r>
      <w:r w:rsidR="003000F5" w:rsidRPr="00BC316A">
        <w:t xml:space="preserve">ent, the Customs and Excise (Suspension) </w:t>
      </w:r>
      <w:r w:rsidR="00635178" w:rsidRPr="00BC316A">
        <w:t xml:space="preserve">Regulations </w:t>
      </w:r>
      <w:r w:rsidR="003000F5" w:rsidRPr="00BC316A">
        <w:t xml:space="preserve">2003 </w:t>
      </w:r>
      <w:r w:rsidR="00635178" w:rsidRPr="00BC316A">
        <w:t>(S.I. 257 of 2003) as amended, provide in s 9K(2) that:</w:t>
      </w:r>
      <w:r w:rsidR="00C931F8" w:rsidRPr="00BC316A">
        <w:t xml:space="preserve"> </w:t>
      </w:r>
    </w:p>
    <w:p w:rsidR="00C931F8" w:rsidRPr="00BC316A" w:rsidRDefault="00635178" w:rsidP="00BC316A">
      <w:pPr>
        <w:ind w:left="720"/>
        <w:jc w:val="both"/>
      </w:pPr>
      <w:r w:rsidRPr="00BC316A">
        <w:t>“</w:t>
      </w:r>
      <w:r w:rsidR="00C931F8" w:rsidRPr="00BC316A">
        <w:t>suspension of duty shall be granted to a holder in respect of specified goods which, during the specified period, are imported by that holder for use solely and exc</w:t>
      </w:r>
      <w:r w:rsidR="008F45EC" w:rsidRPr="00BC316A">
        <w:t>l</w:t>
      </w:r>
      <w:r w:rsidR="00C931F8" w:rsidRPr="00BC316A">
        <w:t>usively for mining development</w:t>
      </w:r>
      <w:r w:rsidR="008F45EC" w:rsidRPr="00BC316A">
        <w:t xml:space="preserve"> operations</w:t>
      </w:r>
      <w:r w:rsidRPr="00BC316A">
        <w:t>.”</w:t>
      </w:r>
    </w:p>
    <w:p w:rsidR="00635178" w:rsidRDefault="00635178" w:rsidP="00BC316A">
      <w:pPr>
        <w:autoSpaceDE w:val="0"/>
        <w:autoSpaceDN w:val="0"/>
        <w:adjustRightInd w:val="0"/>
        <w:spacing w:line="480" w:lineRule="auto"/>
        <w:jc w:val="both"/>
      </w:pPr>
    </w:p>
    <w:p w:rsidR="00BC316A" w:rsidRPr="00BC316A" w:rsidRDefault="00BC316A" w:rsidP="00BC316A">
      <w:pPr>
        <w:autoSpaceDE w:val="0"/>
        <w:autoSpaceDN w:val="0"/>
        <w:adjustRightInd w:val="0"/>
        <w:spacing w:line="480" w:lineRule="auto"/>
        <w:jc w:val="both"/>
      </w:pPr>
    </w:p>
    <w:p w:rsidR="003000F5" w:rsidRPr="00BC316A" w:rsidRDefault="008F45EC" w:rsidP="00BC316A">
      <w:pPr>
        <w:autoSpaceDE w:val="0"/>
        <w:autoSpaceDN w:val="0"/>
        <w:adjustRightInd w:val="0"/>
        <w:spacing w:line="480" w:lineRule="auto"/>
        <w:ind w:firstLine="1134"/>
        <w:jc w:val="both"/>
      </w:pPr>
      <w:r w:rsidRPr="00BC316A">
        <w:t xml:space="preserve">A </w:t>
      </w:r>
      <w:r w:rsidR="006F6C3D" w:rsidRPr="00BC316A">
        <w:t>“</w:t>
      </w:r>
      <w:r w:rsidRPr="00BC316A">
        <w:t>holder</w:t>
      </w:r>
      <w:r w:rsidR="006F6C3D" w:rsidRPr="00BC316A">
        <w:t>”</w:t>
      </w:r>
      <w:r w:rsidRPr="00BC316A">
        <w:t xml:space="preserve"> </w:t>
      </w:r>
      <w:r w:rsidR="006F6C3D" w:rsidRPr="00BC316A">
        <w:t>of a mining location</w:t>
      </w:r>
      <w:r w:rsidR="000A264F" w:rsidRPr="00BC316A">
        <w:t>, in the context of the above Regulations,</w:t>
      </w:r>
      <w:r w:rsidR="006F6C3D" w:rsidRPr="00BC316A">
        <w:t xml:space="preserve"> </w:t>
      </w:r>
      <w:r w:rsidRPr="00BC316A">
        <w:t>is defined in</w:t>
      </w:r>
      <w:r w:rsidR="00030BDB" w:rsidRPr="00BC316A">
        <w:t xml:space="preserve"> s 5 (1) of the </w:t>
      </w:r>
      <w:r w:rsidR="000A022B" w:rsidRPr="00BC316A">
        <w:t>Mine</w:t>
      </w:r>
      <w:r w:rsidR="003E1EBF" w:rsidRPr="00BC316A">
        <w:t>s</w:t>
      </w:r>
      <w:r w:rsidRPr="00BC316A">
        <w:t xml:space="preserve"> and Minerals Act </w:t>
      </w:r>
      <w:r w:rsidR="000A264F" w:rsidRPr="00BC316A">
        <w:t>[</w:t>
      </w:r>
      <w:r w:rsidR="000A264F" w:rsidRPr="00BC316A">
        <w:rPr>
          <w:i/>
        </w:rPr>
        <w:t>Chapter 21:05</w:t>
      </w:r>
      <w:r w:rsidR="000A264F" w:rsidRPr="00BC316A">
        <w:t xml:space="preserve">] </w:t>
      </w:r>
      <w:r w:rsidRPr="00BC316A">
        <w:t>as</w:t>
      </w:r>
      <w:r w:rsidR="003E1EBF" w:rsidRPr="00BC316A">
        <w:t>:</w:t>
      </w:r>
    </w:p>
    <w:p w:rsidR="008F45EC" w:rsidRPr="00BC316A" w:rsidRDefault="003E1EBF" w:rsidP="00BC316A">
      <w:pPr>
        <w:autoSpaceDE w:val="0"/>
        <w:autoSpaceDN w:val="0"/>
        <w:adjustRightInd w:val="0"/>
        <w:ind w:left="720"/>
        <w:jc w:val="both"/>
        <w:rPr>
          <w:lang w:val="en-US" w:eastAsia="en-ZW"/>
        </w:rPr>
      </w:pPr>
      <w:r w:rsidRPr="00BC316A">
        <w:rPr>
          <w:lang w:val="en-US" w:eastAsia="en-ZW"/>
        </w:rPr>
        <w:t>“</w:t>
      </w:r>
      <w:r w:rsidR="008F45EC" w:rsidRPr="00BC316A">
        <w:rPr>
          <w:lang w:val="en-US" w:eastAsia="en-ZW"/>
        </w:rPr>
        <w:t>the person in whose name such location is registered with the mining commissioner or with the Board or with the Secretary</w:t>
      </w:r>
      <w:r w:rsidR="00BF5E45" w:rsidRPr="00BC316A">
        <w:rPr>
          <w:lang w:val="en-US" w:eastAsia="en-ZW"/>
        </w:rPr>
        <w:t xml:space="preserve"> …</w:t>
      </w:r>
      <w:proofErr w:type="gramStart"/>
      <w:r w:rsidR="00BF5E45" w:rsidRPr="00BC316A">
        <w:rPr>
          <w:lang w:val="en-US" w:eastAsia="en-ZW"/>
        </w:rPr>
        <w:t>…..</w:t>
      </w:r>
      <w:proofErr w:type="gramEnd"/>
      <w:r w:rsidR="00BF5E45" w:rsidRPr="00BC316A">
        <w:rPr>
          <w:lang w:val="en-US" w:eastAsia="en-ZW"/>
        </w:rPr>
        <w:t xml:space="preserve"> </w:t>
      </w:r>
      <w:r w:rsidR="00030BDB" w:rsidRPr="00BC316A">
        <w:rPr>
          <w:lang w:val="en-US" w:eastAsia="en-ZW"/>
        </w:rPr>
        <w:t>.</w:t>
      </w:r>
      <w:r w:rsidRPr="00BC316A">
        <w:rPr>
          <w:lang w:val="en-US" w:eastAsia="en-ZW"/>
        </w:rPr>
        <w:t>”</w:t>
      </w:r>
    </w:p>
    <w:p w:rsidR="00030BDB" w:rsidRDefault="00030BDB" w:rsidP="00BC316A">
      <w:pPr>
        <w:autoSpaceDE w:val="0"/>
        <w:autoSpaceDN w:val="0"/>
        <w:adjustRightInd w:val="0"/>
        <w:spacing w:line="480" w:lineRule="auto"/>
        <w:jc w:val="both"/>
        <w:rPr>
          <w:b/>
          <w:lang w:val="en-US" w:eastAsia="en-ZW"/>
        </w:rPr>
      </w:pPr>
    </w:p>
    <w:p w:rsidR="00BC316A" w:rsidRPr="00BC316A" w:rsidRDefault="00BC316A" w:rsidP="00BC316A">
      <w:pPr>
        <w:autoSpaceDE w:val="0"/>
        <w:autoSpaceDN w:val="0"/>
        <w:adjustRightInd w:val="0"/>
        <w:jc w:val="both"/>
        <w:rPr>
          <w:b/>
          <w:lang w:val="en-US" w:eastAsia="en-ZW"/>
        </w:rPr>
      </w:pPr>
    </w:p>
    <w:p w:rsidR="00030BDB" w:rsidRPr="00BC316A" w:rsidRDefault="005418C1" w:rsidP="00BC316A">
      <w:pPr>
        <w:autoSpaceDE w:val="0"/>
        <w:autoSpaceDN w:val="0"/>
        <w:adjustRightInd w:val="0"/>
        <w:spacing w:line="480" w:lineRule="auto"/>
        <w:ind w:firstLine="1134"/>
        <w:jc w:val="both"/>
        <w:rPr>
          <w:lang w:val="en-US" w:eastAsia="en-ZW"/>
        </w:rPr>
      </w:pPr>
      <w:r w:rsidRPr="00BC316A">
        <w:rPr>
          <w:lang w:val="en-US" w:eastAsia="en-ZW"/>
        </w:rPr>
        <w:t>The above provisions make it</w:t>
      </w:r>
      <w:r w:rsidR="007630D7" w:rsidRPr="00BC316A">
        <w:rPr>
          <w:lang w:val="en-US" w:eastAsia="en-ZW"/>
        </w:rPr>
        <w:t xml:space="preserve"> </w:t>
      </w:r>
      <w:r w:rsidR="00030BDB" w:rsidRPr="00BC316A">
        <w:rPr>
          <w:lang w:val="en-US" w:eastAsia="en-ZW"/>
        </w:rPr>
        <w:t>c</w:t>
      </w:r>
      <w:r w:rsidR="007630D7" w:rsidRPr="00BC316A">
        <w:rPr>
          <w:lang w:val="en-US" w:eastAsia="en-ZW"/>
        </w:rPr>
        <w:t>l</w:t>
      </w:r>
      <w:r w:rsidR="00030BDB" w:rsidRPr="00BC316A">
        <w:rPr>
          <w:lang w:val="en-US" w:eastAsia="en-ZW"/>
        </w:rPr>
        <w:t xml:space="preserve">ear that suspension of duty </w:t>
      </w:r>
      <w:r w:rsidRPr="00BC316A">
        <w:rPr>
          <w:lang w:val="en-US" w:eastAsia="en-ZW"/>
        </w:rPr>
        <w:t>on</w:t>
      </w:r>
      <w:r w:rsidR="00030BDB" w:rsidRPr="00BC316A">
        <w:rPr>
          <w:lang w:val="en-US" w:eastAsia="en-ZW"/>
        </w:rPr>
        <w:t xml:space="preserve"> imported mining equipment is provided for persons who are holders </w:t>
      </w:r>
      <w:r w:rsidRPr="00BC316A">
        <w:rPr>
          <w:lang w:val="en-US" w:eastAsia="en-ZW"/>
        </w:rPr>
        <w:t xml:space="preserve">of </w:t>
      </w:r>
      <w:r w:rsidR="00030BDB" w:rsidRPr="00BC316A">
        <w:rPr>
          <w:lang w:val="en-US" w:eastAsia="en-ZW"/>
        </w:rPr>
        <w:t>registered mining location</w:t>
      </w:r>
      <w:r w:rsidRPr="00BC316A">
        <w:rPr>
          <w:lang w:val="en-US" w:eastAsia="en-ZW"/>
        </w:rPr>
        <w:t>s</w:t>
      </w:r>
      <w:r w:rsidR="00030BDB" w:rsidRPr="00BC316A">
        <w:rPr>
          <w:lang w:val="en-US" w:eastAsia="en-ZW"/>
        </w:rPr>
        <w:t xml:space="preserve"> in terms of the </w:t>
      </w:r>
      <w:r w:rsidR="000A022B" w:rsidRPr="00BC316A">
        <w:rPr>
          <w:lang w:val="en-US" w:eastAsia="en-ZW"/>
        </w:rPr>
        <w:t>Mine</w:t>
      </w:r>
      <w:r w:rsidR="007630D7" w:rsidRPr="00BC316A">
        <w:rPr>
          <w:lang w:val="en-US" w:eastAsia="en-ZW"/>
        </w:rPr>
        <w:t>s</w:t>
      </w:r>
      <w:r w:rsidR="00030BDB" w:rsidRPr="00BC316A">
        <w:rPr>
          <w:lang w:val="en-US" w:eastAsia="en-ZW"/>
        </w:rPr>
        <w:t xml:space="preserve"> and </w:t>
      </w:r>
      <w:r w:rsidRPr="00BC316A">
        <w:rPr>
          <w:lang w:val="en-US" w:eastAsia="en-ZW"/>
        </w:rPr>
        <w:t>M</w:t>
      </w:r>
      <w:r w:rsidR="00030BDB" w:rsidRPr="00BC316A">
        <w:rPr>
          <w:lang w:val="en-US" w:eastAsia="en-ZW"/>
        </w:rPr>
        <w:t>inerals Act.</w:t>
      </w:r>
      <w:r w:rsidR="008F36FA" w:rsidRPr="00BC316A">
        <w:rPr>
          <w:lang w:val="en-US" w:eastAsia="en-ZW"/>
        </w:rPr>
        <w:t xml:space="preserve"> </w:t>
      </w:r>
      <w:r w:rsidR="00030BDB" w:rsidRPr="00BC316A">
        <w:rPr>
          <w:lang w:val="en-US" w:eastAsia="en-ZW"/>
        </w:rPr>
        <w:t xml:space="preserve">There is nothing in the definition of an </w:t>
      </w:r>
      <w:r w:rsidR="008F36FA" w:rsidRPr="00BC316A">
        <w:rPr>
          <w:lang w:val="en-US" w:eastAsia="en-ZW"/>
        </w:rPr>
        <w:t>“</w:t>
      </w:r>
      <w:r w:rsidR="00030BDB" w:rsidRPr="00BC316A">
        <w:rPr>
          <w:lang w:val="en-US" w:eastAsia="en-ZW"/>
        </w:rPr>
        <w:t>impo</w:t>
      </w:r>
      <w:r w:rsidR="00E43A31" w:rsidRPr="00BC316A">
        <w:rPr>
          <w:lang w:val="en-US" w:eastAsia="en-ZW"/>
        </w:rPr>
        <w:t>rter</w:t>
      </w:r>
      <w:r w:rsidR="008F36FA" w:rsidRPr="00BC316A">
        <w:rPr>
          <w:lang w:val="en-US" w:eastAsia="en-ZW"/>
        </w:rPr>
        <w:t>”</w:t>
      </w:r>
      <w:r w:rsidR="00E43A31" w:rsidRPr="00BC316A">
        <w:rPr>
          <w:lang w:val="en-US" w:eastAsia="en-ZW"/>
        </w:rPr>
        <w:t xml:space="preserve"> or </w:t>
      </w:r>
      <w:r w:rsidR="008F36FA" w:rsidRPr="00BC316A">
        <w:rPr>
          <w:lang w:val="en-US" w:eastAsia="en-ZW"/>
        </w:rPr>
        <w:t>“</w:t>
      </w:r>
      <w:r w:rsidR="00030BDB" w:rsidRPr="00BC316A">
        <w:rPr>
          <w:lang w:val="en-US" w:eastAsia="en-ZW"/>
        </w:rPr>
        <w:t>holder</w:t>
      </w:r>
      <w:r w:rsidR="008F36FA" w:rsidRPr="00BC316A">
        <w:rPr>
          <w:lang w:val="en-US" w:eastAsia="en-ZW"/>
        </w:rPr>
        <w:t>”,</w:t>
      </w:r>
      <w:r w:rsidR="00030BDB" w:rsidRPr="00BC316A">
        <w:rPr>
          <w:lang w:val="en-US" w:eastAsia="en-ZW"/>
        </w:rPr>
        <w:t xml:space="preserve"> or in the provision which allows </w:t>
      </w:r>
      <w:r w:rsidR="00E43A31" w:rsidRPr="00BC316A">
        <w:rPr>
          <w:lang w:val="en-US" w:eastAsia="en-ZW"/>
        </w:rPr>
        <w:t>for suspens</w:t>
      </w:r>
      <w:r w:rsidR="00030BDB" w:rsidRPr="00BC316A">
        <w:rPr>
          <w:lang w:val="en-US" w:eastAsia="en-ZW"/>
        </w:rPr>
        <w:t>ion of duty</w:t>
      </w:r>
      <w:r w:rsidR="008F36FA" w:rsidRPr="00BC316A">
        <w:rPr>
          <w:lang w:val="en-US" w:eastAsia="en-ZW"/>
        </w:rPr>
        <w:t>,</w:t>
      </w:r>
      <w:r w:rsidR="00030BDB" w:rsidRPr="00BC316A">
        <w:rPr>
          <w:lang w:val="en-US" w:eastAsia="en-ZW"/>
        </w:rPr>
        <w:t xml:space="preserve"> to indicate that the person importing the equipment has to be the owner</w:t>
      </w:r>
      <w:r w:rsidR="007630D7" w:rsidRPr="00BC316A">
        <w:rPr>
          <w:lang w:val="en-US" w:eastAsia="en-ZW"/>
        </w:rPr>
        <w:t xml:space="preserve"> of th</w:t>
      </w:r>
      <w:r w:rsidR="008F36FA" w:rsidRPr="00BC316A">
        <w:rPr>
          <w:lang w:val="en-US" w:eastAsia="en-ZW"/>
        </w:rPr>
        <w:t>at</w:t>
      </w:r>
      <w:r w:rsidR="007630D7" w:rsidRPr="00BC316A">
        <w:rPr>
          <w:lang w:val="en-US" w:eastAsia="en-ZW"/>
        </w:rPr>
        <w:t xml:space="preserve"> equipment. </w:t>
      </w:r>
      <w:r w:rsidR="0089771B" w:rsidRPr="00BC316A">
        <w:rPr>
          <w:lang w:val="en-US" w:eastAsia="en-ZW"/>
        </w:rPr>
        <w:t xml:space="preserve">For an </w:t>
      </w:r>
      <w:r w:rsidR="00E43A31" w:rsidRPr="00BC316A">
        <w:rPr>
          <w:lang w:val="en-US" w:eastAsia="en-ZW"/>
        </w:rPr>
        <w:t xml:space="preserve">importer to be entitled to suspension of duty, he has to be a holder </w:t>
      </w:r>
      <w:r w:rsidR="0089771B" w:rsidRPr="00BC316A">
        <w:rPr>
          <w:lang w:val="en-US" w:eastAsia="en-ZW"/>
        </w:rPr>
        <w:t xml:space="preserve">of a </w:t>
      </w:r>
      <w:r w:rsidR="00E43A31" w:rsidRPr="00BC316A">
        <w:rPr>
          <w:lang w:val="en-US" w:eastAsia="en-ZW"/>
        </w:rPr>
        <w:t>registered mining location</w:t>
      </w:r>
      <w:r w:rsidR="0089771B" w:rsidRPr="00BC316A">
        <w:rPr>
          <w:lang w:val="en-US" w:eastAsia="en-ZW"/>
        </w:rPr>
        <w:t>, and must show</w:t>
      </w:r>
      <w:r w:rsidR="00E43A31" w:rsidRPr="00BC316A">
        <w:rPr>
          <w:lang w:val="en-US" w:eastAsia="en-ZW"/>
        </w:rPr>
        <w:t xml:space="preserve"> that the equipment will be </w:t>
      </w:r>
      <w:r w:rsidR="00DE556A" w:rsidRPr="00BC316A">
        <w:rPr>
          <w:lang w:val="en-US" w:eastAsia="en-ZW"/>
        </w:rPr>
        <w:t xml:space="preserve">used </w:t>
      </w:r>
      <w:r w:rsidR="00E43A31" w:rsidRPr="00BC316A">
        <w:rPr>
          <w:lang w:val="en-US" w:eastAsia="en-ZW"/>
        </w:rPr>
        <w:t>solely</w:t>
      </w:r>
      <w:r w:rsidR="0089771B" w:rsidRPr="00BC316A">
        <w:rPr>
          <w:lang w:val="en-US" w:eastAsia="en-ZW"/>
        </w:rPr>
        <w:t xml:space="preserve"> and exclusively</w:t>
      </w:r>
      <w:r w:rsidR="00E43A31" w:rsidRPr="00BC316A">
        <w:rPr>
          <w:lang w:val="en-US" w:eastAsia="en-ZW"/>
        </w:rPr>
        <w:t xml:space="preserve"> for mini</w:t>
      </w:r>
      <w:r w:rsidR="007630D7" w:rsidRPr="00BC316A">
        <w:rPr>
          <w:lang w:val="en-US" w:eastAsia="en-ZW"/>
        </w:rPr>
        <w:t>n</w:t>
      </w:r>
      <w:r w:rsidR="00E43A31" w:rsidRPr="00BC316A">
        <w:rPr>
          <w:lang w:val="en-US" w:eastAsia="en-ZW"/>
        </w:rPr>
        <w:t>g development operations.</w:t>
      </w:r>
    </w:p>
    <w:p w:rsidR="00E43A31" w:rsidRPr="00BC316A" w:rsidRDefault="00E43A31" w:rsidP="00BC316A">
      <w:pPr>
        <w:autoSpaceDE w:val="0"/>
        <w:autoSpaceDN w:val="0"/>
        <w:adjustRightInd w:val="0"/>
        <w:spacing w:line="480" w:lineRule="auto"/>
        <w:jc w:val="both"/>
        <w:rPr>
          <w:lang w:val="en-US" w:eastAsia="en-ZW"/>
        </w:rPr>
      </w:pPr>
      <w:r w:rsidRPr="00BC316A">
        <w:rPr>
          <w:lang w:val="en-US" w:eastAsia="en-ZW"/>
        </w:rPr>
        <w:t xml:space="preserve"> </w:t>
      </w:r>
    </w:p>
    <w:p w:rsidR="00E43A31" w:rsidRPr="00BC316A" w:rsidRDefault="00DC59A9" w:rsidP="00BC316A">
      <w:pPr>
        <w:autoSpaceDE w:val="0"/>
        <w:autoSpaceDN w:val="0"/>
        <w:adjustRightInd w:val="0"/>
        <w:spacing w:line="480" w:lineRule="auto"/>
        <w:ind w:firstLine="1134"/>
        <w:jc w:val="both"/>
        <w:rPr>
          <w:lang w:val="en-US" w:eastAsia="en-ZW"/>
        </w:rPr>
      </w:pPr>
      <w:r w:rsidRPr="00BC316A">
        <w:rPr>
          <w:lang w:val="en-US" w:eastAsia="en-ZW"/>
        </w:rPr>
        <w:t xml:space="preserve">Having regard to the foregoing, </w:t>
      </w:r>
      <w:r w:rsidR="00DE556A" w:rsidRPr="00BC316A">
        <w:rPr>
          <w:lang w:val="en-US" w:eastAsia="en-ZW"/>
        </w:rPr>
        <w:t xml:space="preserve">I take </w:t>
      </w:r>
      <w:r w:rsidRPr="00BC316A">
        <w:rPr>
          <w:lang w:val="en-US" w:eastAsia="en-ZW"/>
        </w:rPr>
        <w:t>the</w:t>
      </w:r>
      <w:r w:rsidR="00DE556A" w:rsidRPr="00BC316A">
        <w:rPr>
          <w:lang w:val="en-US" w:eastAsia="en-ZW"/>
        </w:rPr>
        <w:t xml:space="preserve"> view that the court </w:t>
      </w:r>
      <w:r w:rsidR="00C73A6D" w:rsidRPr="00BC316A">
        <w:rPr>
          <w:i/>
          <w:lang w:val="en-US" w:eastAsia="en-ZW"/>
        </w:rPr>
        <w:t>a quo</w:t>
      </w:r>
      <w:r w:rsidR="00C73A6D" w:rsidRPr="00BC316A">
        <w:rPr>
          <w:lang w:val="en-US" w:eastAsia="en-ZW"/>
        </w:rPr>
        <w:t>’s</w:t>
      </w:r>
      <w:r w:rsidR="00DE556A" w:rsidRPr="00BC316A">
        <w:rPr>
          <w:lang w:val="en-US" w:eastAsia="en-ZW"/>
        </w:rPr>
        <w:t xml:space="preserve"> reliance on importation documents to prove ownership of the assets</w:t>
      </w:r>
      <w:r w:rsidR="00EE4EA3" w:rsidRPr="00BC316A">
        <w:rPr>
          <w:lang w:val="en-US" w:eastAsia="en-ZW"/>
        </w:rPr>
        <w:t xml:space="preserve"> in question</w:t>
      </w:r>
      <w:r w:rsidR="00DE556A" w:rsidRPr="00BC316A">
        <w:rPr>
          <w:lang w:val="en-US" w:eastAsia="en-ZW"/>
        </w:rPr>
        <w:t xml:space="preserve"> was</w:t>
      </w:r>
      <w:r w:rsidR="001A0AEB" w:rsidRPr="00BC316A">
        <w:rPr>
          <w:lang w:val="en-US" w:eastAsia="en-ZW"/>
        </w:rPr>
        <w:t xml:space="preserve"> misguided and </w:t>
      </w:r>
      <w:r w:rsidR="00DE556A" w:rsidRPr="00BC316A">
        <w:rPr>
          <w:lang w:val="en-US" w:eastAsia="en-ZW"/>
        </w:rPr>
        <w:t xml:space="preserve">incorrect. </w:t>
      </w:r>
      <w:r w:rsidR="00EE4EA3" w:rsidRPr="00BC316A">
        <w:rPr>
          <w:lang w:val="en-US" w:eastAsia="en-ZW"/>
        </w:rPr>
        <w:t xml:space="preserve">The relevant statutory </w:t>
      </w:r>
      <w:r w:rsidR="00DE556A" w:rsidRPr="00BC316A">
        <w:rPr>
          <w:lang w:val="en-US" w:eastAsia="en-ZW"/>
        </w:rPr>
        <w:t>provisions are clear in that they do</w:t>
      </w:r>
      <w:r w:rsidR="007630D7" w:rsidRPr="00BC316A">
        <w:rPr>
          <w:lang w:val="en-US" w:eastAsia="en-ZW"/>
        </w:rPr>
        <w:t xml:space="preserve"> </w:t>
      </w:r>
      <w:r w:rsidR="00DE556A" w:rsidRPr="00BC316A">
        <w:rPr>
          <w:lang w:val="en-US" w:eastAsia="en-ZW"/>
        </w:rPr>
        <w:t xml:space="preserve">not speak of an owner </w:t>
      </w:r>
      <w:r w:rsidR="00DE556A" w:rsidRPr="00BC316A">
        <w:rPr>
          <w:lang w:val="en-US" w:eastAsia="en-ZW"/>
        </w:rPr>
        <w:lastRenderedPageBreak/>
        <w:t xml:space="preserve">of </w:t>
      </w:r>
      <w:r w:rsidR="00EE4EA3" w:rsidRPr="00BC316A">
        <w:rPr>
          <w:lang w:val="en-US" w:eastAsia="en-ZW"/>
        </w:rPr>
        <w:t>goods</w:t>
      </w:r>
      <w:r w:rsidR="00DE556A" w:rsidRPr="00BC316A">
        <w:rPr>
          <w:lang w:val="en-US" w:eastAsia="en-ZW"/>
        </w:rPr>
        <w:t xml:space="preserve"> but rather of an importer and a holder</w:t>
      </w:r>
      <w:r w:rsidR="00EE4EA3" w:rsidRPr="00BC316A">
        <w:rPr>
          <w:lang w:val="en-US" w:eastAsia="en-ZW"/>
        </w:rPr>
        <w:t>,</w:t>
      </w:r>
      <w:r w:rsidR="00DE556A" w:rsidRPr="00BC316A">
        <w:rPr>
          <w:lang w:val="en-US" w:eastAsia="en-ZW"/>
        </w:rPr>
        <w:t xml:space="preserve"> </w:t>
      </w:r>
      <w:r w:rsidR="00EE4EA3" w:rsidRPr="00BC316A">
        <w:rPr>
          <w:lang w:val="en-US" w:eastAsia="en-ZW"/>
        </w:rPr>
        <w:t xml:space="preserve">neither of </w:t>
      </w:r>
      <w:r w:rsidR="00DE556A" w:rsidRPr="00BC316A">
        <w:rPr>
          <w:lang w:val="en-US" w:eastAsia="en-ZW"/>
        </w:rPr>
        <w:t xml:space="preserve">which necessarily </w:t>
      </w:r>
      <w:r w:rsidR="004B0777" w:rsidRPr="00BC316A">
        <w:rPr>
          <w:lang w:val="en-US" w:eastAsia="en-ZW"/>
        </w:rPr>
        <w:t>ha</w:t>
      </w:r>
      <w:r w:rsidR="00EE4EA3" w:rsidRPr="00BC316A">
        <w:rPr>
          <w:lang w:val="en-US" w:eastAsia="en-ZW"/>
        </w:rPr>
        <w:t>s</w:t>
      </w:r>
      <w:r w:rsidR="004B0777" w:rsidRPr="00BC316A">
        <w:rPr>
          <w:lang w:val="en-US" w:eastAsia="en-ZW"/>
        </w:rPr>
        <w:t xml:space="preserve"> to be the owner. </w:t>
      </w:r>
      <w:r w:rsidR="007630D7" w:rsidRPr="00BC316A">
        <w:rPr>
          <w:lang w:val="en-US" w:eastAsia="en-ZW"/>
        </w:rPr>
        <w:t xml:space="preserve">To this end, the question of who imported the assets becomes of no consequence </w:t>
      </w:r>
      <w:r w:rsidR="00381747" w:rsidRPr="00BC316A">
        <w:rPr>
          <w:lang w:val="en-US" w:eastAsia="en-ZW"/>
        </w:rPr>
        <w:t>to</w:t>
      </w:r>
      <w:r w:rsidR="007630D7" w:rsidRPr="00BC316A">
        <w:rPr>
          <w:lang w:val="en-US" w:eastAsia="en-ZW"/>
        </w:rPr>
        <w:t xml:space="preserve"> the determination of </w:t>
      </w:r>
      <w:r w:rsidR="00381747" w:rsidRPr="00BC316A">
        <w:rPr>
          <w:lang w:val="en-US" w:eastAsia="en-ZW"/>
        </w:rPr>
        <w:t>ownership</w:t>
      </w:r>
      <w:r w:rsidR="007630D7" w:rsidRPr="00BC316A">
        <w:rPr>
          <w:lang w:val="en-US" w:eastAsia="en-ZW"/>
        </w:rPr>
        <w:t>.</w:t>
      </w:r>
      <w:r w:rsidR="003000F5" w:rsidRPr="00BC316A">
        <w:rPr>
          <w:lang w:val="en-US" w:eastAsia="en-ZW"/>
        </w:rPr>
        <w:t xml:space="preserve"> </w:t>
      </w:r>
      <w:r w:rsidR="004B0777" w:rsidRPr="00BC316A">
        <w:rPr>
          <w:lang w:val="en-US" w:eastAsia="en-ZW"/>
        </w:rPr>
        <w:t xml:space="preserve">The evidence of the former employee of </w:t>
      </w:r>
      <w:proofErr w:type="spellStart"/>
      <w:r w:rsidR="004B0777" w:rsidRPr="00BC316A">
        <w:rPr>
          <w:lang w:val="en-US" w:eastAsia="en-ZW"/>
        </w:rPr>
        <w:t>Mbaba</w:t>
      </w:r>
      <w:proofErr w:type="spellEnd"/>
      <w:r w:rsidR="004B0777" w:rsidRPr="00BC316A">
        <w:rPr>
          <w:lang w:val="en-US" w:eastAsia="en-ZW"/>
        </w:rPr>
        <w:t xml:space="preserve"> </w:t>
      </w:r>
      <w:r w:rsidR="000A022B" w:rsidRPr="00BC316A">
        <w:rPr>
          <w:lang w:val="en-US" w:eastAsia="en-ZW"/>
        </w:rPr>
        <w:t>Mine</w:t>
      </w:r>
      <w:r w:rsidR="004B0777" w:rsidRPr="00BC316A">
        <w:rPr>
          <w:lang w:val="en-US" w:eastAsia="en-ZW"/>
        </w:rPr>
        <w:t xml:space="preserve"> </w:t>
      </w:r>
      <w:r w:rsidR="000712FF" w:rsidRPr="00BC316A">
        <w:rPr>
          <w:lang w:val="en-US" w:eastAsia="en-ZW"/>
        </w:rPr>
        <w:t>is</w:t>
      </w:r>
      <w:r w:rsidR="004B0777" w:rsidRPr="00BC316A">
        <w:rPr>
          <w:lang w:val="en-US" w:eastAsia="en-ZW"/>
        </w:rPr>
        <w:t xml:space="preserve"> only helpful to the</w:t>
      </w:r>
      <w:r w:rsidR="007630D7" w:rsidRPr="00BC316A">
        <w:rPr>
          <w:lang w:val="en-US" w:eastAsia="en-ZW"/>
        </w:rPr>
        <w:t xml:space="preserve"> extent that it prove</w:t>
      </w:r>
      <w:r w:rsidR="000712FF" w:rsidRPr="00BC316A">
        <w:rPr>
          <w:lang w:val="en-US" w:eastAsia="en-ZW"/>
        </w:rPr>
        <w:t>s</w:t>
      </w:r>
      <w:r w:rsidR="007630D7" w:rsidRPr="00BC316A">
        <w:rPr>
          <w:lang w:val="en-US" w:eastAsia="en-ZW"/>
        </w:rPr>
        <w:t xml:space="preserve"> what </w:t>
      </w:r>
      <w:r w:rsidR="000712FF" w:rsidRPr="00BC316A">
        <w:rPr>
          <w:lang w:val="en-US" w:eastAsia="en-ZW"/>
        </w:rPr>
        <w:t>is</w:t>
      </w:r>
      <w:r w:rsidR="007630D7" w:rsidRPr="00BC316A">
        <w:rPr>
          <w:lang w:val="en-US" w:eastAsia="en-ZW"/>
        </w:rPr>
        <w:t xml:space="preserve"> </w:t>
      </w:r>
      <w:r w:rsidR="004B0777" w:rsidRPr="00BC316A">
        <w:rPr>
          <w:lang w:val="en-US" w:eastAsia="en-ZW"/>
        </w:rPr>
        <w:t xml:space="preserve">already common cause, </w:t>
      </w:r>
      <w:r w:rsidR="00854C97" w:rsidRPr="00BC316A">
        <w:rPr>
          <w:lang w:val="en-US" w:eastAsia="en-ZW"/>
        </w:rPr>
        <w:t>to wit</w:t>
      </w:r>
      <w:r w:rsidR="000712FF" w:rsidRPr="00BC316A">
        <w:rPr>
          <w:lang w:val="en-US" w:eastAsia="en-ZW"/>
        </w:rPr>
        <w:t>,</w:t>
      </w:r>
      <w:r w:rsidR="004B0777" w:rsidRPr="00BC316A">
        <w:rPr>
          <w:lang w:val="en-US" w:eastAsia="en-ZW"/>
        </w:rPr>
        <w:t xml:space="preserve"> that </w:t>
      </w:r>
      <w:proofErr w:type="spellStart"/>
      <w:r w:rsidR="004B0777" w:rsidRPr="00BC316A">
        <w:rPr>
          <w:lang w:val="en-US" w:eastAsia="en-ZW"/>
        </w:rPr>
        <w:t>Mbada</w:t>
      </w:r>
      <w:proofErr w:type="spellEnd"/>
      <w:r w:rsidR="004B0777" w:rsidRPr="00BC316A">
        <w:rPr>
          <w:lang w:val="en-US" w:eastAsia="en-ZW"/>
        </w:rPr>
        <w:t xml:space="preserve"> </w:t>
      </w:r>
      <w:r w:rsidR="000A022B" w:rsidRPr="00BC316A">
        <w:rPr>
          <w:lang w:val="en-US" w:eastAsia="en-ZW"/>
        </w:rPr>
        <w:t>Mine</w:t>
      </w:r>
      <w:r w:rsidR="004B0777" w:rsidRPr="00BC316A">
        <w:rPr>
          <w:lang w:val="en-US" w:eastAsia="en-ZW"/>
        </w:rPr>
        <w:t xml:space="preserve"> was the importer of the equipment. </w:t>
      </w:r>
      <w:r w:rsidR="00456FE8" w:rsidRPr="00BC316A">
        <w:rPr>
          <w:lang w:val="en-US" w:eastAsia="en-ZW"/>
        </w:rPr>
        <w:t xml:space="preserve">He could </w:t>
      </w:r>
      <w:r w:rsidR="007630D7" w:rsidRPr="00BC316A">
        <w:rPr>
          <w:lang w:val="en-US" w:eastAsia="en-ZW"/>
        </w:rPr>
        <w:t>n</w:t>
      </w:r>
      <w:r w:rsidR="00456FE8" w:rsidRPr="00BC316A">
        <w:rPr>
          <w:lang w:val="en-US" w:eastAsia="en-ZW"/>
        </w:rPr>
        <w:t xml:space="preserve">ot positively state whether </w:t>
      </w:r>
      <w:proofErr w:type="spellStart"/>
      <w:r w:rsidR="00456FE8" w:rsidRPr="00BC316A">
        <w:rPr>
          <w:lang w:val="en-US" w:eastAsia="en-ZW"/>
        </w:rPr>
        <w:t>Mbada</w:t>
      </w:r>
      <w:proofErr w:type="spellEnd"/>
      <w:r w:rsidR="00456FE8" w:rsidRPr="00BC316A">
        <w:rPr>
          <w:lang w:val="en-US" w:eastAsia="en-ZW"/>
        </w:rPr>
        <w:t xml:space="preserve"> </w:t>
      </w:r>
      <w:r w:rsidR="007630D7" w:rsidRPr="00BC316A">
        <w:rPr>
          <w:lang w:val="en-US" w:eastAsia="en-ZW"/>
        </w:rPr>
        <w:t xml:space="preserve">Mine </w:t>
      </w:r>
      <w:r w:rsidR="00456FE8" w:rsidRPr="00BC316A">
        <w:rPr>
          <w:lang w:val="en-US" w:eastAsia="en-ZW"/>
        </w:rPr>
        <w:t xml:space="preserve">had </w:t>
      </w:r>
      <w:r w:rsidR="000712FF" w:rsidRPr="00BC316A">
        <w:rPr>
          <w:lang w:val="en-US" w:eastAsia="en-ZW"/>
        </w:rPr>
        <w:t>purchased</w:t>
      </w:r>
      <w:r w:rsidR="00456FE8" w:rsidRPr="00BC316A">
        <w:rPr>
          <w:lang w:val="en-US" w:eastAsia="en-ZW"/>
        </w:rPr>
        <w:t xml:space="preserve"> the equipment before it was import</w:t>
      </w:r>
      <w:r w:rsidR="007630D7" w:rsidRPr="00BC316A">
        <w:rPr>
          <w:lang w:val="en-US" w:eastAsia="en-ZW"/>
        </w:rPr>
        <w:t>e</w:t>
      </w:r>
      <w:r w:rsidR="00456FE8" w:rsidRPr="00BC316A">
        <w:rPr>
          <w:lang w:val="en-US" w:eastAsia="en-ZW"/>
        </w:rPr>
        <w:t xml:space="preserve">d </w:t>
      </w:r>
      <w:r w:rsidR="000712FF" w:rsidRPr="00BC316A">
        <w:rPr>
          <w:lang w:val="en-US" w:eastAsia="en-ZW"/>
        </w:rPr>
        <w:t>or paid for it at any time thereafter.</w:t>
      </w:r>
    </w:p>
    <w:p w:rsidR="00E72545" w:rsidRPr="00BC316A" w:rsidRDefault="00E72545" w:rsidP="00BC316A">
      <w:pPr>
        <w:autoSpaceDE w:val="0"/>
        <w:autoSpaceDN w:val="0"/>
        <w:adjustRightInd w:val="0"/>
        <w:spacing w:line="480" w:lineRule="auto"/>
        <w:jc w:val="both"/>
        <w:rPr>
          <w:lang w:val="en-US" w:eastAsia="en-ZW"/>
        </w:rPr>
      </w:pPr>
    </w:p>
    <w:p w:rsidR="00E72545" w:rsidRPr="00BC316A" w:rsidRDefault="00E72545" w:rsidP="00BC316A">
      <w:pPr>
        <w:autoSpaceDE w:val="0"/>
        <w:autoSpaceDN w:val="0"/>
        <w:adjustRightInd w:val="0"/>
        <w:spacing w:line="480" w:lineRule="auto"/>
        <w:ind w:firstLine="1134"/>
        <w:jc w:val="both"/>
        <w:rPr>
          <w:lang w:val="en-US" w:eastAsia="en-ZW"/>
        </w:rPr>
      </w:pPr>
      <w:r w:rsidRPr="00BC316A">
        <w:rPr>
          <w:lang w:val="en-US" w:eastAsia="en-ZW"/>
        </w:rPr>
        <w:t xml:space="preserve">It was the </w:t>
      </w:r>
      <w:r w:rsidR="00BF756C" w:rsidRPr="00BC316A">
        <w:rPr>
          <w:lang w:val="en-US" w:eastAsia="en-ZW"/>
        </w:rPr>
        <w:t>second respondent</w:t>
      </w:r>
      <w:r w:rsidRPr="00BC316A">
        <w:rPr>
          <w:lang w:val="en-US" w:eastAsia="en-ZW"/>
        </w:rPr>
        <w:t xml:space="preserve">’s argument that </w:t>
      </w:r>
      <w:proofErr w:type="spellStart"/>
      <w:r w:rsidRPr="00BC316A">
        <w:rPr>
          <w:lang w:val="en-US" w:eastAsia="en-ZW"/>
        </w:rPr>
        <w:t>Mbada</w:t>
      </w:r>
      <w:proofErr w:type="spellEnd"/>
      <w:r w:rsidRPr="00BC316A">
        <w:rPr>
          <w:lang w:val="en-US" w:eastAsia="en-ZW"/>
        </w:rPr>
        <w:t xml:space="preserve"> Mines had made itself</w:t>
      </w:r>
      <w:r w:rsidR="00D3789F" w:rsidRPr="00BC316A">
        <w:rPr>
          <w:lang w:val="en-US" w:eastAsia="en-ZW"/>
        </w:rPr>
        <w:t xml:space="preserve"> out to be the owner by i</w:t>
      </w:r>
      <w:r w:rsidR="00D34982" w:rsidRPr="00BC316A">
        <w:rPr>
          <w:lang w:val="en-US" w:eastAsia="en-ZW"/>
        </w:rPr>
        <w:t>m</w:t>
      </w:r>
      <w:r w:rsidR="00D3789F" w:rsidRPr="00BC316A">
        <w:rPr>
          <w:lang w:val="en-US" w:eastAsia="en-ZW"/>
        </w:rPr>
        <w:t xml:space="preserve">porting the assets on a permanent basis and that the letter from ZIMRA directing that the assets were not to be sold implied that ZIMRA was under the impression that the assets belonged to </w:t>
      </w:r>
      <w:proofErr w:type="spellStart"/>
      <w:r w:rsidR="00D3789F" w:rsidRPr="00BC316A">
        <w:rPr>
          <w:lang w:val="en-US" w:eastAsia="en-ZW"/>
        </w:rPr>
        <w:t>Mbada</w:t>
      </w:r>
      <w:proofErr w:type="spellEnd"/>
      <w:r w:rsidR="00D3789F" w:rsidRPr="00BC316A">
        <w:rPr>
          <w:lang w:val="en-US" w:eastAsia="en-ZW"/>
        </w:rPr>
        <w:t xml:space="preserve"> Mine. The </w:t>
      </w:r>
      <w:r w:rsidR="00BF756C" w:rsidRPr="00BC316A">
        <w:rPr>
          <w:lang w:val="en-US" w:eastAsia="en-ZW"/>
        </w:rPr>
        <w:t>second respondent</w:t>
      </w:r>
      <w:r w:rsidR="00D3789F" w:rsidRPr="00BC316A">
        <w:rPr>
          <w:lang w:val="en-US" w:eastAsia="en-ZW"/>
        </w:rPr>
        <w:t xml:space="preserve"> contends that this impression could only be drawn from a representation by </w:t>
      </w:r>
      <w:proofErr w:type="spellStart"/>
      <w:r w:rsidR="00D3789F" w:rsidRPr="00BC316A">
        <w:rPr>
          <w:lang w:val="en-US" w:eastAsia="en-ZW"/>
        </w:rPr>
        <w:t>Mbada</w:t>
      </w:r>
      <w:proofErr w:type="spellEnd"/>
      <w:r w:rsidR="00D3789F" w:rsidRPr="00BC316A">
        <w:rPr>
          <w:lang w:val="en-US" w:eastAsia="en-ZW"/>
        </w:rPr>
        <w:t xml:space="preserve"> Mine that the assets belonged to </w:t>
      </w:r>
      <w:r w:rsidR="002E3138" w:rsidRPr="00BC316A">
        <w:rPr>
          <w:lang w:val="en-US" w:eastAsia="en-ZW"/>
        </w:rPr>
        <w:t>it</w:t>
      </w:r>
      <w:r w:rsidR="00D3789F" w:rsidRPr="00BC316A">
        <w:rPr>
          <w:lang w:val="en-US" w:eastAsia="en-ZW"/>
        </w:rPr>
        <w:t xml:space="preserve"> and no one else.</w:t>
      </w:r>
      <w:r w:rsidR="002C5ACF" w:rsidRPr="00BC316A">
        <w:rPr>
          <w:lang w:val="en-US" w:eastAsia="en-ZW"/>
        </w:rPr>
        <w:t xml:space="preserve"> While it may be a fact tha</w:t>
      </w:r>
      <w:r w:rsidR="00D34982" w:rsidRPr="00BC316A">
        <w:rPr>
          <w:lang w:val="en-US" w:eastAsia="en-ZW"/>
        </w:rPr>
        <w:t>t</w:t>
      </w:r>
      <w:r w:rsidR="002C5ACF" w:rsidRPr="00BC316A">
        <w:rPr>
          <w:lang w:val="en-US" w:eastAsia="en-ZW"/>
        </w:rPr>
        <w:t xml:space="preserve"> </w:t>
      </w:r>
      <w:proofErr w:type="spellStart"/>
      <w:r w:rsidR="002C5ACF" w:rsidRPr="00BC316A">
        <w:rPr>
          <w:lang w:val="en-US" w:eastAsia="en-ZW"/>
        </w:rPr>
        <w:t>Mbada</w:t>
      </w:r>
      <w:proofErr w:type="spellEnd"/>
      <w:r w:rsidR="002C5ACF" w:rsidRPr="00BC316A">
        <w:rPr>
          <w:lang w:val="en-US" w:eastAsia="en-ZW"/>
        </w:rPr>
        <w:t xml:space="preserve"> Mine imported t</w:t>
      </w:r>
      <w:r w:rsidR="003000F5" w:rsidRPr="00BC316A">
        <w:rPr>
          <w:lang w:val="en-US" w:eastAsia="en-ZW"/>
        </w:rPr>
        <w:t xml:space="preserve">he assets on a permanent basis, </w:t>
      </w:r>
      <w:r w:rsidR="00425792">
        <w:rPr>
          <w:lang w:val="en-US" w:eastAsia="en-ZW"/>
        </w:rPr>
        <w:t>t</w:t>
      </w:r>
      <w:r w:rsidR="002C5ACF" w:rsidRPr="00BC316A">
        <w:rPr>
          <w:lang w:val="en-US" w:eastAsia="en-ZW"/>
        </w:rPr>
        <w:t xml:space="preserve">hat fact does not automatically mean that it did so on the </w:t>
      </w:r>
      <w:r w:rsidR="00822555" w:rsidRPr="00BC316A">
        <w:rPr>
          <w:lang w:val="en-US" w:eastAsia="en-ZW"/>
        </w:rPr>
        <w:t>premise</w:t>
      </w:r>
      <w:r w:rsidR="002C5ACF" w:rsidRPr="00BC316A">
        <w:rPr>
          <w:lang w:val="en-US" w:eastAsia="en-ZW"/>
        </w:rPr>
        <w:t xml:space="preserve"> that it was the owner</w:t>
      </w:r>
      <w:r w:rsidR="00822555" w:rsidRPr="00BC316A">
        <w:rPr>
          <w:lang w:val="en-US" w:eastAsia="en-ZW"/>
        </w:rPr>
        <w:t xml:space="preserve"> of those assets.</w:t>
      </w:r>
      <w:r w:rsidR="002C5ACF" w:rsidRPr="00BC316A">
        <w:rPr>
          <w:lang w:val="en-US" w:eastAsia="en-ZW"/>
        </w:rPr>
        <w:t xml:space="preserve"> Nothing was advanced to substantiate the </w:t>
      </w:r>
      <w:r w:rsidR="002E3138" w:rsidRPr="00BC316A">
        <w:rPr>
          <w:lang w:val="en-US" w:eastAsia="en-ZW"/>
        </w:rPr>
        <w:t>argument</w:t>
      </w:r>
      <w:r w:rsidR="002C5ACF" w:rsidRPr="00BC316A">
        <w:rPr>
          <w:lang w:val="en-US" w:eastAsia="en-ZW"/>
        </w:rPr>
        <w:t xml:space="preserve"> that permanent importation is only available to the owner and not an importer who does not own the assets. </w:t>
      </w:r>
      <w:r w:rsidR="00D34982" w:rsidRPr="00BC316A">
        <w:rPr>
          <w:lang w:val="en-US" w:eastAsia="en-ZW"/>
        </w:rPr>
        <w:t>Indeed</w:t>
      </w:r>
      <w:r w:rsidR="002E3138" w:rsidRPr="00BC316A">
        <w:rPr>
          <w:lang w:val="en-US" w:eastAsia="en-ZW"/>
        </w:rPr>
        <w:t>,</w:t>
      </w:r>
      <w:r w:rsidR="00D34982" w:rsidRPr="00BC316A">
        <w:rPr>
          <w:lang w:val="en-US" w:eastAsia="en-ZW"/>
        </w:rPr>
        <w:t xml:space="preserve"> nothing to buttress such </w:t>
      </w:r>
      <w:r w:rsidR="002E3138" w:rsidRPr="00BC316A">
        <w:rPr>
          <w:lang w:val="en-US" w:eastAsia="en-ZW"/>
        </w:rPr>
        <w:t>argument</w:t>
      </w:r>
      <w:r w:rsidR="00D34982" w:rsidRPr="00BC316A">
        <w:rPr>
          <w:lang w:val="en-US" w:eastAsia="en-ZW"/>
        </w:rPr>
        <w:t xml:space="preserve"> was placed either before the court </w:t>
      </w:r>
      <w:r w:rsidR="00D34982" w:rsidRPr="00BC316A">
        <w:rPr>
          <w:i/>
          <w:lang w:val="en-US" w:eastAsia="en-ZW"/>
        </w:rPr>
        <w:t>a quo</w:t>
      </w:r>
      <w:r w:rsidR="00D34982" w:rsidRPr="00BC316A">
        <w:rPr>
          <w:lang w:val="en-US" w:eastAsia="en-ZW"/>
        </w:rPr>
        <w:t xml:space="preserve"> or before this </w:t>
      </w:r>
      <w:r w:rsidR="002E3138" w:rsidRPr="00BC316A">
        <w:rPr>
          <w:lang w:val="en-US" w:eastAsia="en-ZW"/>
        </w:rPr>
        <w:t>C</w:t>
      </w:r>
      <w:r w:rsidR="00D34982" w:rsidRPr="00BC316A">
        <w:rPr>
          <w:lang w:val="en-US" w:eastAsia="en-ZW"/>
        </w:rPr>
        <w:t xml:space="preserve">ourt. In the event, the argument </w:t>
      </w:r>
      <w:r w:rsidR="002E3138" w:rsidRPr="00BC316A">
        <w:rPr>
          <w:lang w:val="en-US" w:eastAsia="en-ZW"/>
        </w:rPr>
        <w:t>cannot succeed</w:t>
      </w:r>
      <w:r w:rsidR="00D34982" w:rsidRPr="00BC316A">
        <w:rPr>
          <w:lang w:val="en-US" w:eastAsia="en-ZW"/>
        </w:rPr>
        <w:t>.</w:t>
      </w:r>
    </w:p>
    <w:p w:rsidR="009E5003" w:rsidRPr="00BC316A" w:rsidRDefault="009E5003" w:rsidP="00BC316A">
      <w:pPr>
        <w:autoSpaceDE w:val="0"/>
        <w:autoSpaceDN w:val="0"/>
        <w:adjustRightInd w:val="0"/>
        <w:spacing w:line="480" w:lineRule="auto"/>
        <w:jc w:val="both"/>
        <w:rPr>
          <w:lang w:val="en-US" w:eastAsia="en-ZW"/>
        </w:rPr>
      </w:pPr>
    </w:p>
    <w:p w:rsidR="009E5003" w:rsidRPr="00BC316A" w:rsidRDefault="009E5003" w:rsidP="00BC316A">
      <w:pPr>
        <w:autoSpaceDE w:val="0"/>
        <w:autoSpaceDN w:val="0"/>
        <w:adjustRightInd w:val="0"/>
        <w:spacing w:line="480" w:lineRule="auto"/>
        <w:jc w:val="both"/>
        <w:rPr>
          <w:u w:val="single"/>
          <w:lang w:val="en-US" w:eastAsia="en-ZW"/>
        </w:rPr>
      </w:pPr>
      <w:r w:rsidRPr="00BC316A">
        <w:rPr>
          <w:u w:val="single"/>
          <w:lang w:val="en-US" w:eastAsia="en-ZW"/>
        </w:rPr>
        <w:t>Authenticity of Agreements and Proof of Ownership</w:t>
      </w:r>
    </w:p>
    <w:p w:rsidR="00456FE8" w:rsidRPr="00BC316A" w:rsidRDefault="00456FE8" w:rsidP="00BC316A">
      <w:pPr>
        <w:autoSpaceDE w:val="0"/>
        <w:autoSpaceDN w:val="0"/>
        <w:adjustRightInd w:val="0"/>
        <w:spacing w:line="480" w:lineRule="auto"/>
        <w:ind w:firstLine="1134"/>
        <w:jc w:val="both"/>
        <w:rPr>
          <w:lang w:val="en-US" w:eastAsia="en-ZW"/>
        </w:rPr>
      </w:pPr>
      <w:r w:rsidRPr="00BC316A">
        <w:rPr>
          <w:lang w:val="en-US" w:eastAsia="en-ZW"/>
        </w:rPr>
        <w:t>I now deal with the finding</w:t>
      </w:r>
      <w:r w:rsidR="005C4954" w:rsidRPr="00BC316A">
        <w:rPr>
          <w:lang w:val="en-US" w:eastAsia="en-ZW"/>
        </w:rPr>
        <w:t>s</w:t>
      </w:r>
      <w:r w:rsidRPr="00BC316A">
        <w:rPr>
          <w:lang w:val="en-US" w:eastAsia="en-ZW"/>
        </w:rPr>
        <w:t xml:space="preserve"> o</w:t>
      </w:r>
      <w:r w:rsidR="007630D7" w:rsidRPr="00BC316A">
        <w:rPr>
          <w:lang w:val="en-US" w:eastAsia="en-ZW"/>
        </w:rPr>
        <w:t>f</w:t>
      </w:r>
      <w:r w:rsidRPr="00BC316A">
        <w:rPr>
          <w:lang w:val="en-US" w:eastAsia="en-ZW"/>
        </w:rPr>
        <w:t xml:space="preserve"> the court </w:t>
      </w:r>
      <w:r w:rsidRPr="00BC316A">
        <w:rPr>
          <w:i/>
          <w:lang w:val="en-US" w:eastAsia="en-ZW"/>
        </w:rPr>
        <w:t>a quo</w:t>
      </w:r>
      <w:r w:rsidRPr="00BC316A">
        <w:rPr>
          <w:lang w:val="en-US" w:eastAsia="en-ZW"/>
        </w:rPr>
        <w:t xml:space="preserve"> that there was collusion between </w:t>
      </w:r>
      <w:proofErr w:type="spellStart"/>
      <w:r w:rsidRPr="00BC316A">
        <w:rPr>
          <w:lang w:val="en-US" w:eastAsia="en-ZW"/>
        </w:rPr>
        <w:t>Mbada</w:t>
      </w:r>
      <w:proofErr w:type="spellEnd"/>
      <w:r w:rsidRPr="00BC316A">
        <w:rPr>
          <w:lang w:val="en-US" w:eastAsia="en-ZW"/>
        </w:rPr>
        <w:t xml:space="preserve"> and the </w:t>
      </w:r>
      <w:r w:rsidR="005C4954" w:rsidRPr="00BC316A">
        <w:rPr>
          <w:lang w:val="en-US" w:eastAsia="en-ZW"/>
        </w:rPr>
        <w:t>appellants</w:t>
      </w:r>
      <w:r w:rsidRPr="00BC316A">
        <w:rPr>
          <w:lang w:val="en-US" w:eastAsia="en-ZW"/>
        </w:rPr>
        <w:t xml:space="preserve"> and that the contract</w:t>
      </w:r>
      <w:r w:rsidR="000A2EF2" w:rsidRPr="00BC316A">
        <w:rPr>
          <w:lang w:val="en-US" w:eastAsia="en-ZW"/>
        </w:rPr>
        <w:t>s</w:t>
      </w:r>
      <w:r w:rsidRPr="00BC316A">
        <w:rPr>
          <w:lang w:val="en-US" w:eastAsia="en-ZW"/>
        </w:rPr>
        <w:t xml:space="preserve"> between </w:t>
      </w:r>
      <w:proofErr w:type="spellStart"/>
      <w:r w:rsidRPr="00BC316A">
        <w:rPr>
          <w:lang w:val="en-US" w:eastAsia="en-ZW"/>
        </w:rPr>
        <w:t>Mbada</w:t>
      </w:r>
      <w:proofErr w:type="spellEnd"/>
      <w:r w:rsidRPr="00BC316A">
        <w:rPr>
          <w:lang w:val="en-US" w:eastAsia="en-ZW"/>
        </w:rPr>
        <w:t xml:space="preserve"> and the </w:t>
      </w:r>
      <w:r w:rsidR="005C4954" w:rsidRPr="00BC316A">
        <w:rPr>
          <w:lang w:val="en-US" w:eastAsia="en-ZW"/>
        </w:rPr>
        <w:t>appellants</w:t>
      </w:r>
      <w:r w:rsidRPr="00BC316A">
        <w:rPr>
          <w:lang w:val="en-US" w:eastAsia="en-ZW"/>
        </w:rPr>
        <w:t xml:space="preserve"> were </w:t>
      </w:r>
      <w:r w:rsidR="005C4954" w:rsidRPr="00BC316A">
        <w:rPr>
          <w:lang w:val="en-US" w:eastAsia="en-ZW"/>
        </w:rPr>
        <w:lastRenderedPageBreak/>
        <w:t xml:space="preserve">mere </w:t>
      </w:r>
      <w:r w:rsidRPr="00BC316A">
        <w:rPr>
          <w:lang w:val="en-US" w:eastAsia="en-ZW"/>
        </w:rPr>
        <w:t>sham</w:t>
      </w:r>
      <w:r w:rsidR="005C4954" w:rsidRPr="00BC316A">
        <w:rPr>
          <w:lang w:val="en-US" w:eastAsia="en-ZW"/>
        </w:rPr>
        <w:t>s</w:t>
      </w:r>
      <w:r w:rsidRPr="00BC316A">
        <w:rPr>
          <w:lang w:val="en-US" w:eastAsia="en-ZW"/>
        </w:rPr>
        <w:t>.</w:t>
      </w:r>
      <w:r w:rsidR="00E117E8" w:rsidRPr="00BC316A">
        <w:rPr>
          <w:lang w:val="en-US" w:eastAsia="en-ZW"/>
        </w:rPr>
        <w:t xml:space="preserve"> This will determine the critical issue </w:t>
      </w:r>
      <w:r w:rsidR="005C4954" w:rsidRPr="00BC316A">
        <w:rPr>
          <w:lang w:val="en-US" w:eastAsia="en-ZW"/>
        </w:rPr>
        <w:t>as to</w:t>
      </w:r>
      <w:r w:rsidR="00E117E8" w:rsidRPr="00BC316A">
        <w:rPr>
          <w:lang w:val="en-US" w:eastAsia="en-ZW"/>
        </w:rPr>
        <w:t xml:space="preserve"> whether o</w:t>
      </w:r>
      <w:r w:rsidR="007630D7" w:rsidRPr="00BC316A">
        <w:rPr>
          <w:lang w:val="en-US" w:eastAsia="en-ZW"/>
        </w:rPr>
        <w:t>r</w:t>
      </w:r>
      <w:r w:rsidR="00E117E8" w:rsidRPr="00BC316A">
        <w:rPr>
          <w:lang w:val="en-US" w:eastAsia="en-ZW"/>
        </w:rPr>
        <w:t xml:space="preserve"> not the </w:t>
      </w:r>
      <w:r w:rsidR="005C4954" w:rsidRPr="00BC316A">
        <w:rPr>
          <w:lang w:val="en-US" w:eastAsia="en-ZW"/>
        </w:rPr>
        <w:t>appellants</w:t>
      </w:r>
      <w:r w:rsidR="007630D7" w:rsidRPr="00BC316A">
        <w:rPr>
          <w:lang w:val="en-US" w:eastAsia="en-ZW"/>
        </w:rPr>
        <w:t xml:space="preserve"> </w:t>
      </w:r>
      <w:r w:rsidR="005C4954" w:rsidRPr="00BC316A">
        <w:rPr>
          <w:lang w:val="en-US" w:eastAsia="en-ZW"/>
        </w:rPr>
        <w:t>were able</w:t>
      </w:r>
      <w:r w:rsidR="00E117E8" w:rsidRPr="00BC316A">
        <w:rPr>
          <w:lang w:val="en-US" w:eastAsia="en-ZW"/>
        </w:rPr>
        <w:t xml:space="preserve"> to prove that they were the owners of the assets in question.</w:t>
      </w:r>
    </w:p>
    <w:p w:rsidR="000B5100" w:rsidRPr="00BC316A" w:rsidRDefault="000B5100" w:rsidP="00BC316A">
      <w:pPr>
        <w:autoSpaceDE w:val="0"/>
        <w:autoSpaceDN w:val="0"/>
        <w:adjustRightInd w:val="0"/>
        <w:spacing w:line="480" w:lineRule="auto"/>
        <w:jc w:val="both"/>
        <w:rPr>
          <w:lang w:val="en-US" w:eastAsia="en-ZW"/>
        </w:rPr>
      </w:pPr>
    </w:p>
    <w:p w:rsidR="000B5100" w:rsidRPr="00BC316A" w:rsidRDefault="00E117E8" w:rsidP="00BC316A">
      <w:pPr>
        <w:autoSpaceDE w:val="0"/>
        <w:autoSpaceDN w:val="0"/>
        <w:adjustRightInd w:val="0"/>
        <w:spacing w:line="480" w:lineRule="auto"/>
        <w:ind w:firstLine="1134"/>
        <w:jc w:val="both"/>
        <w:rPr>
          <w:lang w:val="en-US" w:eastAsia="en-ZW"/>
        </w:rPr>
      </w:pPr>
      <w:r w:rsidRPr="00BC316A">
        <w:rPr>
          <w:lang w:val="en-US" w:eastAsia="en-ZW"/>
        </w:rPr>
        <w:t xml:space="preserve">It is trite law that in interpleader proceedings the claimant has to set out facts and evidence which constitute proof of ownership of the assets which are the subject of </w:t>
      </w:r>
      <w:r w:rsidR="000A2EF2" w:rsidRPr="00BC316A">
        <w:rPr>
          <w:lang w:val="en-US" w:eastAsia="en-ZW"/>
        </w:rPr>
        <w:t>contention.</w:t>
      </w:r>
      <w:r w:rsidRPr="00BC316A">
        <w:rPr>
          <w:lang w:val="en-US" w:eastAsia="en-ZW"/>
        </w:rPr>
        <w:t xml:space="preserve"> This point was underscored in the case of </w:t>
      </w:r>
      <w:proofErr w:type="spellStart"/>
      <w:r w:rsidR="00E24037" w:rsidRPr="00BC316A">
        <w:rPr>
          <w:i/>
          <w:lang w:val="en-US" w:eastAsia="en-ZW"/>
        </w:rPr>
        <w:t>Muzanenhamo</w:t>
      </w:r>
      <w:proofErr w:type="spellEnd"/>
      <w:r w:rsidR="00E24037" w:rsidRPr="00BC316A">
        <w:rPr>
          <w:b/>
          <w:lang w:val="en-US" w:eastAsia="en-ZW"/>
        </w:rPr>
        <w:t xml:space="preserve"> </w:t>
      </w:r>
      <w:r w:rsidR="00E24037" w:rsidRPr="00BC316A">
        <w:rPr>
          <w:lang w:val="en-US" w:eastAsia="en-ZW"/>
        </w:rPr>
        <w:t xml:space="preserve">v </w:t>
      </w:r>
      <w:proofErr w:type="spellStart"/>
      <w:r w:rsidR="00E24037" w:rsidRPr="00BC316A">
        <w:rPr>
          <w:i/>
          <w:lang w:val="en-US" w:eastAsia="en-ZW"/>
        </w:rPr>
        <w:t>Fishtown</w:t>
      </w:r>
      <w:proofErr w:type="spellEnd"/>
      <w:r w:rsidR="00E24037" w:rsidRPr="00BC316A">
        <w:rPr>
          <w:i/>
          <w:lang w:val="en-US" w:eastAsia="en-ZW"/>
        </w:rPr>
        <w:t xml:space="preserve"> </w:t>
      </w:r>
      <w:r w:rsidR="00E91AEA" w:rsidRPr="00BC316A">
        <w:rPr>
          <w:i/>
          <w:lang w:val="en-US" w:eastAsia="en-ZW"/>
        </w:rPr>
        <w:t>Investments</w:t>
      </w:r>
      <w:r w:rsidR="00E24037" w:rsidRPr="00BC316A">
        <w:rPr>
          <w:i/>
          <w:lang w:val="en-US" w:eastAsia="en-ZW"/>
        </w:rPr>
        <w:t xml:space="preserve"> (Pvt) Ltd &amp; </w:t>
      </w:r>
      <w:proofErr w:type="spellStart"/>
      <w:r w:rsidR="00E91AEA" w:rsidRPr="00BC316A">
        <w:rPr>
          <w:i/>
          <w:lang w:val="en-US" w:eastAsia="en-ZW"/>
        </w:rPr>
        <w:t>Ors</w:t>
      </w:r>
      <w:proofErr w:type="spellEnd"/>
      <w:r w:rsidR="00E91AEA" w:rsidRPr="00BC316A">
        <w:rPr>
          <w:i/>
          <w:lang w:val="en-US" w:eastAsia="en-ZW"/>
        </w:rPr>
        <w:t xml:space="preserve"> </w:t>
      </w:r>
      <w:r w:rsidR="00E24037" w:rsidRPr="00BC316A">
        <w:rPr>
          <w:lang w:val="en-US" w:eastAsia="en-ZW"/>
        </w:rPr>
        <w:t>SC 8/17</w:t>
      </w:r>
      <w:r w:rsidR="00BD0DA3" w:rsidRPr="00BC316A">
        <w:rPr>
          <w:lang w:val="en-US" w:eastAsia="en-ZW"/>
        </w:rPr>
        <w:t>,</w:t>
      </w:r>
      <w:r w:rsidR="00E24037" w:rsidRPr="00BC316A">
        <w:rPr>
          <w:lang w:val="en-US" w:eastAsia="en-ZW"/>
        </w:rPr>
        <w:t xml:space="preserve"> </w:t>
      </w:r>
      <w:r w:rsidRPr="00BC316A">
        <w:rPr>
          <w:lang w:val="en-US" w:eastAsia="en-ZW"/>
        </w:rPr>
        <w:t xml:space="preserve">where it was held that the claimant must prove on a balance of probabilities that </w:t>
      </w:r>
      <w:r w:rsidR="00BD0DA3" w:rsidRPr="00BC316A">
        <w:rPr>
          <w:lang w:val="en-US" w:eastAsia="en-ZW"/>
        </w:rPr>
        <w:t>he</w:t>
      </w:r>
      <w:r w:rsidRPr="00BC316A">
        <w:rPr>
          <w:lang w:val="en-US" w:eastAsia="en-ZW"/>
        </w:rPr>
        <w:t xml:space="preserve"> ow</w:t>
      </w:r>
      <w:r w:rsidR="007630D7" w:rsidRPr="00BC316A">
        <w:rPr>
          <w:lang w:val="en-US" w:eastAsia="en-ZW"/>
        </w:rPr>
        <w:t>n</w:t>
      </w:r>
      <w:r w:rsidR="00BD0DA3" w:rsidRPr="00BC316A">
        <w:rPr>
          <w:lang w:val="en-US" w:eastAsia="en-ZW"/>
        </w:rPr>
        <w:t>s</w:t>
      </w:r>
      <w:r w:rsidRPr="00BC316A">
        <w:rPr>
          <w:lang w:val="en-US" w:eastAsia="en-ZW"/>
        </w:rPr>
        <w:t xml:space="preserve"> the property. The question to be </w:t>
      </w:r>
      <w:r w:rsidR="007630D7" w:rsidRPr="00BC316A">
        <w:rPr>
          <w:lang w:val="en-US" w:eastAsia="en-ZW"/>
        </w:rPr>
        <w:t>a</w:t>
      </w:r>
      <w:r w:rsidRPr="00BC316A">
        <w:rPr>
          <w:lang w:val="en-US" w:eastAsia="en-ZW"/>
        </w:rPr>
        <w:t xml:space="preserve">nswered </w:t>
      </w:r>
      <w:r w:rsidR="003D232C" w:rsidRPr="00BC316A">
        <w:rPr>
          <w:i/>
          <w:lang w:val="en-US" w:eastAsia="en-ZW"/>
        </w:rPr>
        <w:t xml:space="preserve">in </w:t>
      </w:r>
      <w:proofErr w:type="spellStart"/>
      <w:r w:rsidR="003D232C" w:rsidRPr="00BC316A">
        <w:rPr>
          <w:i/>
          <w:lang w:val="en-US" w:eastAsia="en-ZW"/>
        </w:rPr>
        <w:t>casu</w:t>
      </w:r>
      <w:proofErr w:type="spellEnd"/>
      <w:r w:rsidR="003D232C" w:rsidRPr="00BC316A">
        <w:rPr>
          <w:i/>
          <w:lang w:val="en-US" w:eastAsia="en-ZW"/>
        </w:rPr>
        <w:t xml:space="preserve"> </w:t>
      </w:r>
      <w:r w:rsidRPr="00BC316A">
        <w:rPr>
          <w:lang w:val="en-US" w:eastAsia="en-ZW"/>
        </w:rPr>
        <w:t xml:space="preserve">is whether, on a preponderance of probabilities, the </w:t>
      </w:r>
      <w:r w:rsidR="003D232C" w:rsidRPr="00BC316A">
        <w:rPr>
          <w:lang w:val="en-US" w:eastAsia="en-ZW"/>
        </w:rPr>
        <w:t>appellants</w:t>
      </w:r>
      <w:r w:rsidRPr="00BC316A">
        <w:rPr>
          <w:lang w:val="en-US" w:eastAsia="en-ZW"/>
        </w:rPr>
        <w:t xml:space="preserve"> proved that they were the ow</w:t>
      </w:r>
      <w:r w:rsidR="007630D7" w:rsidRPr="00BC316A">
        <w:rPr>
          <w:lang w:val="en-US" w:eastAsia="en-ZW"/>
        </w:rPr>
        <w:t>n</w:t>
      </w:r>
      <w:r w:rsidRPr="00BC316A">
        <w:rPr>
          <w:lang w:val="en-US" w:eastAsia="en-ZW"/>
        </w:rPr>
        <w:t>ers of the assets</w:t>
      </w:r>
      <w:r w:rsidR="003D232C" w:rsidRPr="00BC316A">
        <w:rPr>
          <w:lang w:val="en-US" w:eastAsia="en-ZW"/>
        </w:rPr>
        <w:t xml:space="preserve"> that they claimed</w:t>
      </w:r>
      <w:r w:rsidRPr="00BC316A">
        <w:rPr>
          <w:lang w:val="en-US" w:eastAsia="en-ZW"/>
        </w:rPr>
        <w:t xml:space="preserve">. </w:t>
      </w:r>
    </w:p>
    <w:p w:rsidR="0002331C" w:rsidRPr="00BC316A" w:rsidRDefault="0002331C" w:rsidP="00BC316A">
      <w:pPr>
        <w:spacing w:line="480" w:lineRule="auto"/>
        <w:jc w:val="both"/>
      </w:pPr>
    </w:p>
    <w:p w:rsidR="00BA7D6B" w:rsidRPr="00BC316A" w:rsidRDefault="00BA7D6B" w:rsidP="00BC316A">
      <w:pPr>
        <w:spacing w:line="480" w:lineRule="auto"/>
        <w:ind w:firstLine="1134"/>
        <w:jc w:val="both"/>
      </w:pPr>
      <w:r w:rsidRPr="00BC316A">
        <w:t xml:space="preserve">In a bid to prove </w:t>
      </w:r>
      <w:r w:rsidR="00641A31" w:rsidRPr="00BC316A">
        <w:t>its</w:t>
      </w:r>
      <w:r w:rsidR="004146A8" w:rsidRPr="00BC316A">
        <w:t xml:space="preserve"> </w:t>
      </w:r>
      <w:r w:rsidRPr="00BC316A">
        <w:t xml:space="preserve">ownership of the assets, the </w:t>
      </w:r>
      <w:r w:rsidR="004146A8" w:rsidRPr="00BC316A">
        <w:t>first appellant</w:t>
      </w:r>
      <w:r w:rsidRPr="00BC316A">
        <w:t xml:space="preserve"> produced </w:t>
      </w:r>
      <w:r w:rsidR="00AE618D" w:rsidRPr="00BC316A">
        <w:t xml:space="preserve">statements of account for </w:t>
      </w:r>
      <w:proofErr w:type="spellStart"/>
      <w:r w:rsidR="00AE618D" w:rsidRPr="00BC316A">
        <w:t>Mbada</w:t>
      </w:r>
      <w:proofErr w:type="spellEnd"/>
      <w:r w:rsidR="00AE618D" w:rsidRPr="00BC316A">
        <w:t xml:space="preserve"> </w:t>
      </w:r>
      <w:r w:rsidR="000A022B" w:rsidRPr="00BC316A">
        <w:t>Mine</w:t>
      </w:r>
      <w:r w:rsidR="00AE618D" w:rsidRPr="00BC316A">
        <w:t xml:space="preserve"> which showed that some payments but not all had been </w:t>
      </w:r>
      <w:r w:rsidR="004146A8" w:rsidRPr="00BC316A">
        <w:t xml:space="preserve">made </w:t>
      </w:r>
      <w:r w:rsidR="00AE618D" w:rsidRPr="00BC316A">
        <w:t xml:space="preserve">by </w:t>
      </w:r>
      <w:proofErr w:type="spellStart"/>
      <w:r w:rsidR="00AE618D" w:rsidRPr="00BC316A">
        <w:t>Mbada</w:t>
      </w:r>
      <w:proofErr w:type="spellEnd"/>
      <w:r w:rsidR="00AE618D" w:rsidRPr="00BC316A">
        <w:t xml:space="preserve"> </w:t>
      </w:r>
      <w:r w:rsidR="000A022B" w:rsidRPr="00BC316A">
        <w:t>Mine</w:t>
      </w:r>
      <w:r w:rsidR="00AE618D" w:rsidRPr="00BC316A">
        <w:t>.</w:t>
      </w:r>
      <w:r w:rsidR="005C49D2" w:rsidRPr="00BC316A">
        <w:t xml:space="preserve"> </w:t>
      </w:r>
      <w:r w:rsidR="004146A8" w:rsidRPr="00BC316A">
        <w:t>In addition, both appellants</w:t>
      </w:r>
      <w:r w:rsidR="007630D7" w:rsidRPr="00BC316A">
        <w:t xml:space="preserve"> </w:t>
      </w:r>
      <w:r w:rsidR="00DB0E32" w:rsidRPr="00BC316A">
        <w:t xml:space="preserve">produced </w:t>
      </w:r>
      <w:r w:rsidR="004146A8" w:rsidRPr="00BC316A">
        <w:t>detailed agreements concluded with</w:t>
      </w:r>
      <w:r w:rsidR="00DB0E32" w:rsidRPr="00BC316A">
        <w:t xml:space="preserve"> </w:t>
      </w:r>
      <w:proofErr w:type="spellStart"/>
      <w:r w:rsidR="00DB0E32" w:rsidRPr="00BC316A">
        <w:t>Mbada</w:t>
      </w:r>
      <w:proofErr w:type="spellEnd"/>
      <w:r w:rsidR="00DB0E32" w:rsidRPr="00BC316A">
        <w:t xml:space="preserve"> </w:t>
      </w:r>
      <w:r w:rsidR="007630D7" w:rsidRPr="00BC316A">
        <w:t>M</w:t>
      </w:r>
      <w:r w:rsidR="000A022B" w:rsidRPr="00BC316A">
        <w:t>ine</w:t>
      </w:r>
      <w:r w:rsidR="00DB0E32" w:rsidRPr="00BC316A">
        <w:t xml:space="preserve"> </w:t>
      </w:r>
      <w:r w:rsidR="004146A8" w:rsidRPr="00BC316A">
        <w:t xml:space="preserve">(on 15 November 2012 and 22 July 2015 respectively) </w:t>
      </w:r>
      <w:r w:rsidR="00DB0E32" w:rsidRPr="00BC316A">
        <w:t xml:space="preserve">which </w:t>
      </w:r>
      <w:r w:rsidR="00641A31" w:rsidRPr="00BC316A">
        <w:t>stipulated</w:t>
      </w:r>
      <w:r w:rsidR="00DB0E32" w:rsidRPr="00BC316A">
        <w:t xml:space="preserve"> that ownership </w:t>
      </w:r>
      <w:r w:rsidR="00641A31" w:rsidRPr="00BC316A">
        <w:t xml:space="preserve">of the assets </w:t>
      </w:r>
      <w:r w:rsidR="001A14FD" w:rsidRPr="00BC316A">
        <w:t>would remain</w:t>
      </w:r>
      <w:r w:rsidR="00DB0E32" w:rsidRPr="00BC316A">
        <w:t xml:space="preserve"> with </w:t>
      </w:r>
      <w:r w:rsidR="00641A31" w:rsidRPr="00BC316A">
        <w:t>the appellants</w:t>
      </w:r>
      <w:r w:rsidR="007630D7" w:rsidRPr="00BC316A">
        <w:t xml:space="preserve"> </w:t>
      </w:r>
      <w:r w:rsidR="00DB0E32" w:rsidRPr="00BC316A">
        <w:t>until the full purch</w:t>
      </w:r>
      <w:r w:rsidR="007630D7" w:rsidRPr="00BC316A">
        <w:t>a</w:t>
      </w:r>
      <w:r w:rsidR="00DB0E32" w:rsidRPr="00BC316A">
        <w:t>se price was paid. It was the court</w:t>
      </w:r>
      <w:r w:rsidR="007630D7" w:rsidRPr="00BC316A">
        <w:t xml:space="preserve"> </w:t>
      </w:r>
      <w:r w:rsidR="007630D7" w:rsidRPr="00BC316A">
        <w:rPr>
          <w:i/>
        </w:rPr>
        <w:t>a quo</w:t>
      </w:r>
      <w:r w:rsidR="001F1468" w:rsidRPr="00BC316A">
        <w:t>’s</w:t>
      </w:r>
      <w:r w:rsidR="00DB0E32" w:rsidRPr="00BC316A">
        <w:t xml:space="preserve"> finding that the agreement</w:t>
      </w:r>
      <w:r w:rsidR="00C92431" w:rsidRPr="00BC316A">
        <w:t>s</w:t>
      </w:r>
      <w:r w:rsidR="00DB0E32" w:rsidRPr="00BC316A">
        <w:t xml:space="preserve"> w</w:t>
      </w:r>
      <w:r w:rsidR="00C92431" w:rsidRPr="00BC316A">
        <w:t>ere</w:t>
      </w:r>
      <w:r w:rsidR="00DB0E32" w:rsidRPr="00BC316A">
        <w:t xml:space="preserve"> not authentic and that there was collusion between the </w:t>
      </w:r>
      <w:r w:rsidR="00C92431" w:rsidRPr="00BC316A">
        <w:t>appellants</w:t>
      </w:r>
      <w:r w:rsidR="007630D7" w:rsidRPr="00BC316A">
        <w:t xml:space="preserve"> a</w:t>
      </w:r>
      <w:r w:rsidR="00DB0E32" w:rsidRPr="00BC316A">
        <w:t xml:space="preserve">nd </w:t>
      </w:r>
      <w:proofErr w:type="spellStart"/>
      <w:r w:rsidR="00DB0E32" w:rsidRPr="00BC316A">
        <w:t>Mbada</w:t>
      </w:r>
      <w:proofErr w:type="spellEnd"/>
      <w:r w:rsidR="007630D7" w:rsidRPr="00BC316A">
        <w:t xml:space="preserve"> Mine</w:t>
      </w:r>
      <w:r w:rsidR="00DB0E32" w:rsidRPr="00BC316A">
        <w:t>. It was alleg</w:t>
      </w:r>
      <w:r w:rsidR="007630D7" w:rsidRPr="00BC316A">
        <w:t xml:space="preserve">ed </w:t>
      </w:r>
      <w:r w:rsidR="001930EB" w:rsidRPr="00BC316A">
        <w:t xml:space="preserve">by the second respondent </w:t>
      </w:r>
      <w:r w:rsidR="007630D7" w:rsidRPr="00BC316A">
        <w:t>that the agre</w:t>
      </w:r>
      <w:r w:rsidR="00DB0E32" w:rsidRPr="00BC316A">
        <w:t xml:space="preserve">ements were doctored by </w:t>
      </w:r>
      <w:proofErr w:type="spellStart"/>
      <w:r w:rsidR="00DB0E32" w:rsidRPr="00BC316A">
        <w:t>Mbada</w:t>
      </w:r>
      <w:proofErr w:type="spellEnd"/>
      <w:r w:rsidR="00DB0E32" w:rsidRPr="00BC316A">
        <w:t xml:space="preserve"> </w:t>
      </w:r>
      <w:r w:rsidR="007630D7" w:rsidRPr="00BC316A">
        <w:t>Mine a</w:t>
      </w:r>
      <w:r w:rsidR="00DB0E32" w:rsidRPr="00BC316A">
        <w:t xml:space="preserve">nd the </w:t>
      </w:r>
      <w:r w:rsidR="001930EB" w:rsidRPr="00BC316A">
        <w:t>appellants</w:t>
      </w:r>
      <w:r w:rsidR="00DB0E32" w:rsidRPr="00BC316A">
        <w:t xml:space="preserve"> </w:t>
      </w:r>
      <w:r w:rsidR="00DB0E32" w:rsidRPr="00BC316A">
        <w:rPr>
          <w:i/>
        </w:rPr>
        <w:t>ex post facto</w:t>
      </w:r>
      <w:r w:rsidR="007630D7" w:rsidRPr="00BC316A">
        <w:t xml:space="preserve"> and that there was no pap</w:t>
      </w:r>
      <w:r w:rsidR="00DB0E32" w:rsidRPr="00BC316A">
        <w:t>e</w:t>
      </w:r>
      <w:r w:rsidR="007630D7" w:rsidRPr="00BC316A">
        <w:t>r</w:t>
      </w:r>
      <w:r w:rsidR="00DB0E32" w:rsidRPr="00BC316A">
        <w:t xml:space="preserve"> t</w:t>
      </w:r>
      <w:r w:rsidR="007630D7" w:rsidRPr="00BC316A">
        <w:t>r</w:t>
      </w:r>
      <w:r w:rsidR="00DB0E32" w:rsidRPr="00BC316A">
        <w:t>ail to show that the assets belonged to the</w:t>
      </w:r>
      <w:r w:rsidR="00F3784B" w:rsidRPr="00BC316A">
        <w:t xml:space="preserve"> </w:t>
      </w:r>
      <w:r w:rsidR="001930EB" w:rsidRPr="00BC316A">
        <w:t>appellants</w:t>
      </w:r>
      <w:r w:rsidR="00DB0E32" w:rsidRPr="00BC316A">
        <w:t xml:space="preserve">. </w:t>
      </w:r>
      <w:r w:rsidR="003C1EC0" w:rsidRPr="00BC316A">
        <w:t>However, no evidence was</w:t>
      </w:r>
      <w:r w:rsidR="00DB0E32" w:rsidRPr="00BC316A">
        <w:t xml:space="preserve"> led to substantiate </w:t>
      </w:r>
      <w:r w:rsidR="00F3784B" w:rsidRPr="00BC316A">
        <w:t xml:space="preserve">the </w:t>
      </w:r>
      <w:r w:rsidR="003C1EC0" w:rsidRPr="00BC316A">
        <w:t>second respondent</w:t>
      </w:r>
      <w:r w:rsidR="00DB0E32" w:rsidRPr="00BC316A">
        <w:t>’s allegation</w:t>
      </w:r>
      <w:r w:rsidR="003C1EC0" w:rsidRPr="00BC316A">
        <w:t>s</w:t>
      </w:r>
      <w:r w:rsidR="00DB0E32" w:rsidRPr="00BC316A">
        <w:t xml:space="preserve"> of collusion. The court relied on th</w:t>
      </w:r>
      <w:r w:rsidR="00A50C21" w:rsidRPr="00BC316A">
        <w:t>e</w:t>
      </w:r>
      <w:r w:rsidR="00DB0E32" w:rsidRPr="00BC316A">
        <w:t xml:space="preserve"> </w:t>
      </w:r>
      <w:r w:rsidR="00640457" w:rsidRPr="00BC316A">
        <w:t>bald</w:t>
      </w:r>
      <w:r w:rsidR="00DB0E32" w:rsidRPr="00BC316A">
        <w:t xml:space="preserve"> averment by the </w:t>
      </w:r>
      <w:r w:rsidR="00640457" w:rsidRPr="00BC316A">
        <w:t>second respondent</w:t>
      </w:r>
      <w:r w:rsidR="00DB0E32" w:rsidRPr="00BC316A">
        <w:t xml:space="preserve"> that the documents were not authentic and simply took that </w:t>
      </w:r>
      <w:r w:rsidR="0090595D" w:rsidRPr="00BC316A">
        <w:t xml:space="preserve">to be correct. It is the </w:t>
      </w:r>
      <w:r w:rsidR="009C0250" w:rsidRPr="00BC316A">
        <w:t xml:space="preserve">second </w:t>
      </w:r>
      <w:r w:rsidR="009C0250" w:rsidRPr="00BC316A">
        <w:lastRenderedPageBreak/>
        <w:t>respondent</w:t>
      </w:r>
      <w:r w:rsidR="0090595D" w:rsidRPr="00BC316A">
        <w:t xml:space="preserve"> that levelled allegations of inauthenticity and collusion</w:t>
      </w:r>
      <w:r w:rsidR="009C0250" w:rsidRPr="00BC316A">
        <w:t>.</w:t>
      </w:r>
      <w:r w:rsidR="0090595D" w:rsidRPr="00BC316A">
        <w:t xml:space="preserve"> </w:t>
      </w:r>
      <w:r w:rsidR="009C0250" w:rsidRPr="00BC316A">
        <w:t>C</w:t>
      </w:r>
      <w:r w:rsidR="0090595D" w:rsidRPr="00BC316A">
        <w:t xml:space="preserve">onsequently, it </w:t>
      </w:r>
      <w:r w:rsidR="009C0250" w:rsidRPr="00BC316A">
        <w:t>is</w:t>
      </w:r>
      <w:r w:rsidR="0090595D" w:rsidRPr="00BC316A">
        <w:t xml:space="preserve"> the </w:t>
      </w:r>
      <w:r w:rsidR="009C0250" w:rsidRPr="00BC316A">
        <w:t>second respondent</w:t>
      </w:r>
      <w:r w:rsidR="0090595D" w:rsidRPr="00BC316A">
        <w:t xml:space="preserve"> that should have proven the same. This position was succinctly captured in the case</w:t>
      </w:r>
      <w:r w:rsidR="0058172A" w:rsidRPr="00BC316A">
        <w:t xml:space="preserve"> of</w:t>
      </w:r>
      <w:r w:rsidR="0090595D" w:rsidRPr="00BC316A">
        <w:t xml:space="preserve"> </w:t>
      </w:r>
      <w:r w:rsidR="00E24037" w:rsidRPr="00BC316A">
        <w:rPr>
          <w:i/>
        </w:rPr>
        <w:t xml:space="preserve">Circle Tracking </w:t>
      </w:r>
      <w:r w:rsidR="00E24037" w:rsidRPr="00BC316A">
        <w:t>v</w:t>
      </w:r>
      <w:r w:rsidR="00E24037" w:rsidRPr="00BC316A">
        <w:rPr>
          <w:b/>
        </w:rPr>
        <w:t xml:space="preserve"> </w:t>
      </w:r>
      <w:proofErr w:type="spellStart"/>
      <w:r w:rsidR="00E24037" w:rsidRPr="00BC316A">
        <w:rPr>
          <w:i/>
        </w:rPr>
        <w:t>Mahachi</w:t>
      </w:r>
      <w:proofErr w:type="spellEnd"/>
      <w:r w:rsidR="00E24037" w:rsidRPr="00BC316A">
        <w:rPr>
          <w:b/>
        </w:rPr>
        <w:t xml:space="preserve"> </w:t>
      </w:r>
      <w:r w:rsidR="00E24037" w:rsidRPr="00BC316A">
        <w:t>SC 4/07</w:t>
      </w:r>
      <w:r w:rsidR="00155B7A" w:rsidRPr="00BC316A">
        <w:t>,</w:t>
      </w:r>
      <w:r w:rsidR="00E24037" w:rsidRPr="00BC316A">
        <w:t xml:space="preserve"> </w:t>
      </w:r>
      <w:r w:rsidR="0090595D" w:rsidRPr="00BC316A">
        <w:t xml:space="preserve">where the </w:t>
      </w:r>
      <w:r w:rsidR="0058172A" w:rsidRPr="00BC316A">
        <w:t>C</w:t>
      </w:r>
      <w:r w:rsidR="0090595D" w:rsidRPr="00BC316A">
        <w:t xml:space="preserve">ourt held that the principle that he who alleges must prove is a basic concept of our </w:t>
      </w:r>
      <w:r w:rsidR="00155B7A" w:rsidRPr="00BC316A">
        <w:t>law.</w:t>
      </w:r>
      <w:r w:rsidR="00190D78" w:rsidRPr="00BC316A">
        <w:t xml:space="preserve"> No evidence was adduced </w:t>
      </w:r>
      <w:r w:rsidR="00155B7A" w:rsidRPr="00BC316A">
        <w:t xml:space="preserve">by the second respondent </w:t>
      </w:r>
      <w:r w:rsidR="00190D78" w:rsidRPr="00BC316A">
        <w:t xml:space="preserve">to substantiate the </w:t>
      </w:r>
      <w:r w:rsidR="00155B7A" w:rsidRPr="00BC316A">
        <w:t xml:space="preserve">alleged </w:t>
      </w:r>
      <w:r w:rsidR="00190D78" w:rsidRPr="00BC316A">
        <w:t>inauthenticity of the agreements.</w:t>
      </w:r>
    </w:p>
    <w:p w:rsidR="00CE0D1B" w:rsidRPr="00BC316A" w:rsidRDefault="00CE0D1B" w:rsidP="00BC316A">
      <w:pPr>
        <w:spacing w:line="480" w:lineRule="auto"/>
        <w:jc w:val="both"/>
      </w:pPr>
    </w:p>
    <w:p w:rsidR="00E24037" w:rsidRPr="00BC316A" w:rsidRDefault="00190D78" w:rsidP="00BC316A">
      <w:pPr>
        <w:spacing w:line="480" w:lineRule="auto"/>
        <w:ind w:firstLine="1134"/>
        <w:jc w:val="both"/>
      </w:pPr>
      <w:r w:rsidRPr="00BC316A">
        <w:t xml:space="preserve">The </w:t>
      </w:r>
      <w:r w:rsidR="00CE0D1B" w:rsidRPr="00BC316A">
        <w:t>appellants produced</w:t>
      </w:r>
      <w:r w:rsidRPr="00BC316A">
        <w:t xml:space="preserve"> documents which show that the assets had been</w:t>
      </w:r>
      <w:r w:rsidR="0092189B" w:rsidRPr="00BC316A">
        <w:t xml:space="preserve"> purchased </w:t>
      </w:r>
      <w:r w:rsidRPr="00BC316A">
        <w:t>by the</w:t>
      </w:r>
      <w:r w:rsidR="00155B7A" w:rsidRPr="00BC316A">
        <w:t>m and initially belonged to them.</w:t>
      </w:r>
      <w:r w:rsidRPr="00BC316A">
        <w:t xml:space="preserve"> </w:t>
      </w:r>
      <w:r w:rsidR="00C37FBA" w:rsidRPr="00BC316A">
        <w:t xml:space="preserve">They also produced the agreements concluded with </w:t>
      </w:r>
      <w:proofErr w:type="spellStart"/>
      <w:r w:rsidR="00C37FBA" w:rsidRPr="00BC316A">
        <w:t>Mbada</w:t>
      </w:r>
      <w:proofErr w:type="spellEnd"/>
      <w:r w:rsidR="00C37FBA" w:rsidRPr="00BC316A">
        <w:t xml:space="preserve"> Mine in 2012 and 2015 </w:t>
      </w:r>
      <w:r w:rsidRPr="00BC316A">
        <w:t>whi</w:t>
      </w:r>
      <w:r w:rsidR="00F3784B" w:rsidRPr="00BC316A">
        <w:t>ch show that ownership was reserve</w:t>
      </w:r>
      <w:r w:rsidRPr="00BC316A">
        <w:t xml:space="preserve">d in </w:t>
      </w:r>
      <w:r w:rsidR="00BF111D" w:rsidRPr="00BC316A">
        <w:t xml:space="preserve">favour of </w:t>
      </w:r>
      <w:r w:rsidRPr="00BC316A">
        <w:t xml:space="preserve">the </w:t>
      </w:r>
      <w:r w:rsidR="00C37FBA" w:rsidRPr="00BC316A">
        <w:t>appellants</w:t>
      </w:r>
      <w:r w:rsidR="00F3784B" w:rsidRPr="00BC316A">
        <w:t xml:space="preserve"> </w:t>
      </w:r>
      <w:r w:rsidRPr="00BC316A">
        <w:t>u</w:t>
      </w:r>
      <w:r w:rsidR="00F3784B" w:rsidRPr="00BC316A">
        <w:t>n</w:t>
      </w:r>
      <w:r w:rsidRPr="00BC316A">
        <w:t xml:space="preserve">til the full purchase price was </w:t>
      </w:r>
      <w:r w:rsidR="00BF111D" w:rsidRPr="00BC316A">
        <w:t>paid</w:t>
      </w:r>
      <w:r w:rsidR="00C37FBA" w:rsidRPr="00BC316A">
        <w:t>.</w:t>
      </w:r>
      <w:r w:rsidR="00BF111D" w:rsidRPr="00BC316A">
        <w:t xml:space="preserve"> </w:t>
      </w:r>
      <w:r w:rsidR="00C37FBA" w:rsidRPr="00BC316A">
        <w:t>The relevant provisions are contained in clauses 4.3 and 11.6 of the first appellant’s agreement and clause 7.7 of the second appellant’s agreement.</w:t>
      </w:r>
    </w:p>
    <w:p w:rsidR="00505FE7" w:rsidRPr="00BC316A" w:rsidRDefault="00505FE7" w:rsidP="00BC316A">
      <w:pPr>
        <w:spacing w:line="480" w:lineRule="auto"/>
        <w:ind w:left="720"/>
        <w:jc w:val="both"/>
      </w:pPr>
      <w:r w:rsidRPr="00BC316A">
        <w:t xml:space="preserve"> </w:t>
      </w:r>
    </w:p>
    <w:p w:rsidR="00505FE7" w:rsidRPr="00BC316A" w:rsidRDefault="00290E79" w:rsidP="00BC316A">
      <w:pPr>
        <w:spacing w:line="480" w:lineRule="auto"/>
        <w:ind w:firstLine="1134"/>
        <w:jc w:val="both"/>
      </w:pPr>
      <w:r w:rsidRPr="00BC316A">
        <w:t xml:space="preserve">The </w:t>
      </w:r>
      <w:r w:rsidR="004B0282" w:rsidRPr="00BC316A">
        <w:t>second respondent</w:t>
      </w:r>
      <w:r w:rsidRPr="00BC316A">
        <w:t xml:space="preserve"> </w:t>
      </w:r>
      <w:r w:rsidR="0092189B" w:rsidRPr="00BC316A">
        <w:t>alleg</w:t>
      </w:r>
      <w:r w:rsidR="00F3784B" w:rsidRPr="00BC316A">
        <w:t>e</w:t>
      </w:r>
      <w:r w:rsidR="0092189B" w:rsidRPr="00BC316A">
        <w:t>d that the docu</w:t>
      </w:r>
      <w:r w:rsidR="00F3784B" w:rsidRPr="00BC316A">
        <w:t>m</w:t>
      </w:r>
      <w:r w:rsidR="0092189B" w:rsidRPr="00BC316A">
        <w:t xml:space="preserve">ents supporting the </w:t>
      </w:r>
      <w:r w:rsidR="004B0282" w:rsidRPr="00BC316A">
        <w:t xml:space="preserve">appellants’ </w:t>
      </w:r>
      <w:r w:rsidR="0092189B" w:rsidRPr="00BC316A">
        <w:t>claim</w:t>
      </w:r>
      <w:r w:rsidR="004B0282" w:rsidRPr="00BC316A">
        <w:t>s</w:t>
      </w:r>
      <w:r w:rsidR="0092189B" w:rsidRPr="00BC316A">
        <w:t xml:space="preserve"> were a recent fabrication meant to frustrate the execution of the assets</w:t>
      </w:r>
      <w:r w:rsidR="004B0282" w:rsidRPr="00BC316A">
        <w:t>,</w:t>
      </w:r>
      <w:r w:rsidR="0092189B" w:rsidRPr="00BC316A">
        <w:t xml:space="preserve"> but </w:t>
      </w:r>
      <w:r w:rsidR="00E24037" w:rsidRPr="00BC316A">
        <w:t xml:space="preserve">the dates </w:t>
      </w:r>
      <w:r w:rsidR="004B0282" w:rsidRPr="00BC316A">
        <w:t>when</w:t>
      </w:r>
      <w:r w:rsidR="00E24037" w:rsidRPr="00BC316A">
        <w:t xml:space="preserve"> the agreements </w:t>
      </w:r>
      <w:r w:rsidR="004B0282" w:rsidRPr="00BC316A">
        <w:t xml:space="preserve">were concluded </w:t>
      </w:r>
      <w:r w:rsidR="00E24037" w:rsidRPr="00BC316A">
        <w:t>reveal</w:t>
      </w:r>
      <w:r w:rsidR="0092189B" w:rsidRPr="00BC316A">
        <w:t xml:space="preserve"> that </w:t>
      </w:r>
      <w:r w:rsidR="004B0282" w:rsidRPr="00BC316A">
        <w:t>they</w:t>
      </w:r>
      <w:r w:rsidR="0092189B" w:rsidRPr="00BC316A">
        <w:t xml:space="preserve"> were executed </w:t>
      </w:r>
      <w:r w:rsidR="004B0282" w:rsidRPr="00BC316A">
        <w:t xml:space="preserve">well </w:t>
      </w:r>
      <w:r w:rsidR="0092189B" w:rsidRPr="00BC316A">
        <w:t xml:space="preserve">before the </w:t>
      </w:r>
      <w:r w:rsidR="004B0282" w:rsidRPr="00BC316A">
        <w:t>second respondent</w:t>
      </w:r>
      <w:r w:rsidR="00BF111D" w:rsidRPr="00BC316A">
        <w:t xml:space="preserve"> instituted any legal proceedings</w:t>
      </w:r>
      <w:r w:rsidR="004B0282" w:rsidRPr="00BC316A">
        <w:t xml:space="preserve"> in this matter</w:t>
      </w:r>
      <w:r w:rsidR="00BF111D" w:rsidRPr="00BC316A">
        <w:t xml:space="preserve">. </w:t>
      </w:r>
      <w:r w:rsidR="00F3784B" w:rsidRPr="00BC316A">
        <w:t>T</w:t>
      </w:r>
      <w:r w:rsidR="000E7810" w:rsidRPr="00BC316A">
        <w:t>here is also</w:t>
      </w:r>
      <w:r w:rsidR="009D1047" w:rsidRPr="00BC316A">
        <w:t xml:space="preserve"> nothing in the record to give credence to the allegations that the documents were </w:t>
      </w:r>
      <w:r w:rsidR="00155B7A" w:rsidRPr="00BC316A">
        <w:t>fabricated</w:t>
      </w:r>
      <w:r w:rsidR="009D1047" w:rsidRPr="00BC316A">
        <w:t xml:space="preserve"> by the </w:t>
      </w:r>
      <w:r w:rsidR="00A14703" w:rsidRPr="00BC316A">
        <w:t>appellants</w:t>
      </w:r>
      <w:r w:rsidR="009D1047" w:rsidRPr="00BC316A">
        <w:t xml:space="preserve"> </w:t>
      </w:r>
      <w:r w:rsidR="00155B7A" w:rsidRPr="00BC316A">
        <w:t>in collusion with</w:t>
      </w:r>
      <w:r w:rsidR="009D1047" w:rsidRPr="00BC316A">
        <w:t xml:space="preserve"> </w:t>
      </w:r>
      <w:proofErr w:type="spellStart"/>
      <w:r w:rsidR="009D1047" w:rsidRPr="00BC316A">
        <w:t>Mbada</w:t>
      </w:r>
      <w:proofErr w:type="spellEnd"/>
      <w:r w:rsidR="009D1047" w:rsidRPr="00BC316A">
        <w:t xml:space="preserve"> </w:t>
      </w:r>
      <w:r w:rsidR="000A022B" w:rsidRPr="00BC316A">
        <w:t>Mine</w:t>
      </w:r>
      <w:r w:rsidR="009D1047" w:rsidRPr="00BC316A">
        <w:t>.</w:t>
      </w:r>
      <w:r w:rsidR="000A33D3" w:rsidRPr="00BC316A">
        <w:t xml:space="preserve"> It is my view</w:t>
      </w:r>
      <w:r w:rsidR="00A14703" w:rsidRPr="00BC316A">
        <w:t>,</w:t>
      </w:r>
      <w:r w:rsidR="000A33D3" w:rsidRPr="00BC316A">
        <w:t xml:space="preserve"> therefore, in the absence of </w:t>
      </w:r>
      <w:r w:rsidR="00A14703" w:rsidRPr="00BC316A">
        <w:t xml:space="preserve">any evidence to the </w:t>
      </w:r>
      <w:r w:rsidR="000A33D3" w:rsidRPr="00BC316A">
        <w:t>contrary</w:t>
      </w:r>
      <w:r w:rsidR="00CB2702" w:rsidRPr="00BC316A">
        <w:t>, that</w:t>
      </w:r>
      <w:r w:rsidR="000A33D3" w:rsidRPr="00BC316A">
        <w:t xml:space="preserve"> the </w:t>
      </w:r>
      <w:r w:rsidR="00A14703" w:rsidRPr="00BC316A">
        <w:t>agreements</w:t>
      </w:r>
      <w:r w:rsidR="000A33D3" w:rsidRPr="00BC316A">
        <w:t xml:space="preserve"> are genuine </w:t>
      </w:r>
      <w:r w:rsidR="00F3784B" w:rsidRPr="00BC316A">
        <w:t xml:space="preserve">and </w:t>
      </w:r>
      <w:r w:rsidR="00A14703" w:rsidRPr="00BC316A">
        <w:t xml:space="preserve">that their provisions and the agreed compacts contained therein must be accepted as being authentic, </w:t>
      </w:r>
      <w:r w:rsidR="00471D65" w:rsidRPr="00BC316A">
        <w:t>as well as commercially and</w:t>
      </w:r>
      <w:r w:rsidR="00A14703" w:rsidRPr="00BC316A">
        <w:t xml:space="preserve"> legally cognisable</w:t>
      </w:r>
      <w:r w:rsidR="00F3784B" w:rsidRPr="00BC316A">
        <w:t>.</w:t>
      </w:r>
    </w:p>
    <w:p w:rsidR="00F3784B" w:rsidRPr="00BC316A" w:rsidRDefault="00F3784B" w:rsidP="00BC316A">
      <w:pPr>
        <w:spacing w:line="480" w:lineRule="auto"/>
        <w:jc w:val="both"/>
      </w:pPr>
    </w:p>
    <w:p w:rsidR="00575EE1" w:rsidRPr="00BC316A" w:rsidRDefault="00575EE1" w:rsidP="00BC316A">
      <w:pPr>
        <w:spacing w:line="480" w:lineRule="auto"/>
        <w:jc w:val="both"/>
        <w:rPr>
          <w:u w:val="single"/>
        </w:rPr>
      </w:pPr>
      <w:r w:rsidRPr="00BC316A">
        <w:rPr>
          <w:u w:val="single"/>
        </w:rPr>
        <w:lastRenderedPageBreak/>
        <w:t>Disposition</w:t>
      </w:r>
    </w:p>
    <w:p w:rsidR="00610E32" w:rsidRPr="00BC316A" w:rsidRDefault="00575EE1" w:rsidP="00BC316A">
      <w:pPr>
        <w:spacing w:line="480" w:lineRule="auto"/>
        <w:ind w:firstLine="1134"/>
        <w:jc w:val="both"/>
      </w:pPr>
      <w:r w:rsidRPr="00BC316A">
        <w:t>In the result</w:t>
      </w:r>
      <w:r w:rsidR="00505FE7" w:rsidRPr="00BC316A">
        <w:t xml:space="preserve">, I am amply satisfied that the </w:t>
      </w:r>
      <w:r w:rsidRPr="00BC316A">
        <w:t>appellants have</w:t>
      </w:r>
      <w:r w:rsidR="00505FE7" w:rsidRPr="00BC316A">
        <w:t xml:space="preserve"> proved on a preponderance of probabilities that they are the owne</w:t>
      </w:r>
      <w:r w:rsidR="0018091B" w:rsidRPr="00BC316A">
        <w:t>rs of the assets in question. It</w:t>
      </w:r>
      <w:r w:rsidR="00505FE7" w:rsidRPr="00BC316A">
        <w:t xml:space="preserve"> was incorrect </w:t>
      </w:r>
      <w:r w:rsidRPr="00BC316A">
        <w:t xml:space="preserve">and a misdirection </w:t>
      </w:r>
      <w:r w:rsidR="00505FE7" w:rsidRPr="00BC316A">
        <w:t xml:space="preserve">for the court </w:t>
      </w:r>
      <w:r w:rsidR="00505FE7" w:rsidRPr="00BC316A">
        <w:rPr>
          <w:i/>
        </w:rPr>
        <w:t>a quo</w:t>
      </w:r>
      <w:r w:rsidR="00505FE7" w:rsidRPr="00BC316A">
        <w:t xml:space="preserve"> to </w:t>
      </w:r>
      <w:r w:rsidRPr="00BC316A">
        <w:t>have relied so</w:t>
      </w:r>
      <w:r w:rsidR="00505FE7" w:rsidRPr="00BC316A">
        <w:t xml:space="preserve"> </w:t>
      </w:r>
      <w:r w:rsidR="002E0CBD" w:rsidRPr="00BC316A">
        <w:t xml:space="preserve">heavily </w:t>
      </w:r>
      <w:r w:rsidR="00505FE7" w:rsidRPr="00BC316A">
        <w:t xml:space="preserve">on the aspect of importation as </w:t>
      </w:r>
      <w:r w:rsidR="00EB1932" w:rsidRPr="00BC316A">
        <w:t>that aspect</w:t>
      </w:r>
      <w:r w:rsidR="00505FE7" w:rsidRPr="00BC316A">
        <w:t xml:space="preserve"> does not assist in the determination of </w:t>
      </w:r>
      <w:r w:rsidR="00EB1932" w:rsidRPr="00BC316A">
        <w:t>ownership in the assets in question</w:t>
      </w:r>
      <w:r w:rsidR="00505FE7" w:rsidRPr="00BC316A">
        <w:t xml:space="preserve">. The agreements produced </w:t>
      </w:r>
      <w:r w:rsidR="0018091B" w:rsidRPr="00BC316A">
        <w:t>b</w:t>
      </w:r>
      <w:r w:rsidR="00505FE7" w:rsidRPr="00BC316A">
        <w:t xml:space="preserve">y the </w:t>
      </w:r>
      <w:r w:rsidR="0027727F" w:rsidRPr="00BC316A">
        <w:t xml:space="preserve">appellants </w:t>
      </w:r>
      <w:r w:rsidR="00505FE7" w:rsidRPr="00BC316A">
        <w:t xml:space="preserve">show that ownership </w:t>
      </w:r>
      <w:r w:rsidR="0027727F" w:rsidRPr="00BC316A">
        <w:t xml:space="preserve">in the assets </w:t>
      </w:r>
      <w:r w:rsidR="00610E32" w:rsidRPr="00BC316A">
        <w:t xml:space="preserve">would </w:t>
      </w:r>
      <w:r w:rsidR="00505FE7" w:rsidRPr="00BC316A">
        <w:t>rema</w:t>
      </w:r>
      <w:r w:rsidR="000A33D3" w:rsidRPr="00BC316A">
        <w:t>i</w:t>
      </w:r>
      <w:r w:rsidR="00505FE7" w:rsidRPr="00BC316A">
        <w:t xml:space="preserve">n with them until </w:t>
      </w:r>
      <w:r w:rsidR="0027727F" w:rsidRPr="00BC316A">
        <w:t xml:space="preserve">the </w:t>
      </w:r>
      <w:r w:rsidR="00881FEA" w:rsidRPr="00BC316A">
        <w:t xml:space="preserve">relevant </w:t>
      </w:r>
      <w:r w:rsidR="00505FE7" w:rsidRPr="00BC316A">
        <w:t>purchase price</w:t>
      </w:r>
      <w:r w:rsidR="00881FEA" w:rsidRPr="00BC316A">
        <w:t>s</w:t>
      </w:r>
      <w:r w:rsidR="00505FE7" w:rsidRPr="00BC316A">
        <w:t xml:space="preserve"> </w:t>
      </w:r>
      <w:r w:rsidR="00881FEA" w:rsidRPr="00BC316A">
        <w:t>were</w:t>
      </w:r>
      <w:r w:rsidR="00505FE7" w:rsidRPr="00BC316A">
        <w:t xml:space="preserve"> paid in full, and </w:t>
      </w:r>
      <w:r w:rsidR="002A406E" w:rsidRPr="00BC316A">
        <w:t>such payment</w:t>
      </w:r>
      <w:r w:rsidR="00881FEA" w:rsidRPr="00BC316A">
        <w:t xml:space="preserve">s clearly </w:t>
      </w:r>
      <w:r w:rsidR="00505FE7" w:rsidRPr="00BC316A">
        <w:t xml:space="preserve">did not </w:t>
      </w:r>
      <w:r w:rsidR="002A406E" w:rsidRPr="00BC316A">
        <w:t>take place</w:t>
      </w:r>
      <w:r w:rsidR="00505FE7" w:rsidRPr="00BC316A">
        <w:t>.</w:t>
      </w:r>
      <w:r w:rsidR="00BC49D7" w:rsidRPr="00BC316A">
        <w:t xml:space="preserve"> As for costs, they must ordinarily follow the </w:t>
      </w:r>
      <w:r w:rsidR="002D1C61" w:rsidRPr="00BC316A">
        <w:t>outcome.</w:t>
      </w:r>
      <w:r w:rsidR="00505FE7" w:rsidRPr="00BC316A">
        <w:t xml:space="preserve"> </w:t>
      </w:r>
    </w:p>
    <w:p w:rsidR="00610E32" w:rsidRPr="00BC316A" w:rsidRDefault="00BC49D7" w:rsidP="00BC316A">
      <w:pPr>
        <w:spacing w:line="480" w:lineRule="auto"/>
        <w:ind w:firstLine="360"/>
        <w:jc w:val="both"/>
      </w:pPr>
      <w:r w:rsidRPr="00BC316A">
        <w:tab/>
      </w:r>
    </w:p>
    <w:p w:rsidR="00505FE7" w:rsidRPr="00BC316A" w:rsidRDefault="00D746BC" w:rsidP="00BC316A">
      <w:pPr>
        <w:spacing w:line="480" w:lineRule="auto"/>
        <w:ind w:firstLine="1134"/>
        <w:jc w:val="both"/>
      </w:pPr>
      <w:r w:rsidRPr="00BC316A">
        <w:t>In the result,</w:t>
      </w:r>
      <w:r w:rsidR="00505FE7" w:rsidRPr="00BC316A">
        <w:t xml:space="preserve"> the appeal succeed</w:t>
      </w:r>
      <w:r w:rsidR="000A33D3" w:rsidRPr="00BC316A">
        <w:t>s</w:t>
      </w:r>
      <w:r w:rsidR="00FF7B79" w:rsidRPr="00BC316A">
        <w:t xml:space="preserve"> with costs.</w:t>
      </w:r>
      <w:r w:rsidR="005C008E" w:rsidRPr="00BC316A">
        <w:t xml:space="preserve"> </w:t>
      </w:r>
      <w:r w:rsidR="00D6682D" w:rsidRPr="00BC316A">
        <w:t>T</w:t>
      </w:r>
      <w:r w:rsidR="005C008E" w:rsidRPr="00BC316A">
        <w:t>he judgment of the court</w:t>
      </w:r>
      <w:r w:rsidR="005C008E" w:rsidRPr="00BC316A">
        <w:rPr>
          <w:i/>
        </w:rPr>
        <w:t xml:space="preserve"> a quo</w:t>
      </w:r>
      <w:r w:rsidR="005C008E" w:rsidRPr="00BC316A">
        <w:t xml:space="preserve"> is set aside in its entirety and </w:t>
      </w:r>
      <w:r w:rsidR="00B841D7" w:rsidRPr="00BC316A">
        <w:t xml:space="preserve">substituted with </w:t>
      </w:r>
      <w:r w:rsidR="005C008E" w:rsidRPr="00BC316A">
        <w:t>the following</w:t>
      </w:r>
      <w:r w:rsidR="00B841D7" w:rsidRPr="00BC316A">
        <w:t xml:space="preserve">: </w:t>
      </w:r>
    </w:p>
    <w:p w:rsidR="00B841D7" w:rsidRPr="00BC316A" w:rsidRDefault="00D746BC" w:rsidP="00BC316A">
      <w:pPr>
        <w:ind w:firstLine="360"/>
        <w:jc w:val="both"/>
      </w:pPr>
      <w:r w:rsidRPr="00BC316A">
        <w:t xml:space="preserve">     </w:t>
      </w:r>
      <w:r w:rsidR="00B841D7" w:rsidRPr="00BC316A">
        <w:t xml:space="preserve">“1. </w:t>
      </w:r>
      <w:r w:rsidR="005C008E" w:rsidRPr="00BC316A">
        <w:t xml:space="preserve">The </w:t>
      </w:r>
      <w:r w:rsidR="00B841D7" w:rsidRPr="00BC316A">
        <w:t>c</w:t>
      </w:r>
      <w:r w:rsidR="005C008E" w:rsidRPr="00BC316A">
        <w:t>laimants’ claim</w:t>
      </w:r>
      <w:r w:rsidR="00B841D7" w:rsidRPr="00BC316A">
        <w:t>s</w:t>
      </w:r>
      <w:r w:rsidR="005C008E" w:rsidRPr="00BC316A">
        <w:t xml:space="preserve"> </w:t>
      </w:r>
      <w:r w:rsidR="00B841D7" w:rsidRPr="00BC316A">
        <w:t>are</w:t>
      </w:r>
      <w:r w:rsidR="005C008E" w:rsidRPr="00BC316A">
        <w:t xml:space="preserve"> upheld</w:t>
      </w:r>
      <w:r w:rsidR="00B841D7" w:rsidRPr="00BC316A">
        <w:t>.</w:t>
      </w:r>
    </w:p>
    <w:p w:rsidR="005C008E" w:rsidRPr="00BC316A" w:rsidRDefault="00D746BC" w:rsidP="00BC316A">
      <w:pPr>
        <w:ind w:firstLine="360"/>
        <w:jc w:val="both"/>
      </w:pPr>
      <w:r w:rsidRPr="00BC316A">
        <w:t xml:space="preserve">       </w:t>
      </w:r>
      <w:r w:rsidR="00B841D7" w:rsidRPr="00BC316A">
        <w:t xml:space="preserve">2. </w:t>
      </w:r>
      <w:r w:rsidR="005C008E" w:rsidRPr="00BC316A">
        <w:t>The assets listed under schedules A and B are declared non-executable.</w:t>
      </w:r>
    </w:p>
    <w:p w:rsidR="005C008E" w:rsidRPr="00BC316A" w:rsidRDefault="00B841D7" w:rsidP="00BC316A">
      <w:pPr>
        <w:spacing w:line="480" w:lineRule="auto"/>
        <w:ind w:left="360"/>
        <w:jc w:val="both"/>
      </w:pPr>
      <w:r w:rsidRPr="00BC316A">
        <w:t xml:space="preserve">   </w:t>
      </w:r>
      <w:r w:rsidR="00D746BC" w:rsidRPr="00BC316A">
        <w:t xml:space="preserve">    </w:t>
      </w:r>
      <w:r w:rsidRPr="00BC316A">
        <w:t xml:space="preserve">3. </w:t>
      </w:r>
      <w:r w:rsidR="005C008E" w:rsidRPr="00BC316A">
        <w:t xml:space="preserve">The </w:t>
      </w:r>
      <w:r w:rsidRPr="00BC316A">
        <w:t>j</w:t>
      </w:r>
      <w:r w:rsidR="005C008E" w:rsidRPr="00BC316A">
        <w:t xml:space="preserve">udgment </w:t>
      </w:r>
      <w:r w:rsidRPr="00BC316A">
        <w:t>c</w:t>
      </w:r>
      <w:r w:rsidR="005C008E" w:rsidRPr="00BC316A">
        <w:t xml:space="preserve">reditor </w:t>
      </w:r>
      <w:r w:rsidRPr="00BC316A">
        <w:t xml:space="preserve">shall </w:t>
      </w:r>
      <w:r w:rsidR="005C008E" w:rsidRPr="00BC316A">
        <w:t xml:space="preserve">pay the </w:t>
      </w:r>
      <w:r w:rsidRPr="00BC316A">
        <w:t>c</w:t>
      </w:r>
      <w:r w:rsidR="005C008E" w:rsidRPr="00BC316A">
        <w:t>laimants</w:t>
      </w:r>
      <w:r w:rsidRPr="00BC316A">
        <w:t>’</w:t>
      </w:r>
      <w:r w:rsidR="005C008E" w:rsidRPr="00BC316A">
        <w:t xml:space="preserve"> and the </w:t>
      </w:r>
      <w:r w:rsidRPr="00BC316A">
        <w:t>a</w:t>
      </w:r>
      <w:r w:rsidR="005C008E" w:rsidRPr="00BC316A">
        <w:t>pplicant</w:t>
      </w:r>
      <w:r w:rsidRPr="00BC316A">
        <w:t>’</w:t>
      </w:r>
      <w:r w:rsidR="005C008E" w:rsidRPr="00BC316A">
        <w:t>s cost</w:t>
      </w:r>
      <w:r w:rsidR="003E08BC" w:rsidRPr="00BC316A">
        <w:t>s.</w:t>
      </w:r>
      <w:r w:rsidRPr="00BC316A">
        <w:t>”</w:t>
      </w:r>
    </w:p>
    <w:p w:rsidR="00BA7D6B" w:rsidRPr="00BC316A" w:rsidRDefault="00BA7D6B" w:rsidP="00BC316A">
      <w:pPr>
        <w:spacing w:line="480" w:lineRule="auto"/>
        <w:jc w:val="both"/>
      </w:pPr>
    </w:p>
    <w:p w:rsidR="0002331C" w:rsidRPr="00BC316A" w:rsidRDefault="0002331C" w:rsidP="00BC316A">
      <w:pPr>
        <w:spacing w:line="480" w:lineRule="auto"/>
        <w:jc w:val="both"/>
      </w:pPr>
    </w:p>
    <w:p w:rsidR="0050064D" w:rsidRPr="00BC316A" w:rsidRDefault="0050064D" w:rsidP="00BC316A">
      <w:pPr>
        <w:spacing w:line="480" w:lineRule="auto"/>
        <w:jc w:val="both"/>
      </w:pPr>
      <w:r w:rsidRPr="00BC316A">
        <w:tab/>
      </w:r>
      <w:r w:rsidR="00C3231D" w:rsidRPr="00BC316A">
        <w:rPr>
          <w:b/>
        </w:rPr>
        <w:t>MALABA CJ</w:t>
      </w:r>
      <w:r w:rsidR="00E91792" w:rsidRPr="00BC316A">
        <w:rPr>
          <w:b/>
        </w:rPr>
        <w:t>:</w:t>
      </w:r>
      <w:r w:rsidR="00F47370" w:rsidRPr="00BC316A">
        <w:rPr>
          <w:b/>
        </w:rPr>
        <w:tab/>
      </w:r>
      <w:r w:rsidR="00E91792" w:rsidRPr="00BC316A">
        <w:tab/>
        <w:t>I agree.</w:t>
      </w:r>
    </w:p>
    <w:p w:rsidR="004A0853" w:rsidRPr="00BC316A" w:rsidRDefault="004A0853" w:rsidP="00BC316A">
      <w:pPr>
        <w:spacing w:line="480" w:lineRule="auto"/>
        <w:jc w:val="both"/>
      </w:pPr>
    </w:p>
    <w:p w:rsidR="00D46F42" w:rsidRPr="00BC316A" w:rsidRDefault="00D46F42" w:rsidP="00BC316A">
      <w:pPr>
        <w:spacing w:line="480" w:lineRule="auto"/>
        <w:jc w:val="both"/>
      </w:pPr>
      <w:r w:rsidRPr="00BC316A">
        <w:tab/>
      </w:r>
      <w:r w:rsidR="00C3231D" w:rsidRPr="00BC316A">
        <w:rPr>
          <w:b/>
        </w:rPr>
        <w:t>HLATSHWAYO JA</w:t>
      </w:r>
      <w:r w:rsidRPr="00BC316A">
        <w:rPr>
          <w:b/>
        </w:rPr>
        <w:t>:</w:t>
      </w:r>
      <w:r w:rsidR="00F47370" w:rsidRPr="00BC316A">
        <w:tab/>
      </w:r>
      <w:r w:rsidRPr="00BC316A">
        <w:t>I agree.</w:t>
      </w:r>
    </w:p>
    <w:p w:rsidR="00412229" w:rsidRPr="00BC316A" w:rsidRDefault="00412229" w:rsidP="00BC316A">
      <w:pPr>
        <w:spacing w:line="480" w:lineRule="auto"/>
        <w:jc w:val="both"/>
      </w:pPr>
    </w:p>
    <w:p w:rsidR="00D746BC" w:rsidRPr="00BC316A" w:rsidRDefault="00D746BC" w:rsidP="00BC316A">
      <w:pPr>
        <w:spacing w:line="480" w:lineRule="auto"/>
        <w:jc w:val="both"/>
      </w:pPr>
    </w:p>
    <w:p w:rsidR="003E0F83" w:rsidRPr="00BC316A" w:rsidRDefault="001A1820" w:rsidP="00BC316A">
      <w:pPr>
        <w:spacing w:line="480" w:lineRule="auto"/>
        <w:jc w:val="both"/>
      </w:pPr>
      <w:r w:rsidRPr="00BC316A">
        <w:rPr>
          <w:i/>
        </w:rPr>
        <w:t xml:space="preserve">Kantor &amp; </w:t>
      </w:r>
      <w:proofErr w:type="spellStart"/>
      <w:r w:rsidRPr="00BC316A">
        <w:rPr>
          <w:i/>
        </w:rPr>
        <w:t>Immerman</w:t>
      </w:r>
      <w:proofErr w:type="spellEnd"/>
      <w:r w:rsidR="00F1235E" w:rsidRPr="00BC316A">
        <w:t xml:space="preserve">, </w:t>
      </w:r>
      <w:r w:rsidR="00D6682D" w:rsidRPr="00BC316A">
        <w:t>appellants</w:t>
      </w:r>
      <w:r w:rsidRPr="00BC316A">
        <w:t>’</w:t>
      </w:r>
      <w:r w:rsidR="00F1235E" w:rsidRPr="00BC316A">
        <w:t xml:space="preserve"> </w:t>
      </w:r>
      <w:r w:rsidR="00F7784D" w:rsidRPr="00BC316A">
        <w:t>l</w:t>
      </w:r>
      <w:r w:rsidR="00F1235E" w:rsidRPr="00BC316A">
        <w:t xml:space="preserve">egal </w:t>
      </w:r>
      <w:r w:rsidR="00F7784D" w:rsidRPr="00BC316A">
        <w:t>p</w:t>
      </w:r>
      <w:r w:rsidR="00F1235E" w:rsidRPr="00BC316A">
        <w:t>ractitioners</w:t>
      </w:r>
    </w:p>
    <w:p w:rsidR="003E0F83" w:rsidRPr="00BC316A" w:rsidRDefault="001A1820" w:rsidP="00BC316A">
      <w:pPr>
        <w:spacing w:line="480" w:lineRule="auto"/>
        <w:jc w:val="both"/>
      </w:pPr>
      <w:r w:rsidRPr="00BC316A">
        <w:rPr>
          <w:i/>
        </w:rPr>
        <w:t xml:space="preserve">Dube, Banda, </w:t>
      </w:r>
      <w:proofErr w:type="spellStart"/>
      <w:r w:rsidRPr="00BC316A">
        <w:rPr>
          <w:i/>
        </w:rPr>
        <w:t>Nzarayapenga</w:t>
      </w:r>
      <w:proofErr w:type="spellEnd"/>
      <w:r w:rsidRPr="00BC316A">
        <w:rPr>
          <w:i/>
        </w:rPr>
        <w:t xml:space="preserve"> &amp; Partners</w:t>
      </w:r>
      <w:r w:rsidR="00E81D67" w:rsidRPr="00BC316A">
        <w:t xml:space="preserve">, </w:t>
      </w:r>
      <w:r w:rsidRPr="00BC316A">
        <w:t>1</w:t>
      </w:r>
      <w:r w:rsidRPr="00BC316A">
        <w:rPr>
          <w:vertAlign w:val="superscript"/>
        </w:rPr>
        <w:t>st</w:t>
      </w:r>
      <w:r w:rsidRPr="00BC316A">
        <w:t xml:space="preserve"> </w:t>
      </w:r>
      <w:r w:rsidR="00D6682D" w:rsidRPr="00BC316A">
        <w:t>respondent</w:t>
      </w:r>
      <w:r w:rsidR="00E81D67" w:rsidRPr="00BC316A">
        <w:t xml:space="preserve">’s </w:t>
      </w:r>
      <w:r w:rsidR="00F7784D" w:rsidRPr="00BC316A">
        <w:t>l</w:t>
      </w:r>
      <w:r w:rsidR="00E81D67" w:rsidRPr="00BC316A">
        <w:t xml:space="preserve">egal </w:t>
      </w:r>
      <w:r w:rsidR="00F7784D" w:rsidRPr="00BC316A">
        <w:t>p</w:t>
      </w:r>
      <w:r w:rsidR="00E81D67" w:rsidRPr="00BC316A">
        <w:t>ractitioners</w:t>
      </w:r>
      <w:r w:rsidR="00B763ED" w:rsidRPr="00BC316A">
        <w:t xml:space="preserve"> </w:t>
      </w:r>
    </w:p>
    <w:p w:rsidR="001A1820" w:rsidRPr="00BC316A" w:rsidRDefault="001A1820" w:rsidP="00BC316A">
      <w:pPr>
        <w:spacing w:line="480" w:lineRule="auto"/>
        <w:jc w:val="both"/>
      </w:pPr>
      <w:proofErr w:type="spellStart"/>
      <w:r w:rsidRPr="00BC316A">
        <w:rPr>
          <w:i/>
        </w:rPr>
        <w:t>Mhishi</w:t>
      </w:r>
      <w:proofErr w:type="spellEnd"/>
      <w:r w:rsidRPr="00BC316A">
        <w:rPr>
          <w:i/>
        </w:rPr>
        <w:t xml:space="preserve"> Nkomo Legal Practice, </w:t>
      </w:r>
      <w:r w:rsidRPr="00BC316A">
        <w:t>2</w:t>
      </w:r>
      <w:r w:rsidRPr="00BC316A">
        <w:rPr>
          <w:vertAlign w:val="superscript"/>
        </w:rPr>
        <w:t>nd</w:t>
      </w:r>
      <w:r w:rsidRPr="00BC316A">
        <w:t xml:space="preserve"> </w:t>
      </w:r>
      <w:r w:rsidR="00D6682D" w:rsidRPr="00BC316A">
        <w:t>respondent</w:t>
      </w:r>
      <w:r w:rsidRPr="00BC316A">
        <w:t>’s legal practitioners</w:t>
      </w:r>
      <w:r w:rsidR="009D5CAE" w:rsidRPr="00BC316A">
        <w:t xml:space="preserve"> </w:t>
      </w:r>
    </w:p>
    <w:sectPr w:rsidR="001A1820" w:rsidRPr="00BC316A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8B8" w:rsidRDefault="003528B8">
      <w:r>
        <w:separator/>
      </w:r>
    </w:p>
  </w:endnote>
  <w:endnote w:type="continuationSeparator" w:id="0">
    <w:p w:rsidR="003528B8" w:rsidRDefault="00352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8B8" w:rsidRDefault="003528B8">
      <w:r>
        <w:separator/>
      </w:r>
    </w:p>
  </w:footnote>
  <w:footnote w:type="continuationSeparator" w:id="0">
    <w:p w:rsidR="003528B8" w:rsidRDefault="003528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229" w:rsidRDefault="00412229" w:rsidP="001F6C7E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2229" w:rsidRDefault="00412229" w:rsidP="007777D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229" w:rsidRPr="00272765" w:rsidRDefault="00BC316A" w:rsidP="00386038">
    <w:pPr>
      <w:pStyle w:val="Header"/>
      <w:jc w:val="right"/>
      <w:rPr>
        <w:rFonts w:ascii="Book Antiqua" w:hAnsi="Book Antiqua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316A" w:rsidRDefault="00BC316A">
                          <w:pPr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Judgment No. SC 33/18</w:t>
                          </w:r>
                        </w:p>
                        <w:p w:rsidR="00BC316A" w:rsidRDefault="00BC316A">
                          <w:pPr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Civil Appeal No. SC 780/17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BC316A" w:rsidRDefault="00BC316A">
                    <w:pPr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Judgment No. SC 33/18</w:t>
                    </w:r>
                  </w:p>
                  <w:p w:rsidR="00BC316A" w:rsidRDefault="00BC316A">
                    <w:pPr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Civil Appeal No. SC 780/17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BC316A" w:rsidRDefault="00BC316A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41D4D" w:rsidRPr="00E41D4D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fabf8f [1945]" stroked="f">
              <v:textbox style="mso-fit-shape-to-text:t" inset=",0,,0">
                <w:txbxContent>
                  <w:p w:rsidR="00BC316A" w:rsidRDefault="00BC316A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41D4D" w:rsidRPr="00E41D4D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D2BA0"/>
    <w:multiLevelType w:val="hybridMultilevel"/>
    <w:tmpl w:val="E9D8A930"/>
    <w:lvl w:ilvl="0" w:tplc="EA58F5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C2E4E"/>
    <w:multiLevelType w:val="hybridMultilevel"/>
    <w:tmpl w:val="51DA9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805"/>
    <w:rsid w:val="00002850"/>
    <w:rsid w:val="00006FC1"/>
    <w:rsid w:val="0002331C"/>
    <w:rsid w:val="00030BDB"/>
    <w:rsid w:val="000712FF"/>
    <w:rsid w:val="000731C4"/>
    <w:rsid w:val="0007763D"/>
    <w:rsid w:val="00097445"/>
    <w:rsid w:val="000A022B"/>
    <w:rsid w:val="000A09E3"/>
    <w:rsid w:val="000A264F"/>
    <w:rsid w:val="000A2EF2"/>
    <w:rsid w:val="000A33D3"/>
    <w:rsid w:val="000B5100"/>
    <w:rsid w:val="000D1235"/>
    <w:rsid w:val="000D2D6D"/>
    <w:rsid w:val="000E3205"/>
    <w:rsid w:val="000E7810"/>
    <w:rsid w:val="000F0A59"/>
    <w:rsid w:val="00126C3E"/>
    <w:rsid w:val="00135615"/>
    <w:rsid w:val="00141378"/>
    <w:rsid w:val="001436F8"/>
    <w:rsid w:val="0015040F"/>
    <w:rsid w:val="00155B7A"/>
    <w:rsid w:val="0018091B"/>
    <w:rsid w:val="00190D78"/>
    <w:rsid w:val="001930EB"/>
    <w:rsid w:val="00197326"/>
    <w:rsid w:val="001A0AEB"/>
    <w:rsid w:val="001A14FD"/>
    <w:rsid w:val="001A1820"/>
    <w:rsid w:val="001A7632"/>
    <w:rsid w:val="001C4233"/>
    <w:rsid w:val="001E245B"/>
    <w:rsid w:val="001E5CA8"/>
    <w:rsid w:val="001F1468"/>
    <w:rsid w:val="001F6C7E"/>
    <w:rsid w:val="00207F34"/>
    <w:rsid w:val="00217534"/>
    <w:rsid w:val="00222540"/>
    <w:rsid w:val="00222F74"/>
    <w:rsid w:val="002271C2"/>
    <w:rsid w:val="0023404C"/>
    <w:rsid w:val="00241AEA"/>
    <w:rsid w:val="00250283"/>
    <w:rsid w:val="002604DE"/>
    <w:rsid w:val="002700A9"/>
    <w:rsid w:val="00272765"/>
    <w:rsid w:val="00273E40"/>
    <w:rsid w:val="0027727F"/>
    <w:rsid w:val="00290E79"/>
    <w:rsid w:val="00296C4C"/>
    <w:rsid w:val="002A221C"/>
    <w:rsid w:val="002A406E"/>
    <w:rsid w:val="002C5ACF"/>
    <w:rsid w:val="002C737A"/>
    <w:rsid w:val="002D0DAD"/>
    <w:rsid w:val="002D1C61"/>
    <w:rsid w:val="002E0CBD"/>
    <w:rsid w:val="002E3138"/>
    <w:rsid w:val="002F5CEE"/>
    <w:rsid w:val="003000F5"/>
    <w:rsid w:val="00302134"/>
    <w:rsid w:val="003235C5"/>
    <w:rsid w:val="003528B8"/>
    <w:rsid w:val="00381747"/>
    <w:rsid w:val="00383032"/>
    <w:rsid w:val="00386038"/>
    <w:rsid w:val="003867E5"/>
    <w:rsid w:val="003B4955"/>
    <w:rsid w:val="003B7E4F"/>
    <w:rsid w:val="003C1EC0"/>
    <w:rsid w:val="003D232C"/>
    <w:rsid w:val="003D31B9"/>
    <w:rsid w:val="003E08BC"/>
    <w:rsid w:val="003E0F83"/>
    <w:rsid w:val="003E1EBF"/>
    <w:rsid w:val="003F07CD"/>
    <w:rsid w:val="003F78CE"/>
    <w:rsid w:val="00412229"/>
    <w:rsid w:val="004146A8"/>
    <w:rsid w:val="00416D42"/>
    <w:rsid w:val="00425792"/>
    <w:rsid w:val="0044306A"/>
    <w:rsid w:val="00444450"/>
    <w:rsid w:val="00456FE8"/>
    <w:rsid w:val="00462114"/>
    <w:rsid w:val="00471D65"/>
    <w:rsid w:val="00491480"/>
    <w:rsid w:val="004A0853"/>
    <w:rsid w:val="004A75C1"/>
    <w:rsid w:val="004B026E"/>
    <w:rsid w:val="004B0282"/>
    <w:rsid w:val="004B0777"/>
    <w:rsid w:val="004B10FE"/>
    <w:rsid w:val="004B3AEE"/>
    <w:rsid w:val="004C2A18"/>
    <w:rsid w:val="004D17B7"/>
    <w:rsid w:val="004D365C"/>
    <w:rsid w:val="004D7AD8"/>
    <w:rsid w:val="004E3ACA"/>
    <w:rsid w:val="004F020F"/>
    <w:rsid w:val="004F634C"/>
    <w:rsid w:val="0050064D"/>
    <w:rsid w:val="00505FE7"/>
    <w:rsid w:val="005418C1"/>
    <w:rsid w:val="00546415"/>
    <w:rsid w:val="00552E40"/>
    <w:rsid w:val="005568CB"/>
    <w:rsid w:val="00561148"/>
    <w:rsid w:val="00575EE1"/>
    <w:rsid w:val="0058172A"/>
    <w:rsid w:val="005A10B0"/>
    <w:rsid w:val="005A7539"/>
    <w:rsid w:val="005C008E"/>
    <w:rsid w:val="005C0C61"/>
    <w:rsid w:val="005C4954"/>
    <w:rsid w:val="005C49D2"/>
    <w:rsid w:val="005C6D91"/>
    <w:rsid w:val="005D7FC2"/>
    <w:rsid w:val="005E4C64"/>
    <w:rsid w:val="005F42C7"/>
    <w:rsid w:val="005F502B"/>
    <w:rsid w:val="00602395"/>
    <w:rsid w:val="006039CB"/>
    <w:rsid w:val="00603A23"/>
    <w:rsid w:val="006046BC"/>
    <w:rsid w:val="00610E32"/>
    <w:rsid w:val="00635178"/>
    <w:rsid w:val="00640457"/>
    <w:rsid w:val="00641A31"/>
    <w:rsid w:val="00657433"/>
    <w:rsid w:val="006601B9"/>
    <w:rsid w:val="00661884"/>
    <w:rsid w:val="006662AE"/>
    <w:rsid w:val="00681530"/>
    <w:rsid w:val="00693951"/>
    <w:rsid w:val="00696294"/>
    <w:rsid w:val="006A4590"/>
    <w:rsid w:val="006B23FA"/>
    <w:rsid w:val="006B7B5C"/>
    <w:rsid w:val="006C4E70"/>
    <w:rsid w:val="006D7604"/>
    <w:rsid w:val="006E0951"/>
    <w:rsid w:val="006E5A03"/>
    <w:rsid w:val="006F26A7"/>
    <w:rsid w:val="006F3287"/>
    <w:rsid w:val="006F6C3D"/>
    <w:rsid w:val="0071447B"/>
    <w:rsid w:val="00741128"/>
    <w:rsid w:val="0075170F"/>
    <w:rsid w:val="007620DD"/>
    <w:rsid w:val="007630D7"/>
    <w:rsid w:val="007777DD"/>
    <w:rsid w:val="00782936"/>
    <w:rsid w:val="0078559D"/>
    <w:rsid w:val="00787C36"/>
    <w:rsid w:val="007C203F"/>
    <w:rsid w:val="007C3892"/>
    <w:rsid w:val="007E4EB8"/>
    <w:rsid w:val="00800C44"/>
    <w:rsid w:val="00800C47"/>
    <w:rsid w:val="00815096"/>
    <w:rsid w:val="00822555"/>
    <w:rsid w:val="00824845"/>
    <w:rsid w:val="00825BF5"/>
    <w:rsid w:val="00836572"/>
    <w:rsid w:val="00837726"/>
    <w:rsid w:val="00854C97"/>
    <w:rsid w:val="008575F9"/>
    <w:rsid w:val="00863760"/>
    <w:rsid w:val="00881FEA"/>
    <w:rsid w:val="00884429"/>
    <w:rsid w:val="0089771B"/>
    <w:rsid w:val="008A53DD"/>
    <w:rsid w:val="008A62FA"/>
    <w:rsid w:val="008B79C4"/>
    <w:rsid w:val="008C21EA"/>
    <w:rsid w:val="008C5C63"/>
    <w:rsid w:val="008D2CE1"/>
    <w:rsid w:val="008E3E30"/>
    <w:rsid w:val="008F36FA"/>
    <w:rsid w:val="008F45EC"/>
    <w:rsid w:val="0090595D"/>
    <w:rsid w:val="00906B74"/>
    <w:rsid w:val="00912E63"/>
    <w:rsid w:val="00914D83"/>
    <w:rsid w:val="0091618F"/>
    <w:rsid w:val="0092189B"/>
    <w:rsid w:val="0092415E"/>
    <w:rsid w:val="009570E4"/>
    <w:rsid w:val="00962F8C"/>
    <w:rsid w:val="00983163"/>
    <w:rsid w:val="00985B34"/>
    <w:rsid w:val="00996084"/>
    <w:rsid w:val="009A54B6"/>
    <w:rsid w:val="009C0250"/>
    <w:rsid w:val="009C5F9E"/>
    <w:rsid w:val="009C7FA3"/>
    <w:rsid w:val="009D1047"/>
    <w:rsid w:val="009D5CAE"/>
    <w:rsid w:val="009D728C"/>
    <w:rsid w:val="009E5003"/>
    <w:rsid w:val="009F1D46"/>
    <w:rsid w:val="00A00250"/>
    <w:rsid w:val="00A028EF"/>
    <w:rsid w:val="00A07D3C"/>
    <w:rsid w:val="00A14703"/>
    <w:rsid w:val="00A1696D"/>
    <w:rsid w:val="00A23EA9"/>
    <w:rsid w:val="00A42F88"/>
    <w:rsid w:val="00A46625"/>
    <w:rsid w:val="00A50C21"/>
    <w:rsid w:val="00A55D19"/>
    <w:rsid w:val="00A97DDA"/>
    <w:rsid w:val="00A97E2F"/>
    <w:rsid w:val="00AB5DD5"/>
    <w:rsid w:val="00AB6F4B"/>
    <w:rsid w:val="00AC4AEC"/>
    <w:rsid w:val="00AE618D"/>
    <w:rsid w:val="00AF48D9"/>
    <w:rsid w:val="00B15F4D"/>
    <w:rsid w:val="00B30AE0"/>
    <w:rsid w:val="00B5128F"/>
    <w:rsid w:val="00B52BA6"/>
    <w:rsid w:val="00B55CEC"/>
    <w:rsid w:val="00B65B34"/>
    <w:rsid w:val="00B74196"/>
    <w:rsid w:val="00B763ED"/>
    <w:rsid w:val="00B7676F"/>
    <w:rsid w:val="00B841D7"/>
    <w:rsid w:val="00BA1D64"/>
    <w:rsid w:val="00BA7D6B"/>
    <w:rsid w:val="00BC316A"/>
    <w:rsid w:val="00BC4828"/>
    <w:rsid w:val="00BC49D7"/>
    <w:rsid w:val="00BD0DA3"/>
    <w:rsid w:val="00BE51FD"/>
    <w:rsid w:val="00BF111D"/>
    <w:rsid w:val="00BF5E45"/>
    <w:rsid w:val="00BF756C"/>
    <w:rsid w:val="00C076D2"/>
    <w:rsid w:val="00C20A64"/>
    <w:rsid w:val="00C23024"/>
    <w:rsid w:val="00C2560E"/>
    <w:rsid w:val="00C3231D"/>
    <w:rsid w:val="00C37FBA"/>
    <w:rsid w:val="00C6459A"/>
    <w:rsid w:val="00C67A75"/>
    <w:rsid w:val="00C73A6D"/>
    <w:rsid w:val="00C745F6"/>
    <w:rsid w:val="00C92431"/>
    <w:rsid w:val="00C931F8"/>
    <w:rsid w:val="00CB0D9A"/>
    <w:rsid w:val="00CB2702"/>
    <w:rsid w:val="00CC3F13"/>
    <w:rsid w:val="00CD0F74"/>
    <w:rsid w:val="00CD7EF3"/>
    <w:rsid w:val="00CE0D1B"/>
    <w:rsid w:val="00CF4805"/>
    <w:rsid w:val="00D14028"/>
    <w:rsid w:val="00D204EB"/>
    <w:rsid w:val="00D205FC"/>
    <w:rsid w:val="00D34982"/>
    <w:rsid w:val="00D3789F"/>
    <w:rsid w:val="00D46F42"/>
    <w:rsid w:val="00D60394"/>
    <w:rsid w:val="00D6682D"/>
    <w:rsid w:val="00D7375A"/>
    <w:rsid w:val="00D746BC"/>
    <w:rsid w:val="00D96F86"/>
    <w:rsid w:val="00DB07D4"/>
    <w:rsid w:val="00DB0E32"/>
    <w:rsid w:val="00DB2839"/>
    <w:rsid w:val="00DC59A9"/>
    <w:rsid w:val="00DC77FD"/>
    <w:rsid w:val="00DD37D4"/>
    <w:rsid w:val="00DE556A"/>
    <w:rsid w:val="00DF5F25"/>
    <w:rsid w:val="00E117E8"/>
    <w:rsid w:val="00E125C8"/>
    <w:rsid w:val="00E24037"/>
    <w:rsid w:val="00E337FE"/>
    <w:rsid w:val="00E404FC"/>
    <w:rsid w:val="00E41D4D"/>
    <w:rsid w:val="00E43A31"/>
    <w:rsid w:val="00E72545"/>
    <w:rsid w:val="00E73BF8"/>
    <w:rsid w:val="00E74FEB"/>
    <w:rsid w:val="00E81D67"/>
    <w:rsid w:val="00E81E81"/>
    <w:rsid w:val="00E829E0"/>
    <w:rsid w:val="00E83479"/>
    <w:rsid w:val="00E83F3C"/>
    <w:rsid w:val="00E91792"/>
    <w:rsid w:val="00E91AEA"/>
    <w:rsid w:val="00EB1932"/>
    <w:rsid w:val="00EC79B8"/>
    <w:rsid w:val="00EE1FD8"/>
    <w:rsid w:val="00EE4EA3"/>
    <w:rsid w:val="00EF1C5B"/>
    <w:rsid w:val="00F01BD9"/>
    <w:rsid w:val="00F03BC5"/>
    <w:rsid w:val="00F1235E"/>
    <w:rsid w:val="00F3784B"/>
    <w:rsid w:val="00F47370"/>
    <w:rsid w:val="00F478D8"/>
    <w:rsid w:val="00F6381E"/>
    <w:rsid w:val="00F64B10"/>
    <w:rsid w:val="00F665FE"/>
    <w:rsid w:val="00F7784D"/>
    <w:rsid w:val="00F84362"/>
    <w:rsid w:val="00F905A6"/>
    <w:rsid w:val="00F909EC"/>
    <w:rsid w:val="00F9429C"/>
    <w:rsid w:val="00FB5045"/>
    <w:rsid w:val="00FB6495"/>
    <w:rsid w:val="00FD4BA2"/>
    <w:rsid w:val="00FF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3EB060A3-12AA-4C0B-BE2B-3C4EB910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W" w:eastAsia="en-Z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F26A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26A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777DD"/>
  </w:style>
  <w:style w:type="character" w:customStyle="1" w:styleId="HeaderChar">
    <w:name w:val="Header Char"/>
    <w:basedOn w:val="DefaultParagraphFont"/>
    <w:link w:val="Header"/>
    <w:uiPriority w:val="99"/>
    <w:rsid w:val="00141378"/>
    <w:rPr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semiHidden/>
    <w:unhideWhenUsed/>
    <w:rsid w:val="00DF5F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F5F25"/>
    <w:rPr>
      <w:rFonts w:ascii="Segoe UI" w:hAnsi="Segoe UI" w:cs="Segoe UI"/>
      <w:sz w:val="18"/>
      <w:szCs w:val="18"/>
      <w:lang w:val="en-GB" w:eastAsia="en-US"/>
    </w:rPr>
  </w:style>
  <w:style w:type="paragraph" w:styleId="ListParagraph">
    <w:name w:val="List Paragraph"/>
    <w:basedOn w:val="Normal"/>
    <w:uiPriority w:val="34"/>
    <w:qFormat/>
    <w:rsid w:val="005C0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BP%20present\ZSC%202018\ZZ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ZZ Template</Template>
  <TotalTime>1</TotalTime>
  <Pages>11</Pages>
  <Words>2551</Words>
  <Characters>14541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XXXXX</vt:lpstr>
    </vt:vector>
  </TitlesOfParts>
  <Company>rbz</Company>
  <LinksUpToDate>false</LinksUpToDate>
  <CharactersWithSpaces>17058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</dc:title>
  <dc:creator>User</dc:creator>
  <cp:lastModifiedBy>Zimlii</cp:lastModifiedBy>
  <cp:revision>2</cp:revision>
  <cp:lastPrinted>2018-06-04T17:22:00Z</cp:lastPrinted>
  <dcterms:created xsi:type="dcterms:W3CDTF">2018-07-25T09:45:00Z</dcterms:created>
  <dcterms:modified xsi:type="dcterms:W3CDTF">2018-07-25T09:45:00Z</dcterms:modified>
</cp:coreProperties>
</file>