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FB" w:rsidRPr="00A06014" w:rsidRDefault="00AF17FB" w:rsidP="009C39C5">
      <w:pPr>
        <w:spacing w:after="0"/>
        <w:jc w:val="both"/>
        <w:rPr>
          <w:rFonts w:ascii="Times New Roman" w:hAnsi="Times New Roman" w:cs="Times New Roman"/>
          <w:b/>
          <w:sz w:val="24"/>
          <w:szCs w:val="24"/>
          <w:u w:val="single"/>
        </w:rPr>
      </w:pPr>
      <w:bookmarkStart w:id="0" w:name="_GoBack"/>
      <w:bookmarkEnd w:id="0"/>
    </w:p>
    <w:p w:rsidR="00AF17FB" w:rsidRPr="00A06014" w:rsidRDefault="00AF17FB" w:rsidP="009C39C5">
      <w:pPr>
        <w:spacing w:after="0"/>
        <w:jc w:val="both"/>
        <w:rPr>
          <w:rFonts w:ascii="Times New Roman" w:hAnsi="Times New Roman" w:cs="Times New Roman"/>
          <w:b/>
          <w:sz w:val="24"/>
          <w:szCs w:val="24"/>
          <w:u w:val="single"/>
        </w:rPr>
      </w:pPr>
    </w:p>
    <w:p w:rsidR="00324825" w:rsidRPr="00A06014" w:rsidRDefault="003A6CF0" w:rsidP="009C39C5">
      <w:pPr>
        <w:spacing w:after="0"/>
        <w:jc w:val="both"/>
        <w:rPr>
          <w:rFonts w:ascii="Times New Roman" w:hAnsi="Times New Roman" w:cs="Times New Roman"/>
          <w:b/>
          <w:sz w:val="24"/>
          <w:szCs w:val="24"/>
          <w:u w:val="single"/>
        </w:rPr>
      </w:pPr>
      <w:r w:rsidRPr="00A06014">
        <w:rPr>
          <w:rFonts w:ascii="Times New Roman" w:hAnsi="Times New Roman" w:cs="Times New Roman"/>
          <w:b/>
          <w:sz w:val="24"/>
          <w:szCs w:val="24"/>
          <w:u w:val="single"/>
        </w:rPr>
        <w:t>REPORTABLE</w:t>
      </w:r>
      <w:r w:rsidR="00793058" w:rsidRPr="00793058">
        <w:rPr>
          <w:rFonts w:ascii="Times New Roman" w:hAnsi="Times New Roman" w:cs="Times New Roman"/>
          <w:b/>
          <w:sz w:val="24"/>
          <w:szCs w:val="24"/>
        </w:rPr>
        <w:tab/>
        <w:t>(61)</w:t>
      </w:r>
    </w:p>
    <w:p w:rsidR="00324825" w:rsidRPr="00A06014" w:rsidRDefault="00324825" w:rsidP="009C39C5">
      <w:pPr>
        <w:spacing w:after="0"/>
        <w:jc w:val="both"/>
        <w:rPr>
          <w:rFonts w:ascii="Times New Roman" w:hAnsi="Times New Roman" w:cs="Times New Roman"/>
          <w:sz w:val="24"/>
          <w:szCs w:val="24"/>
        </w:rPr>
      </w:pPr>
    </w:p>
    <w:p w:rsidR="008F61DA" w:rsidRPr="00A06014" w:rsidRDefault="008F61DA" w:rsidP="009C39C5">
      <w:pPr>
        <w:spacing w:after="0"/>
        <w:jc w:val="both"/>
        <w:rPr>
          <w:rFonts w:ascii="Times New Roman" w:hAnsi="Times New Roman" w:cs="Times New Roman"/>
          <w:sz w:val="24"/>
          <w:szCs w:val="24"/>
        </w:rPr>
      </w:pPr>
    </w:p>
    <w:p w:rsidR="00C30864" w:rsidRPr="00A06014" w:rsidRDefault="00C30864" w:rsidP="005146F4">
      <w:pPr>
        <w:spacing w:after="0"/>
        <w:jc w:val="center"/>
        <w:rPr>
          <w:rFonts w:ascii="Times New Roman" w:hAnsi="Times New Roman" w:cs="Times New Roman"/>
          <w:b/>
          <w:sz w:val="24"/>
          <w:szCs w:val="24"/>
        </w:rPr>
      </w:pPr>
      <w:r w:rsidRPr="00A06014">
        <w:rPr>
          <w:rFonts w:ascii="Times New Roman" w:hAnsi="Times New Roman" w:cs="Times New Roman"/>
          <w:b/>
          <w:sz w:val="24"/>
          <w:szCs w:val="24"/>
        </w:rPr>
        <w:t xml:space="preserve">STARAFRICA </w:t>
      </w:r>
      <w:r w:rsidR="00AF17FB" w:rsidRPr="00A06014">
        <w:rPr>
          <w:rFonts w:ascii="Times New Roman" w:hAnsi="Times New Roman" w:cs="Times New Roman"/>
          <w:b/>
          <w:sz w:val="24"/>
          <w:szCs w:val="24"/>
        </w:rPr>
        <w:t xml:space="preserve">    </w:t>
      </w:r>
      <w:r w:rsidR="00F3020B">
        <w:rPr>
          <w:rFonts w:ascii="Times New Roman" w:hAnsi="Times New Roman" w:cs="Times New Roman"/>
          <w:b/>
          <w:sz w:val="24"/>
          <w:szCs w:val="24"/>
        </w:rPr>
        <w:t xml:space="preserve"> </w:t>
      </w:r>
      <w:r w:rsidRPr="00A06014">
        <w:rPr>
          <w:rFonts w:ascii="Times New Roman" w:hAnsi="Times New Roman" w:cs="Times New Roman"/>
          <w:b/>
          <w:sz w:val="24"/>
          <w:szCs w:val="24"/>
        </w:rPr>
        <w:t xml:space="preserve">CORPORATION </w:t>
      </w:r>
      <w:r w:rsidR="00AF17FB" w:rsidRPr="00A06014">
        <w:rPr>
          <w:rFonts w:ascii="Times New Roman" w:hAnsi="Times New Roman" w:cs="Times New Roman"/>
          <w:b/>
          <w:sz w:val="24"/>
          <w:szCs w:val="24"/>
        </w:rPr>
        <w:t xml:space="preserve">    LIMITED</w:t>
      </w:r>
    </w:p>
    <w:p w:rsidR="00C30864" w:rsidRPr="00A06014" w:rsidRDefault="00C30864" w:rsidP="005146F4">
      <w:pPr>
        <w:spacing w:after="0"/>
        <w:jc w:val="center"/>
        <w:rPr>
          <w:rFonts w:ascii="Times New Roman" w:hAnsi="Times New Roman" w:cs="Times New Roman"/>
          <w:b/>
          <w:sz w:val="24"/>
          <w:szCs w:val="24"/>
        </w:rPr>
      </w:pPr>
      <w:r w:rsidRPr="00A06014">
        <w:rPr>
          <w:rFonts w:ascii="Times New Roman" w:hAnsi="Times New Roman" w:cs="Times New Roman"/>
          <w:b/>
          <w:sz w:val="24"/>
          <w:szCs w:val="24"/>
        </w:rPr>
        <w:t>V</w:t>
      </w:r>
    </w:p>
    <w:p w:rsidR="008F61DA" w:rsidRPr="00A06014" w:rsidRDefault="00C30864" w:rsidP="005146F4">
      <w:pPr>
        <w:spacing w:after="0"/>
        <w:jc w:val="center"/>
        <w:rPr>
          <w:rFonts w:ascii="Times New Roman" w:hAnsi="Times New Roman" w:cs="Times New Roman"/>
          <w:b/>
          <w:sz w:val="24"/>
          <w:szCs w:val="24"/>
        </w:rPr>
      </w:pPr>
      <w:r w:rsidRPr="00A06014">
        <w:rPr>
          <w:rFonts w:ascii="Times New Roman" w:hAnsi="Times New Roman" w:cs="Times New Roman"/>
          <w:b/>
          <w:sz w:val="24"/>
          <w:szCs w:val="24"/>
        </w:rPr>
        <w:t xml:space="preserve">ZIMBABWE </w:t>
      </w:r>
      <w:r w:rsidR="00AF17FB" w:rsidRPr="00A06014">
        <w:rPr>
          <w:rFonts w:ascii="Times New Roman" w:hAnsi="Times New Roman" w:cs="Times New Roman"/>
          <w:b/>
          <w:sz w:val="24"/>
          <w:szCs w:val="24"/>
        </w:rPr>
        <w:t xml:space="preserve">    </w:t>
      </w:r>
      <w:r w:rsidRPr="00A06014">
        <w:rPr>
          <w:rFonts w:ascii="Times New Roman" w:hAnsi="Times New Roman" w:cs="Times New Roman"/>
          <w:b/>
          <w:sz w:val="24"/>
          <w:szCs w:val="24"/>
        </w:rPr>
        <w:t xml:space="preserve">SUGAR </w:t>
      </w:r>
      <w:r w:rsidR="00AF17FB" w:rsidRPr="00A06014">
        <w:rPr>
          <w:rFonts w:ascii="Times New Roman" w:hAnsi="Times New Roman" w:cs="Times New Roman"/>
          <w:b/>
          <w:sz w:val="24"/>
          <w:szCs w:val="24"/>
        </w:rPr>
        <w:t xml:space="preserve">    </w:t>
      </w:r>
      <w:r w:rsidRPr="00A06014">
        <w:rPr>
          <w:rFonts w:ascii="Times New Roman" w:hAnsi="Times New Roman" w:cs="Times New Roman"/>
          <w:b/>
          <w:sz w:val="24"/>
          <w:szCs w:val="24"/>
        </w:rPr>
        <w:t xml:space="preserve">REFINERY </w:t>
      </w:r>
      <w:r w:rsidR="00AF17FB" w:rsidRPr="00A06014">
        <w:rPr>
          <w:rFonts w:ascii="Times New Roman" w:hAnsi="Times New Roman" w:cs="Times New Roman"/>
          <w:b/>
          <w:sz w:val="24"/>
          <w:szCs w:val="24"/>
        </w:rPr>
        <w:t xml:space="preserve">    WORKERS     </w:t>
      </w:r>
      <w:r w:rsidR="00A06014">
        <w:rPr>
          <w:rFonts w:ascii="Times New Roman" w:hAnsi="Times New Roman" w:cs="Times New Roman"/>
          <w:b/>
          <w:sz w:val="24"/>
          <w:szCs w:val="24"/>
        </w:rPr>
        <w:t>UNION</w:t>
      </w:r>
    </w:p>
    <w:p w:rsidR="003A6CF0" w:rsidRPr="00A06014" w:rsidRDefault="003A6CF0" w:rsidP="009C39C5">
      <w:pPr>
        <w:spacing w:after="0"/>
        <w:jc w:val="both"/>
        <w:rPr>
          <w:rFonts w:ascii="Times New Roman" w:hAnsi="Times New Roman" w:cs="Times New Roman"/>
          <w:sz w:val="24"/>
          <w:szCs w:val="24"/>
        </w:rPr>
      </w:pPr>
    </w:p>
    <w:p w:rsidR="003A6CF0" w:rsidRPr="00A06014" w:rsidRDefault="003A6CF0" w:rsidP="009C39C5">
      <w:pPr>
        <w:spacing w:after="0"/>
        <w:jc w:val="both"/>
        <w:rPr>
          <w:rFonts w:ascii="Times New Roman" w:hAnsi="Times New Roman" w:cs="Times New Roman"/>
          <w:sz w:val="24"/>
          <w:szCs w:val="24"/>
        </w:rPr>
      </w:pPr>
    </w:p>
    <w:p w:rsidR="003A6CF0" w:rsidRPr="00A06014" w:rsidRDefault="003A6CF0" w:rsidP="009C39C5">
      <w:pPr>
        <w:spacing w:after="0"/>
        <w:jc w:val="both"/>
        <w:rPr>
          <w:rFonts w:ascii="Times New Roman" w:hAnsi="Times New Roman" w:cs="Times New Roman"/>
          <w:sz w:val="24"/>
          <w:szCs w:val="24"/>
        </w:rPr>
      </w:pPr>
    </w:p>
    <w:p w:rsidR="00C30864" w:rsidRPr="00A06014" w:rsidRDefault="00C30864" w:rsidP="009C39C5">
      <w:pPr>
        <w:spacing w:after="0"/>
        <w:jc w:val="both"/>
        <w:rPr>
          <w:rFonts w:ascii="Times New Roman" w:hAnsi="Times New Roman" w:cs="Times New Roman"/>
          <w:sz w:val="24"/>
          <w:szCs w:val="24"/>
        </w:rPr>
      </w:pPr>
    </w:p>
    <w:p w:rsidR="00C30864" w:rsidRPr="00A06014" w:rsidRDefault="00C30864" w:rsidP="009C39C5">
      <w:pPr>
        <w:spacing w:after="0"/>
        <w:jc w:val="both"/>
        <w:rPr>
          <w:rFonts w:ascii="Times New Roman" w:hAnsi="Times New Roman" w:cs="Times New Roman"/>
          <w:b/>
          <w:sz w:val="24"/>
          <w:szCs w:val="24"/>
        </w:rPr>
      </w:pPr>
      <w:r w:rsidRPr="00A06014">
        <w:rPr>
          <w:rFonts w:ascii="Times New Roman" w:hAnsi="Times New Roman" w:cs="Times New Roman"/>
          <w:b/>
          <w:sz w:val="24"/>
          <w:szCs w:val="24"/>
        </w:rPr>
        <w:t xml:space="preserve">SUPREME COURT OF ZIMBABWE </w:t>
      </w:r>
    </w:p>
    <w:p w:rsidR="00C30864" w:rsidRPr="00A06014" w:rsidRDefault="00C30864" w:rsidP="009C39C5">
      <w:pPr>
        <w:spacing w:after="0"/>
        <w:jc w:val="both"/>
        <w:rPr>
          <w:rFonts w:ascii="Times New Roman" w:hAnsi="Times New Roman" w:cs="Times New Roman"/>
          <w:b/>
          <w:sz w:val="24"/>
          <w:szCs w:val="24"/>
        </w:rPr>
      </w:pPr>
      <w:r w:rsidRPr="00A06014">
        <w:rPr>
          <w:rFonts w:ascii="Times New Roman" w:hAnsi="Times New Roman" w:cs="Times New Roman"/>
          <w:b/>
          <w:sz w:val="24"/>
          <w:szCs w:val="24"/>
        </w:rPr>
        <w:t>GWAUNZA DCJ, BHUNU JA &amp; BERE JA</w:t>
      </w:r>
    </w:p>
    <w:p w:rsidR="0010730F" w:rsidRPr="00A06014" w:rsidRDefault="00A06014" w:rsidP="009C39C5">
      <w:pPr>
        <w:spacing w:after="0"/>
        <w:jc w:val="both"/>
        <w:rPr>
          <w:rFonts w:ascii="Times New Roman" w:hAnsi="Times New Roman" w:cs="Times New Roman"/>
          <w:b/>
          <w:sz w:val="24"/>
          <w:szCs w:val="24"/>
        </w:rPr>
      </w:pPr>
      <w:r w:rsidRPr="00A06014">
        <w:rPr>
          <w:rFonts w:ascii="Times New Roman" w:hAnsi="Times New Roman" w:cs="Times New Roman"/>
          <w:b/>
          <w:sz w:val="24"/>
          <w:szCs w:val="24"/>
        </w:rPr>
        <w:t xml:space="preserve">HARARE: </w:t>
      </w:r>
      <w:r w:rsidR="00003F44">
        <w:rPr>
          <w:rFonts w:ascii="Times New Roman" w:hAnsi="Times New Roman" w:cs="Times New Roman"/>
          <w:b/>
          <w:sz w:val="24"/>
          <w:szCs w:val="24"/>
        </w:rPr>
        <w:t xml:space="preserve">15 </w:t>
      </w:r>
      <w:r w:rsidR="00DA3703">
        <w:rPr>
          <w:rFonts w:ascii="Times New Roman" w:hAnsi="Times New Roman" w:cs="Times New Roman"/>
          <w:b/>
          <w:sz w:val="24"/>
          <w:szCs w:val="24"/>
        </w:rPr>
        <w:t xml:space="preserve">OCTOBER </w:t>
      </w:r>
      <w:r w:rsidR="00DA3703" w:rsidRPr="00A06014">
        <w:rPr>
          <w:rFonts w:ascii="Times New Roman" w:hAnsi="Times New Roman" w:cs="Times New Roman"/>
          <w:b/>
          <w:sz w:val="24"/>
          <w:szCs w:val="24"/>
        </w:rPr>
        <w:t>2019</w:t>
      </w:r>
      <w:r w:rsidRPr="00A06014">
        <w:rPr>
          <w:rFonts w:ascii="Times New Roman" w:hAnsi="Times New Roman" w:cs="Times New Roman"/>
          <w:b/>
          <w:sz w:val="24"/>
          <w:szCs w:val="24"/>
        </w:rPr>
        <w:t xml:space="preserve"> AND</w:t>
      </w:r>
      <w:r w:rsidR="00C726C7" w:rsidRPr="00A06014">
        <w:rPr>
          <w:rFonts w:ascii="Times New Roman" w:hAnsi="Times New Roman" w:cs="Times New Roman"/>
          <w:b/>
          <w:sz w:val="24"/>
          <w:szCs w:val="24"/>
        </w:rPr>
        <w:t xml:space="preserve"> </w:t>
      </w:r>
      <w:r w:rsidR="00003F44">
        <w:rPr>
          <w:rFonts w:ascii="Times New Roman" w:hAnsi="Times New Roman" w:cs="Times New Roman"/>
          <w:b/>
          <w:sz w:val="24"/>
          <w:szCs w:val="24"/>
        </w:rPr>
        <w:t>24 MAY</w:t>
      </w:r>
      <w:r w:rsidR="00C726C7" w:rsidRPr="00A06014">
        <w:rPr>
          <w:rFonts w:ascii="Times New Roman" w:hAnsi="Times New Roman" w:cs="Times New Roman"/>
          <w:b/>
          <w:sz w:val="24"/>
          <w:szCs w:val="24"/>
        </w:rPr>
        <w:t xml:space="preserve"> </w:t>
      </w:r>
      <w:r w:rsidR="003A6CF0" w:rsidRPr="00A06014">
        <w:rPr>
          <w:rFonts w:ascii="Times New Roman" w:hAnsi="Times New Roman" w:cs="Times New Roman"/>
          <w:b/>
          <w:sz w:val="24"/>
          <w:szCs w:val="24"/>
        </w:rPr>
        <w:t>2021.</w:t>
      </w:r>
    </w:p>
    <w:p w:rsidR="003A6CF0" w:rsidRPr="00A06014" w:rsidRDefault="003A6CF0" w:rsidP="009C39C5">
      <w:pPr>
        <w:spacing w:after="0"/>
        <w:jc w:val="both"/>
        <w:rPr>
          <w:rFonts w:ascii="Times New Roman" w:hAnsi="Times New Roman" w:cs="Times New Roman"/>
          <w:b/>
          <w:sz w:val="24"/>
          <w:szCs w:val="24"/>
        </w:rPr>
      </w:pPr>
    </w:p>
    <w:p w:rsidR="00054C7E" w:rsidRPr="00A06014" w:rsidRDefault="00054C7E" w:rsidP="009C39C5">
      <w:pPr>
        <w:spacing w:after="0"/>
        <w:jc w:val="both"/>
        <w:rPr>
          <w:rFonts w:ascii="Times New Roman" w:hAnsi="Times New Roman" w:cs="Times New Roman"/>
          <w:b/>
          <w:sz w:val="24"/>
          <w:szCs w:val="24"/>
        </w:rPr>
      </w:pPr>
    </w:p>
    <w:p w:rsidR="0010730F" w:rsidRPr="00A06014" w:rsidRDefault="0010730F" w:rsidP="00DA3703">
      <w:pPr>
        <w:spacing w:after="0" w:line="480" w:lineRule="auto"/>
        <w:jc w:val="both"/>
        <w:rPr>
          <w:rFonts w:ascii="Times New Roman" w:hAnsi="Times New Roman" w:cs="Times New Roman"/>
          <w:sz w:val="24"/>
          <w:szCs w:val="24"/>
        </w:rPr>
      </w:pPr>
      <w:r w:rsidRPr="00A06014">
        <w:rPr>
          <w:rFonts w:ascii="Times New Roman" w:hAnsi="Times New Roman" w:cs="Times New Roman"/>
          <w:i/>
          <w:sz w:val="24"/>
          <w:szCs w:val="24"/>
        </w:rPr>
        <w:t>D</w:t>
      </w:r>
      <w:r w:rsidR="003A6CF0" w:rsidRPr="00A06014">
        <w:rPr>
          <w:rFonts w:ascii="Times New Roman" w:hAnsi="Times New Roman" w:cs="Times New Roman"/>
          <w:i/>
          <w:sz w:val="24"/>
          <w:szCs w:val="24"/>
        </w:rPr>
        <w:t xml:space="preserve">. </w:t>
      </w:r>
      <w:r w:rsidRPr="00A06014">
        <w:rPr>
          <w:rFonts w:ascii="Times New Roman" w:hAnsi="Times New Roman" w:cs="Times New Roman"/>
          <w:i/>
          <w:sz w:val="24"/>
          <w:szCs w:val="24"/>
        </w:rPr>
        <w:t>D</w:t>
      </w:r>
      <w:r w:rsidR="003A6CF0" w:rsidRPr="00A06014">
        <w:rPr>
          <w:rFonts w:ascii="Times New Roman" w:hAnsi="Times New Roman" w:cs="Times New Roman"/>
          <w:i/>
          <w:sz w:val="24"/>
          <w:szCs w:val="24"/>
        </w:rPr>
        <w:t>.</w:t>
      </w:r>
      <w:r w:rsidRPr="00A06014">
        <w:rPr>
          <w:rFonts w:ascii="Times New Roman" w:hAnsi="Times New Roman" w:cs="Times New Roman"/>
          <w:i/>
          <w:sz w:val="24"/>
          <w:szCs w:val="24"/>
        </w:rPr>
        <w:t xml:space="preserve"> Ochieng,</w:t>
      </w:r>
      <w:r w:rsidR="003A6CF0" w:rsidRPr="00A06014">
        <w:rPr>
          <w:rFonts w:ascii="Times New Roman" w:hAnsi="Times New Roman" w:cs="Times New Roman"/>
          <w:sz w:val="24"/>
          <w:szCs w:val="24"/>
        </w:rPr>
        <w:t xml:space="preserve"> for the a</w:t>
      </w:r>
      <w:r w:rsidRPr="00A06014">
        <w:rPr>
          <w:rFonts w:ascii="Times New Roman" w:hAnsi="Times New Roman" w:cs="Times New Roman"/>
          <w:sz w:val="24"/>
          <w:szCs w:val="24"/>
        </w:rPr>
        <w:t>ppellant</w:t>
      </w:r>
    </w:p>
    <w:p w:rsidR="0010730F" w:rsidRPr="00A06014" w:rsidRDefault="0010730F" w:rsidP="00DA3703">
      <w:pPr>
        <w:spacing w:after="0" w:line="480" w:lineRule="auto"/>
        <w:jc w:val="both"/>
        <w:rPr>
          <w:rFonts w:ascii="Times New Roman" w:hAnsi="Times New Roman" w:cs="Times New Roman"/>
          <w:sz w:val="24"/>
          <w:szCs w:val="24"/>
        </w:rPr>
      </w:pPr>
      <w:r w:rsidRPr="00A06014">
        <w:rPr>
          <w:rFonts w:ascii="Times New Roman" w:hAnsi="Times New Roman" w:cs="Times New Roman"/>
          <w:i/>
          <w:sz w:val="24"/>
          <w:szCs w:val="24"/>
        </w:rPr>
        <w:t>L</w:t>
      </w:r>
      <w:r w:rsidR="003A6CF0" w:rsidRPr="00A06014">
        <w:rPr>
          <w:rFonts w:ascii="Times New Roman" w:hAnsi="Times New Roman" w:cs="Times New Roman"/>
          <w:i/>
          <w:sz w:val="24"/>
          <w:szCs w:val="24"/>
        </w:rPr>
        <w:t>.</w:t>
      </w:r>
      <w:r w:rsidRPr="00A06014">
        <w:rPr>
          <w:rFonts w:ascii="Times New Roman" w:hAnsi="Times New Roman" w:cs="Times New Roman"/>
          <w:i/>
          <w:sz w:val="24"/>
          <w:szCs w:val="24"/>
        </w:rPr>
        <w:t xml:space="preserve"> Madhuku,</w:t>
      </w:r>
      <w:r w:rsidR="003A6CF0" w:rsidRPr="00A06014">
        <w:rPr>
          <w:rFonts w:ascii="Times New Roman" w:hAnsi="Times New Roman" w:cs="Times New Roman"/>
          <w:sz w:val="24"/>
          <w:szCs w:val="24"/>
        </w:rPr>
        <w:t xml:space="preserve"> for the r</w:t>
      </w:r>
      <w:r w:rsidR="008B160F" w:rsidRPr="00A06014">
        <w:rPr>
          <w:rFonts w:ascii="Times New Roman" w:hAnsi="Times New Roman" w:cs="Times New Roman"/>
          <w:sz w:val="24"/>
          <w:szCs w:val="24"/>
        </w:rPr>
        <w:t>espondent</w:t>
      </w:r>
    </w:p>
    <w:p w:rsidR="003A6CF0" w:rsidRPr="00A06014" w:rsidRDefault="003A6CF0" w:rsidP="009C39C5">
      <w:pPr>
        <w:spacing w:after="0"/>
        <w:jc w:val="both"/>
        <w:rPr>
          <w:rFonts w:ascii="Times New Roman" w:hAnsi="Times New Roman" w:cs="Times New Roman"/>
          <w:sz w:val="24"/>
          <w:szCs w:val="24"/>
        </w:rPr>
      </w:pPr>
    </w:p>
    <w:p w:rsidR="003A6CF0" w:rsidRPr="00A06014" w:rsidRDefault="00A06014" w:rsidP="00A06014">
      <w:pPr>
        <w:tabs>
          <w:tab w:val="left" w:pos="3569"/>
        </w:tabs>
        <w:spacing w:after="0"/>
        <w:jc w:val="both"/>
        <w:rPr>
          <w:rFonts w:ascii="Times New Roman" w:hAnsi="Times New Roman" w:cs="Times New Roman"/>
          <w:sz w:val="24"/>
          <w:szCs w:val="24"/>
        </w:rPr>
      </w:pPr>
      <w:r>
        <w:rPr>
          <w:rFonts w:ascii="Times New Roman" w:hAnsi="Times New Roman" w:cs="Times New Roman"/>
          <w:sz w:val="24"/>
          <w:szCs w:val="24"/>
        </w:rPr>
        <w:tab/>
      </w:r>
    </w:p>
    <w:p w:rsidR="0010730F" w:rsidRPr="00A06014" w:rsidRDefault="0010730F" w:rsidP="009C39C5">
      <w:pPr>
        <w:spacing w:after="0"/>
        <w:jc w:val="both"/>
        <w:rPr>
          <w:rFonts w:ascii="Times New Roman" w:hAnsi="Times New Roman" w:cs="Times New Roman"/>
          <w:b/>
          <w:i/>
          <w:sz w:val="24"/>
          <w:szCs w:val="24"/>
        </w:rPr>
      </w:pPr>
    </w:p>
    <w:p w:rsidR="0010730F" w:rsidRPr="00A06014" w:rsidRDefault="003A6CF0" w:rsidP="009C39C5">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b/>
          <w:sz w:val="24"/>
          <w:szCs w:val="24"/>
        </w:rPr>
        <w:tab/>
      </w:r>
      <w:r w:rsidR="0010730F" w:rsidRPr="00A06014">
        <w:rPr>
          <w:rFonts w:ascii="Times New Roman" w:hAnsi="Times New Roman" w:cs="Times New Roman"/>
          <w:b/>
          <w:sz w:val="24"/>
          <w:szCs w:val="24"/>
        </w:rPr>
        <w:t xml:space="preserve">BHUNU JA: </w:t>
      </w:r>
      <w:r w:rsidRPr="00A06014">
        <w:rPr>
          <w:rFonts w:ascii="Times New Roman" w:hAnsi="Times New Roman" w:cs="Times New Roman"/>
          <w:b/>
          <w:sz w:val="24"/>
          <w:szCs w:val="24"/>
        </w:rPr>
        <w:tab/>
      </w:r>
      <w:r w:rsidR="0010730F" w:rsidRPr="00A06014">
        <w:rPr>
          <w:rFonts w:ascii="Times New Roman" w:hAnsi="Times New Roman" w:cs="Times New Roman"/>
          <w:sz w:val="24"/>
          <w:szCs w:val="24"/>
        </w:rPr>
        <w:t>This is an appeal against par</w:t>
      </w:r>
      <w:r w:rsidR="00A06014">
        <w:rPr>
          <w:rFonts w:ascii="Times New Roman" w:hAnsi="Times New Roman" w:cs="Times New Roman"/>
          <w:sz w:val="24"/>
          <w:szCs w:val="24"/>
        </w:rPr>
        <w:t>t of the judgment of the Labour </w:t>
      </w:r>
      <w:r w:rsidR="0010730F" w:rsidRPr="00A06014">
        <w:rPr>
          <w:rFonts w:ascii="Times New Roman" w:hAnsi="Times New Roman" w:cs="Times New Roman"/>
          <w:sz w:val="24"/>
          <w:szCs w:val="24"/>
        </w:rPr>
        <w:t>Court</w:t>
      </w:r>
      <w:r w:rsidR="00C83ADC" w:rsidRPr="00A06014">
        <w:rPr>
          <w:rFonts w:ascii="Times New Roman" w:hAnsi="Times New Roman" w:cs="Times New Roman"/>
          <w:sz w:val="24"/>
          <w:szCs w:val="24"/>
        </w:rPr>
        <w:t xml:space="preserve"> (the court </w:t>
      </w:r>
      <w:r w:rsidR="00C83ADC" w:rsidRPr="00A06014">
        <w:rPr>
          <w:rFonts w:ascii="Times New Roman" w:hAnsi="Times New Roman" w:cs="Times New Roman"/>
          <w:i/>
          <w:sz w:val="24"/>
          <w:szCs w:val="24"/>
        </w:rPr>
        <w:t>a quo</w:t>
      </w:r>
      <w:r w:rsidR="00C83ADC" w:rsidRPr="00A06014">
        <w:rPr>
          <w:rFonts w:ascii="Times New Roman" w:hAnsi="Times New Roman" w:cs="Times New Roman"/>
          <w:sz w:val="24"/>
          <w:szCs w:val="24"/>
        </w:rPr>
        <w:t xml:space="preserve">) handed down on 26 January 2018. </w:t>
      </w:r>
      <w:r w:rsidR="00647FD4" w:rsidRPr="00A06014">
        <w:rPr>
          <w:rFonts w:ascii="Times New Roman" w:hAnsi="Times New Roman" w:cs="Times New Roman"/>
          <w:sz w:val="24"/>
          <w:szCs w:val="24"/>
        </w:rPr>
        <w:t xml:space="preserve"> The </w:t>
      </w:r>
      <w:r w:rsidR="002547EA" w:rsidRPr="00A06014">
        <w:rPr>
          <w:rFonts w:ascii="Times New Roman" w:hAnsi="Times New Roman" w:cs="Times New Roman"/>
          <w:sz w:val="24"/>
          <w:szCs w:val="24"/>
        </w:rPr>
        <w:t>appeal is agai</w:t>
      </w:r>
      <w:r w:rsidR="00817372" w:rsidRPr="00A06014">
        <w:rPr>
          <w:rFonts w:ascii="Times New Roman" w:hAnsi="Times New Roman" w:cs="Times New Roman"/>
          <w:sz w:val="24"/>
          <w:szCs w:val="24"/>
        </w:rPr>
        <w:t>nst that part of the</w:t>
      </w:r>
      <w:r w:rsidR="002547EA" w:rsidRPr="00A06014">
        <w:rPr>
          <w:rFonts w:ascii="Times New Roman" w:hAnsi="Times New Roman" w:cs="Times New Roman"/>
          <w:i/>
          <w:sz w:val="24"/>
          <w:szCs w:val="24"/>
        </w:rPr>
        <w:t xml:space="preserve"> </w:t>
      </w:r>
      <w:r w:rsidR="002547EA" w:rsidRPr="00A06014">
        <w:rPr>
          <w:rFonts w:ascii="Times New Roman" w:hAnsi="Times New Roman" w:cs="Times New Roman"/>
          <w:sz w:val="24"/>
          <w:szCs w:val="24"/>
        </w:rPr>
        <w:t>judgment</w:t>
      </w:r>
      <w:r w:rsidR="002547EA" w:rsidRPr="00A06014">
        <w:rPr>
          <w:rFonts w:ascii="Times New Roman" w:hAnsi="Times New Roman" w:cs="Times New Roman"/>
          <w:i/>
          <w:sz w:val="24"/>
          <w:szCs w:val="24"/>
        </w:rPr>
        <w:t xml:space="preserve"> </w:t>
      </w:r>
      <w:r w:rsidR="002547EA" w:rsidRPr="00A06014">
        <w:rPr>
          <w:rFonts w:ascii="Times New Roman" w:hAnsi="Times New Roman" w:cs="Times New Roman"/>
          <w:sz w:val="24"/>
          <w:szCs w:val="24"/>
        </w:rPr>
        <w:t>which</w:t>
      </w:r>
      <w:r w:rsidR="002547EA" w:rsidRPr="00A06014">
        <w:rPr>
          <w:rFonts w:ascii="Times New Roman" w:hAnsi="Times New Roman" w:cs="Times New Roman"/>
          <w:i/>
          <w:sz w:val="24"/>
          <w:szCs w:val="24"/>
        </w:rPr>
        <w:t xml:space="preserve"> </w:t>
      </w:r>
      <w:r w:rsidR="002547EA" w:rsidRPr="00A06014">
        <w:rPr>
          <w:rFonts w:ascii="Times New Roman" w:hAnsi="Times New Roman" w:cs="Times New Roman"/>
          <w:sz w:val="24"/>
          <w:szCs w:val="24"/>
        </w:rPr>
        <w:t>upheld</w:t>
      </w:r>
      <w:r w:rsidR="00720AB9" w:rsidRPr="00A06014">
        <w:rPr>
          <w:rFonts w:ascii="Times New Roman" w:hAnsi="Times New Roman" w:cs="Times New Roman"/>
          <w:sz w:val="24"/>
          <w:szCs w:val="24"/>
        </w:rPr>
        <w:t xml:space="preserve"> </w:t>
      </w:r>
      <w:r w:rsidR="00C83ADC" w:rsidRPr="00A06014">
        <w:rPr>
          <w:rFonts w:ascii="Times New Roman" w:hAnsi="Times New Roman" w:cs="Times New Roman"/>
          <w:sz w:val="24"/>
          <w:szCs w:val="24"/>
        </w:rPr>
        <w:t xml:space="preserve">the </w:t>
      </w:r>
      <w:r w:rsidR="00ED5C28" w:rsidRPr="00A06014">
        <w:rPr>
          <w:rFonts w:ascii="Times New Roman" w:hAnsi="Times New Roman" w:cs="Times New Roman"/>
          <w:sz w:val="24"/>
          <w:szCs w:val="24"/>
        </w:rPr>
        <w:t>a</w:t>
      </w:r>
      <w:r w:rsidR="00647FD4" w:rsidRPr="00A06014">
        <w:rPr>
          <w:rFonts w:ascii="Times New Roman" w:hAnsi="Times New Roman" w:cs="Times New Roman"/>
          <w:sz w:val="24"/>
          <w:szCs w:val="24"/>
        </w:rPr>
        <w:t>rbitrator’s award</w:t>
      </w:r>
      <w:r w:rsidR="002547EA" w:rsidRPr="00A06014">
        <w:rPr>
          <w:rFonts w:ascii="Times New Roman" w:hAnsi="Times New Roman" w:cs="Times New Roman"/>
          <w:sz w:val="24"/>
          <w:szCs w:val="24"/>
        </w:rPr>
        <w:t xml:space="preserve"> granting the respondent’s members an</w:t>
      </w:r>
      <w:r w:rsidR="00CA4FF3" w:rsidRPr="00A06014">
        <w:rPr>
          <w:rFonts w:ascii="Times New Roman" w:hAnsi="Times New Roman" w:cs="Times New Roman"/>
          <w:sz w:val="24"/>
          <w:szCs w:val="24"/>
        </w:rPr>
        <w:t xml:space="preserve"> </w:t>
      </w:r>
      <w:r w:rsidR="002547EA" w:rsidRPr="00A06014">
        <w:rPr>
          <w:rFonts w:ascii="Times New Roman" w:hAnsi="Times New Roman" w:cs="Times New Roman"/>
          <w:sz w:val="24"/>
          <w:szCs w:val="24"/>
        </w:rPr>
        <w:t>11</w:t>
      </w:r>
      <w:r w:rsidR="00A06014">
        <w:rPr>
          <w:rFonts w:ascii="Times New Roman" w:hAnsi="Times New Roman" w:cs="Times New Roman"/>
          <w:sz w:val="24"/>
          <w:szCs w:val="24"/>
        </w:rPr>
        <w:t> </w:t>
      </w:r>
      <w:r w:rsidRPr="00A06014">
        <w:rPr>
          <w:rFonts w:ascii="Times New Roman" w:hAnsi="Times New Roman" w:cs="Times New Roman"/>
          <w:sz w:val="24"/>
          <w:szCs w:val="24"/>
        </w:rPr>
        <w:t xml:space="preserve">percent </w:t>
      </w:r>
      <w:r w:rsidR="002547EA" w:rsidRPr="00A06014">
        <w:rPr>
          <w:rFonts w:ascii="Times New Roman" w:hAnsi="Times New Roman" w:cs="Times New Roman"/>
          <w:sz w:val="24"/>
          <w:szCs w:val="24"/>
        </w:rPr>
        <w:t>wage</w:t>
      </w:r>
      <w:r w:rsidR="00ED14CE" w:rsidRPr="00A06014">
        <w:rPr>
          <w:rFonts w:ascii="Times New Roman" w:hAnsi="Times New Roman" w:cs="Times New Roman"/>
          <w:sz w:val="24"/>
          <w:szCs w:val="24"/>
        </w:rPr>
        <w:t xml:space="preserve"> </w:t>
      </w:r>
      <w:r w:rsidR="002547EA" w:rsidRPr="00A06014">
        <w:rPr>
          <w:rFonts w:ascii="Times New Roman" w:hAnsi="Times New Roman" w:cs="Times New Roman"/>
          <w:sz w:val="24"/>
          <w:szCs w:val="24"/>
        </w:rPr>
        <w:t>increase.</w:t>
      </w:r>
    </w:p>
    <w:p w:rsidR="00647FD4" w:rsidRDefault="00647FD4" w:rsidP="009C39C5">
      <w:pPr>
        <w:spacing w:after="0"/>
        <w:jc w:val="both"/>
        <w:rPr>
          <w:rFonts w:ascii="Times New Roman" w:hAnsi="Times New Roman" w:cs="Times New Roman"/>
          <w:sz w:val="24"/>
          <w:szCs w:val="24"/>
        </w:rPr>
      </w:pPr>
    </w:p>
    <w:p w:rsidR="00F3020B" w:rsidRPr="00BB1857" w:rsidRDefault="00F3020B" w:rsidP="00BB1857">
      <w:pPr>
        <w:spacing w:after="0"/>
        <w:jc w:val="both"/>
        <w:rPr>
          <w:rFonts w:ascii="Times New Roman" w:hAnsi="Times New Roman" w:cs="Times New Roman"/>
          <w:sz w:val="16"/>
          <w:szCs w:val="16"/>
        </w:rPr>
      </w:pPr>
    </w:p>
    <w:p w:rsidR="00647FD4" w:rsidRPr="00A06014" w:rsidRDefault="003A6CF0" w:rsidP="009C39C5">
      <w:pPr>
        <w:spacing w:after="0"/>
        <w:jc w:val="both"/>
        <w:rPr>
          <w:rFonts w:ascii="Times New Roman" w:hAnsi="Times New Roman" w:cs="Times New Roman"/>
          <w:b/>
          <w:sz w:val="24"/>
          <w:szCs w:val="24"/>
        </w:rPr>
      </w:pPr>
      <w:r w:rsidRPr="00A06014">
        <w:rPr>
          <w:rFonts w:ascii="Times New Roman" w:hAnsi="Times New Roman" w:cs="Times New Roman"/>
          <w:b/>
          <w:sz w:val="24"/>
          <w:szCs w:val="24"/>
        </w:rPr>
        <w:t>FACTUAL BACKGROUND OF THE CASE.</w:t>
      </w:r>
    </w:p>
    <w:p w:rsidR="00647FD4" w:rsidRPr="00A06014" w:rsidRDefault="00647FD4" w:rsidP="009C39C5">
      <w:pPr>
        <w:spacing w:after="0"/>
        <w:jc w:val="both"/>
        <w:rPr>
          <w:rFonts w:ascii="Times New Roman" w:hAnsi="Times New Roman" w:cs="Times New Roman"/>
          <w:b/>
          <w:sz w:val="24"/>
          <w:szCs w:val="24"/>
        </w:rPr>
      </w:pPr>
    </w:p>
    <w:p w:rsidR="00647FD4" w:rsidRPr="00A06014" w:rsidRDefault="003A6CF0" w:rsidP="00F3020B">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647FD4" w:rsidRPr="00A06014">
        <w:rPr>
          <w:rFonts w:ascii="Times New Roman" w:hAnsi="Times New Roman" w:cs="Times New Roman"/>
          <w:sz w:val="24"/>
          <w:szCs w:val="24"/>
        </w:rPr>
        <w:t>The facts giving ris</w:t>
      </w:r>
      <w:r w:rsidR="001E10DF" w:rsidRPr="00A06014">
        <w:rPr>
          <w:rFonts w:ascii="Times New Roman" w:hAnsi="Times New Roman" w:cs="Times New Roman"/>
          <w:sz w:val="24"/>
          <w:szCs w:val="24"/>
        </w:rPr>
        <w:t>e to this</w:t>
      </w:r>
      <w:r w:rsidR="00647FD4" w:rsidRPr="00A06014">
        <w:rPr>
          <w:rFonts w:ascii="Times New Roman" w:hAnsi="Times New Roman" w:cs="Times New Roman"/>
          <w:sz w:val="24"/>
          <w:szCs w:val="24"/>
        </w:rPr>
        <w:t xml:space="preserve"> appeal are by and large common cause. </w:t>
      </w:r>
      <w:r w:rsidR="002D4278" w:rsidRPr="00A06014">
        <w:rPr>
          <w:rFonts w:ascii="Times New Roman" w:hAnsi="Times New Roman" w:cs="Times New Roman"/>
          <w:sz w:val="24"/>
          <w:szCs w:val="24"/>
        </w:rPr>
        <w:t xml:space="preserve"> </w:t>
      </w:r>
      <w:r w:rsidR="00647FD4" w:rsidRPr="00A06014">
        <w:rPr>
          <w:rFonts w:ascii="Times New Roman" w:hAnsi="Times New Roman" w:cs="Times New Roman"/>
          <w:sz w:val="24"/>
          <w:szCs w:val="24"/>
        </w:rPr>
        <w:t>The undisputed facts are that the appellant is the owner of a group of companies whereas the respondent is a trade union representing employees of Gold Star</w:t>
      </w:r>
      <w:r w:rsidR="00D66D43" w:rsidRPr="00A06014">
        <w:rPr>
          <w:rFonts w:ascii="Times New Roman" w:hAnsi="Times New Roman" w:cs="Times New Roman"/>
          <w:sz w:val="24"/>
          <w:szCs w:val="24"/>
        </w:rPr>
        <w:t xml:space="preserve">, a trading division of the </w:t>
      </w:r>
      <w:r w:rsidR="00E90B5A" w:rsidRPr="00A06014">
        <w:rPr>
          <w:rFonts w:ascii="Times New Roman" w:hAnsi="Times New Roman" w:cs="Times New Roman"/>
          <w:sz w:val="24"/>
          <w:szCs w:val="24"/>
        </w:rPr>
        <w:t>appellant.</w:t>
      </w:r>
    </w:p>
    <w:p w:rsidR="00FA5828" w:rsidRPr="00BB1857" w:rsidRDefault="00FA5828" w:rsidP="009C39C5">
      <w:pPr>
        <w:spacing w:after="0"/>
        <w:jc w:val="both"/>
        <w:rPr>
          <w:rFonts w:ascii="Times New Roman" w:hAnsi="Times New Roman" w:cs="Times New Roman"/>
          <w:sz w:val="16"/>
          <w:szCs w:val="16"/>
        </w:rPr>
      </w:pPr>
    </w:p>
    <w:p w:rsidR="00F3020B" w:rsidRPr="00A06014" w:rsidRDefault="00F3020B" w:rsidP="00F3020B">
      <w:pPr>
        <w:spacing w:after="0"/>
        <w:jc w:val="both"/>
        <w:rPr>
          <w:rFonts w:ascii="Times New Roman" w:hAnsi="Times New Roman" w:cs="Times New Roman"/>
          <w:sz w:val="24"/>
          <w:szCs w:val="24"/>
        </w:rPr>
      </w:pPr>
    </w:p>
    <w:p w:rsidR="00C80258" w:rsidRPr="00A06014" w:rsidRDefault="00ED5C28" w:rsidP="00F3020B">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652CAC" w:rsidRPr="00A06014">
        <w:rPr>
          <w:rFonts w:ascii="Times New Roman" w:hAnsi="Times New Roman" w:cs="Times New Roman"/>
          <w:sz w:val="24"/>
          <w:szCs w:val="24"/>
        </w:rPr>
        <w:t>The parties deadlocked during</w:t>
      </w:r>
      <w:r w:rsidR="00E90B5A" w:rsidRPr="00A06014">
        <w:rPr>
          <w:rFonts w:ascii="Times New Roman" w:hAnsi="Times New Roman" w:cs="Times New Roman"/>
          <w:sz w:val="24"/>
          <w:szCs w:val="24"/>
        </w:rPr>
        <w:t xml:space="preserve"> collective bargaining</w:t>
      </w:r>
      <w:r w:rsidR="00652CAC" w:rsidRPr="00A06014">
        <w:rPr>
          <w:rFonts w:ascii="Times New Roman" w:hAnsi="Times New Roman" w:cs="Times New Roman"/>
          <w:sz w:val="24"/>
          <w:szCs w:val="24"/>
        </w:rPr>
        <w:t xml:space="preserve"> negotiations for wage increases </w:t>
      </w:r>
      <w:r w:rsidR="00FA5828" w:rsidRPr="00A06014">
        <w:rPr>
          <w:rFonts w:ascii="Times New Roman" w:hAnsi="Times New Roman" w:cs="Times New Roman"/>
          <w:sz w:val="24"/>
          <w:szCs w:val="24"/>
        </w:rPr>
        <w:t>for the period 1 January</w:t>
      </w:r>
      <w:r w:rsidR="00652CAC" w:rsidRPr="00A06014">
        <w:rPr>
          <w:rFonts w:ascii="Times New Roman" w:hAnsi="Times New Roman" w:cs="Times New Roman"/>
          <w:sz w:val="24"/>
          <w:szCs w:val="24"/>
        </w:rPr>
        <w:t xml:space="preserve"> 2011 to 30 June 2011. </w:t>
      </w:r>
      <w:r w:rsidR="002D4278" w:rsidRPr="00A06014">
        <w:rPr>
          <w:rFonts w:ascii="Times New Roman" w:hAnsi="Times New Roman" w:cs="Times New Roman"/>
          <w:sz w:val="24"/>
          <w:szCs w:val="24"/>
        </w:rPr>
        <w:t xml:space="preserve"> </w:t>
      </w:r>
      <w:r w:rsidR="00652CAC" w:rsidRPr="00A06014">
        <w:rPr>
          <w:rFonts w:ascii="Times New Roman" w:hAnsi="Times New Roman" w:cs="Times New Roman"/>
          <w:sz w:val="24"/>
          <w:szCs w:val="24"/>
        </w:rPr>
        <w:t xml:space="preserve">The respondent was claiming a basic </w:t>
      </w:r>
      <w:r w:rsidR="00652CAC" w:rsidRPr="00A06014">
        <w:rPr>
          <w:rFonts w:ascii="Times New Roman" w:hAnsi="Times New Roman" w:cs="Times New Roman"/>
          <w:sz w:val="24"/>
          <w:szCs w:val="24"/>
        </w:rPr>
        <w:lastRenderedPageBreak/>
        <w:t>salary increase from US$</w:t>
      </w:r>
      <w:r w:rsidR="00DA0226" w:rsidRPr="00A06014">
        <w:rPr>
          <w:rFonts w:ascii="Times New Roman" w:hAnsi="Times New Roman" w:cs="Times New Roman"/>
          <w:sz w:val="24"/>
          <w:szCs w:val="24"/>
        </w:rPr>
        <w:t xml:space="preserve">157 to US$180 per month. </w:t>
      </w:r>
      <w:r w:rsidR="002D4278" w:rsidRPr="00A06014">
        <w:rPr>
          <w:rFonts w:ascii="Times New Roman" w:hAnsi="Times New Roman" w:cs="Times New Roman"/>
          <w:sz w:val="24"/>
          <w:szCs w:val="24"/>
        </w:rPr>
        <w:t xml:space="preserve"> </w:t>
      </w:r>
      <w:r w:rsidR="00DA0226" w:rsidRPr="00A06014">
        <w:rPr>
          <w:rFonts w:ascii="Times New Roman" w:hAnsi="Times New Roman" w:cs="Times New Roman"/>
          <w:sz w:val="24"/>
          <w:szCs w:val="24"/>
        </w:rPr>
        <w:t xml:space="preserve">It did not claim any increase </w:t>
      </w:r>
      <w:r w:rsidR="00ED14CE" w:rsidRPr="00A06014">
        <w:rPr>
          <w:rFonts w:ascii="Times New Roman" w:hAnsi="Times New Roman" w:cs="Times New Roman"/>
          <w:sz w:val="24"/>
          <w:szCs w:val="24"/>
        </w:rPr>
        <w:t xml:space="preserve">for </w:t>
      </w:r>
      <w:r w:rsidR="00C80258" w:rsidRPr="00A06014">
        <w:rPr>
          <w:rFonts w:ascii="Times New Roman" w:hAnsi="Times New Roman" w:cs="Times New Roman"/>
          <w:sz w:val="24"/>
          <w:szCs w:val="24"/>
        </w:rPr>
        <w:t>hous</w:t>
      </w:r>
      <w:r w:rsidR="00DA0226" w:rsidRPr="00A06014">
        <w:rPr>
          <w:rFonts w:ascii="Times New Roman" w:hAnsi="Times New Roman" w:cs="Times New Roman"/>
          <w:sz w:val="24"/>
          <w:szCs w:val="24"/>
        </w:rPr>
        <w:t>ing allowance on behalf of its members</w:t>
      </w:r>
      <w:r w:rsidR="00C80258" w:rsidRPr="00A06014">
        <w:rPr>
          <w:rFonts w:ascii="Times New Roman" w:hAnsi="Times New Roman" w:cs="Times New Roman"/>
          <w:sz w:val="24"/>
          <w:szCs w:val="24"/>
        </w:rPr>
        <w:t xml:space="preserve">. </w:t>
      </w:r>
      <w:r w:rsidR="002D4278" w:rsidRPr="00A06014">
        <w:rPr>
          <w:rFonts w:ascii="Times New Roman" w:hAnsi="Times New Roman" w:cs="Times New Roman"/>
          <w:sz w:val="24"/>
          <w:szCs w:val="24"/>
        </w:rPr>
        <w:t xml:space="preserve"> </w:t>
      </w:r>
      <w:r w:rsidR="00C80258" w:rsidRPr="00A06014">
        <w:rPr>
          <w:rFonts w:ascii="Times New Roman" w:hAnsi="Times New Roman" w:cs="Times New Roman"/>
          <w:sz w:val="24"/>
          <w:szCs w:val="24"/>
        </w:rPr>
        <w:t>On the other hand the appellant objected to the respondent’s members being awarded any increase pleading economic hardship.</w:t>
      </w:r>
    </w:p>
    <w:p w:rsidR="00ED5C28" w:rsidRPr="00A06014" w:rsidRDefault="00ED5C28" w:rsidP="00010FB0">
      <w:pPr>
        <w:tabs>
          <w:tab w:val="left" w:pos="1134"/>
        </w:tabs>
        <w:spacing w:after="0" w:line="240" w:lineRule="auto"/>
        <w:jc w:val="both"/>
        <w:rPr>
          <w:rFonts w:ascii="Times New Roman" w:hAnsi="Times New Roman" w:cs="Times New Roman"/>
          <w:sz w:val="24"/>
          <w:szCs w:val="24"/>
        </w:rPr>
      </w:pPr>
    </w:p>
    <w:p w:rsidR="00C80258" w:rsidRPr="00BB1857" w:rsidRDefault="00C80258" w:rsidP="009C39C5">
      <w:pPr>
        <w:spacing w:after="0"/>
        <w:jc w:val="both"/>
        <w:rPr>
          <w:rFonts w:ascii="Times New Roman" w:hAnsi="Times New Roman" w:cs="Times New Roman"/>
          <w:sz w:val="16"/>
          <w:szCs w:val="16"/>
        </w:rPr>
      </w:pPr>
    </w:p>
    <w:p w:rsidR="009A32F3" w:rsidRPr="008C4744" w:rsidRDefault="00ED5C28" w:rsidP="008C4744">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9A32F3" w:rsidRPr="00A06014">
        <w:rPr>
          <w:rFonts w:ascii="Times New Roman" w:hAnsi="Times New Roman" w:cs="Times New Roman"/>
          <w:sz w:val="24"/>
          <w:szCs w:val="24"/>
        </w:rPr>
        <w:t xml:space="preserve">Both parties proffered evidence before the arbitrator. </w:t>
      </w:r>
      <w:r w:rsidR="00C80258" w:rsidRPr="00A06014">
        <w:rPr>
          <w:rFonts w:ascii="Times New Roman" w:hAnsi="Times New Roman" w:cs="Times New Roman"/>
          <w:sz w:val="24"/>
          <w:szCs w:val="24"/>
        </w:rPr>
        <w:t>Having carefully consider</w:t>
      </w:r>
      <w:r w:rsidR="009A32F3" w:rsidRPr="00A06014">
        <w:rPr>
          <w:rFonts w:ascii="Times New Roman" w:hAnsi="Times New Roman" w:cs="Times New Roman"/>
          <w:sz w:val="24"/>
          <w:szCs w:val="24"/>
        </w:rPr>
        <w:t>ed the evidence before him, he issued the following order:</w:t>
      </w:r>
    </w:p>
    <w:p w:rsidR="00E5236F" w:rsidRPr="00A06014" w:rsidRDefault="009A32F3" w:rsidP="00A06014">
      <w:pPr>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ab/>
        <w:t xml:space="preserve">“I herein award as follows: </w:t>
      </w:r>
    </w:p>
    <w:p w:rsidR="00A06014" w:rsidRPr="00A06014" w:rsidRDefault="009A32F3" w:rsidP="00A06014">
      <w:pPr>
        <w:pStyle w:val="ListParagraph"/>
        <w:numPr>
          <w:ilvl w:val="0"/>
          <w:numId w:val="1"/>
        </w:numPr>
        <w:tabs>
          <w:tab w:val="left" w:pos="567"/>
          <w:tab w:val="left" w:pos="993"/>
        </w:tabs>
        <w:spacing w:after="0" w:line="240" w:lineRule="auto"/>
        <w:jc w:val="both"/>
        <w:rPr>
          <w:rFonts w:ascii="Times New Roman" w:hAnsi="Times New Roman" w:cs="Times New Roman"/>
          <w:sz w:val="24"/>
          <w:szCs w:val="24"/>
        </w:rPr>
      </w:pPr>
      <w:r w:rsidRPr="00A06014">
        <w:rPr>
          <w:rFonts w:ascii="Times New Roman" w:hAnsi="Times New Roman" w:cs="Times New Roman"/>
          <w:sz w:val="24"/>
          <w:szCs w:val="24"/>
        </w:rPr>
        <w:t>Basic salary is increased from U</w:t>
      </w:r>
      <w:r w:rsidR="00263073" w:rsidRPr="00A06014">
        <w:rPr>
          <w:rFonts w:ascii="Times New Roman" w:hAnsi="Times New Roman" w:cs="Times New Roman"/>
          <w:sz w:val="24"/>
          <w:szCs w:val="24"/>
        </w:rPr>
        <w:t xml:space="preserve">S$157 by 11% to US$174.27per </w:t>
      </w:r>
      <w:r w:rsidRPr="00A06014">
        <w:rPr>
          <w:rFonts w:ascii="Times New Roman" w:hAnsi="Times New Roman" w:cs="Times New Roman"/>
          <w:sz w:val="24"/>
          <w:szCs w:val="24"/>
        </w:rPr>
        <w:t xml:space="preserve">month for the </w:t>
      </w:r>
    </w:p>
    <w:p w:rsidR="009A32F3" w:rsidRPr="00A06014" w:rsidRDefault="009A32F3" w:rsidP="00A06014">
      <w:pPr>
        <w:pStyle w:val="ListParagraph"/>
        <w:tabs>
          <w:tab w:val="left" w:pos="567"/>
          <w:tab w:val="left" w:pos="993"/>
        </w:tabs>
        <w:spacing w:after="0" w:line="240" w:lineRule="auto"/>
        <w:ind w:left="1437"/>
        <w:jc w:val="both"/>
        <w:rPr>
          <w:rFonts w:ascii="Times New Roman" w:hAnsi="Times New Roman" w:cs="Times New Roman"/>
          <w:sz w:val="24"/>
          <w:szCs w:val="24"/>
        </w:rPr>
      </w:pPr>
      <w:r w:rsidRPr="00A06014">
        <w:rPr>
          <w:rFonts w:ascii="Times New Roman" w:hAnsi="Times New Roman" w:cs="Times New Roman"/>
          <w:sz w:val="24"/>
          <w:szCs w:val="24"/>
        </w:rPr>
        <w:t>lowest paid employee.</w:t>
      </w:r>
    </w:p>
    <w:p w:rsidR="00D62A74" w:rsidRPr="00A06014" w:rsidRDefault="009A32F3" w:rsidP="00A06014">
      <w:pPr>
        <w:tabs>
          <w:tab w:val="left" w:pos="567"/>
          <w:tab w:val="left" w:pos="993"/>
        </w:tabs>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ab/>
        <w:t>b)</w:t>
      </w:r>
      <w:r w:rsidRPr="00A06014">
        <w:rPr>
          <w:rFonts w:ascii="Times New Roman" w:hAnsi="Times New Roman" w:cs="Times New Roman"/>
          <w:sz w:val="24"/>
          <w:szCs w:val="24"/>
        </w:rPr>
        <w:tab/>
        <w:t xml:space="preserve">Housing allowance is increased from US$50 by 11% </w:t>
      </w:r>
      <w:r w:rsidR="00D62A74" w:rsidRPr="00A06014">
        <w:rPr>
          <w:rFonts w:ascii="Times New Roman" w:hAnsi="Times New Roman" w:cs="Times New Roman"/>
          <w:sz w:val="24"/>
          <w:szCs w:val="24"/>
        </w:rPr>
        <w:t>to US$56.50</w:t>
      </w:r>
    </w:p>
    <w:p w:rsidR="00D62A74" w:rsidRPr="00A06014" w:rsidRDefault="00730601" w:rsidP="00A06014">
      <w:pPr>
        <w:tabs>
          <w:tab w:val="left" w:pos="567"/>
          <w:tab w:val="left" w:pos="993"/>
        </w:tabs>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ab/>
      </w:r>
      <w:r w:rsidR="00263073" w:rsidRPr="00A06014">
        <w:rPr>
          <w:rFonts w:ascii="Times New Roman" w:hAnsi="Times New Roman" w:cs="Times New Roman"/>
          <w:sz w:val="24"/>
          <w:szCs w:val="24"/>
        </w:rPr>
        <w:t>c)</w:t>
      </w:r>
      <w:r w:rsidR="00263073" w:rsidRPr="00A06014">
        <w:rPr>
          <w:rFonts w:ascii="Times New Roman" w:hAnsi="Times New Roman" w:cs="Times New Roman"/>
          <w:sz w:val="24"/>
          <w:szCs w:val="24"/>
        </w:rPr>
        <w:tab/>
      </w:r>
      <w:r w:rsidR="00D62A74" w:rsidRPr="00A06014">
        <w:rPr>
          <w:rFonts w:ascii="Times New Roman" w:hAnsi="Times New Roman" w:cs="Times New Roman"/>
          <w:sz w:val="24"/>
          <w:szCs w:val="24"/>
        </w:rPr>
        <w:t>The total award per lowest paid employee is US$230.77.”</w:t>
      </w:r>
    </w:p>
    <w:p w:rsidR="00730601" w:rsidRPr="00A06014" w:rsidRDefault="00730601" w:rsidP="00730601">
      <w:pPr>
        <w:tabs>
          <w:tab w:val="left" w:pos="567"/>
          <w:tab w:val="left" w:pos="993"/>
        </w:tabs>
        <w:spacing w:after="0" w:line="240" w:lineRule="auto"/>
        <w:jc w:val="both"/>
        <w:rPr>
          <w:rFonts w:ascii="Times New Roman" w:hAnsi="Times New Roman" w:cs="Times New Roman"/>
          <w:sz w:val="24"/>
          <w:szCs w:val="24"/>
        </w:rPr>
      </w:pPr>
    </w:p>
    <w:p w:rsidR="00D62A74" w:rsidRPr="00A06014" w:rsidRDefault="00D62A74" w:rsidP="002D4278">
      <w:pPr>
        <w:spacing w:after="0" w:line="240" w:lineRule="auto"/>
        <w:jc w:val="both"/>
        <w:rPr>
          <w:rFonts w:ascii="Times New Roman" w:hAnsi="Times New Roman" w:cs="Times New Roman"/>
          <w:sz w:val="24"/>
          <w:szCs w:val="24"/>
        </w:rPr>
      </w:pPr>
    </w:p>
    <w:p w:rsidR="002D4278" w:rsidRPr="00BB1857" w:rsidRDefault="002D4278" w:rsidP="002D4278">
      <w:pPr>
        <w:spacing w:after="0" w:line="240" w:lineRule="auto"/>
        <w:jc w:val="both"/>
        <w:rPr>
          <w:rFonts w:ascii="Times New Roman" w:hAnsi="Times New Roman" w:cs="Times New Roman"/>
          <w:sz w:val="16"/>
          <w:szCs w:val="16"/>
        </w:rPr>
      </w:pPr>
    </w:p>
    <w:p w:rsidR="00DA7152" w:rsidRPr="00010FB0" w:rsidRDefault="007E2E7F" w:rsidP="00010FB0">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D62A74" w:rsidRPr="00A06014">
        <w:rPr>
          <w:rFonts w:ascii="Times New Roman" w:hAnsi="Times New Roman" w:cs="Times New Roman"/>
          <w:sz w:val="24"/>
          <w:szCs w:val="24"/>
        </w:rPr>
        <w:t xml:space="preserve">In coming up with that award the arbitrator took into account the employees’ basic needs and weighed them against the employer’s economic hardship. </w:t>
      </w:r>
      <w:r w:rsidR="002D4278" w:rsidRPr="00A06014">
        <w:rPr>
          <w:rFonts w:ascii="Times New Roman" w:hAnsi="Times New Roman" w:cs="Times New Roman"/>
          <w:sz w:val="24"/>
          <w:szCs w:val="24"/>
        </w:rPr>
        <w:t xml:space="preserve"> </w:t>
      </w:r>
      <w:r w:rsidR="00DA7152" w:rsidRPr="00A06014">
        <w:rPr>
          <w:rFonts w:ascii="Times New Roman" w:hAnsi="Times New Roman" w:cs="Times New Roman"/>
          <w:sz w:val="24"/>
          <w:szCs w:val="24"/>
        </w:rPr>
        <w:t>In exercising his discretion he came to the conclusion that although the company was in economic dire straits, with proper management and realignment of it</w:t>
      </w:r>
      <w:r w:rsidR="00285FB3" w:rsidRPr="00A06014">
        <w:rPr>
          <w:rFonts w:ascii="Times New Roman" w:hAnsi="Times New Roman" w:cs="Times New Roman"/>
          <w:sz w:val="24"/>
          <w:szCs w:val="24"/>
        </w:rPr>
        <w:t>s operations it could afford</w:t>
      </w:r>
      <w:r w:rsidR="00DA7152" w:rsidRPr="00A06014">
        <w:rPr>
          <w:rFonts w:ascii="Times New Roman" w:hAnsi="Times New Roman" w:cs="Times New Roman"/>
          <w:sz w:val="24"/>
          <w:szCs w:val="24"/>
        </w:rPr>
        <w:t xml:space="preserve"> an increase of 11</w:t>
      </w:r>
      <w:r w:rsidR="00A06014">
        <w:rPr>
          <w:rFonts w:ascii="Times New Roman" w:hAnsi="Times New Roman" w:cs="Times New Roman"/>
          <w:sz w:val="24"/>
          <w:szCs w:val="24"/>
        </w:rPr>
        <w:t> </w:t>
      </w:r>
      <w:r w:rsidR="003A6CF0" w:rsidRPr="00A06014">
        <w:rPr>
          <w:rFonts w:ascii="Times New Roman" w:hAnsi="Times New Roman" w:cs="Times New Roman"/>
          <w:sz w:val="24"/>
          <w:szCs w:val="24"/>
        </w:rPr>
        <w:t>percent across</w:t>
      </w:r>
      <w:r w:rsidR="00DA7152" w:rsidRPr="00A06014">
        <w:rPr>
          <w:rFonts w:ascii="Times New Roman" w:hAnsi="Times New Roman" w:cs="Times New Roman"/>
          <w:sz w:val="24"/>
          <w:szCs w:val="24"/>
        </w:rPr>
        <w:t xml:space="preserve"> the board for both wages and housing allowances. </w:t>
      </w:r>
      <w:r w:rsidR="002D4278" w:rsidRPr="00A06014">
        <w:rPr>
          <w:rFonts w:ascii="Times New Roman" w:hAnsi="Times New Roman" w:cs="Times New Roman"/>
          <w:sz w:val="24"/>
          <w:szCs w:val="24"/>
        </w:rPr>
        <w:t xml:space="preserve"> </w:t>
      </w:r>
      <w:r w:rsidR="00DA7152" w:rsidRPr="00A06014">
        <w:rPr>
          <w:rFonts w:ascii="Times New Roman" w:hAnsi="Times New Roman" w:cs="Times New Roman"/>
          <w:sz w:val="24"/>
          <w:szCs w:val="24"/>
        </w:rPr>
        <w:t>This is what t</w:t>
      </w:r>
      <w:r w:rsidR="00753C08" w:rsidRPr="00A06014">
        <w:rPr>
          <w:rFonts w:ascii="Times New Roman" w:hAnsi="Times New Roman" w:cs="Times New Roman"/>
          <w:sz w:val="24"/>
          <w:szCs w:val="24"/>
        </w:rPr>
        <w:t>he arbitrator had to say at p</w:t>
      </w:r>
      <w:r w:rsidR="00DA7152" w:rsidRPr="00A06014">
        <w:rPr>
          <w:rFonts w:ascii="Times New Roman" w:hAnsi="Times New Roman" w:cs="Times New Roman"/>
          <w:sz w:val="24"/>
          <w:szCs w:val="24"/>
        </w:rPr>
        <w:t xml:space="preserve"> 2 of his award:</w:t>
      </w:r>
    </w:p>
    <w:p w:rsidR="009A32F3" w:rsidRPr="00A06014" w:rsidRDefault="00DA7152" w:rsidP="00010FB0">
      <w:pPr>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“The 2011 fina</w:t>
      </w:r>
      <w:r w:rsidR="006E6C91" w:rsidRPr="00A06014">
        <w:rPr>
          <w:rFonts w:ascii="Times New Roman" w:hAnsi="Times New Roman" w:cs="Times New Roman"/>
          <w:sz w:val="24"/>
          <w:szCs w:val="24"/>
        </w:rPr>
        <w:t>n</w:t>
      </w:r>
      <w:r w:rsidRPr="00A06014">
        <w:rPr>
          <w:rFonts w:ascii="Times New Roman" w:hAnsi="Times New Roman" w:cs="Times New Roman"/>
          <w:sz w:val="24"/>
          <w:szCs w:val="24"/>
        </w:rPr>
        <w:t>cial statem</w:t>
      </w:r>
      <w:r w:rsidR="007E2E7F" w:rsidRPr="00A06014">
        <w:rPr>
          <w:rFonts w:ascii="Times New Roman" w:hAnsi="Times New Roman" w:cs="Times New Roman"/>
          <w:sz w:val="24"/>
          <w:szCs w:val="24"/>
        </w:rPr>
        <w:t>ent also showed a loss of US$16 </w:t>
      </w:r>
      <w:r w:rsidRPr="00A06014">
        <w:rPr>
          <w:rFonts w:ascii="Times New Roman" w:hAnsi="Times New Roman" w:cs="Times New Roman"/>
          <w:sz w:val="24"/>
          <w:szCs w:val="24"/>
        </w:rPr>
        <w:t xml:space="preserve">375 557. </w:t>
      </w:r>
      <w:r w:rsidR="007E2E7F" w:rsidRPr="00A06014">
        <w:rPr>
          <w:rFonts w:ascii="Times New Roman" w:hAnsi="Times New Roman" w:cs="Times New Roman"/>
          <w:sz w:val="24"/>
          <w:szCs w:val="24"/>
        </w:rPr>
        <w:t xml:space="preserve"> </w:t>
      </w:r>
      <w:r w:rsidRPr="00A06014">
        <w:rPr>
          <w:rFonts w:ascii="Times New Roman" w:hAnsi="Times New Roman" w:cs="Times New Roman"/>
          <w:sz w:val="24"/>
          <w:szCs w:val="24"/>
        </w:rPr>
        <w:t xml:space="preserve">Clearly the fortunes of the company are not that bright. </w:t>
      </w:r>
      <w:r w:rsidR="007E2E7F" w:rsidRPr="00A06014">
        <w:rPr>
          <w:rFonts w:ascii="Times New Roman" w:hAnsi="Times New Roman" w:cs="Times New Roman"/>
          <w:sz w:val="24"/>
          <w:szCs w:val="24"/>
        </w:rPr>
        <w:t xml:space="preserve"> </w:t>
      </w:r>
      <w:r w:rsidRPr="00A06014">
        <w:rPr>
          <w:rFonts w:ascii="Times New Roman" w:hAnsi="Times New Roman" w:cs="Times New Roman"/>
          <w:sz w:val="24"/>
          <w:szCs w:val="24"/>
        </w:rPr>
        <w:t xml:space="preserve">The cost of employment seems to be on the higher side </w:t>
      </w:r>
      <w:r w:rsidR="00923849" w:rsidRPr="00A06014">
        <w:rPr>
          <w:rFonts w:ascii="Times New Roman" w:hAnsi="Times New Roman" w:cs="Times New Roman"/>
          <w:sz w:val="24"/>
          <w:szCs w:val="24"/>
        </w:rPr>
        <w:t>but, it appe</w:t>
      </w:r>
      <w:r w:rsidR="00FD147A" w:rsidRPr="00A06014">
        <w:rPr>
          <w:rFonts w:ascii="Times New Roman" w:hAnsi="Times New Roman" w:cs="Times New Roman"/>
          <w:sz w:val="24"/>
          <w:szCs w:val="24"/>
        </w:rPr>
        <w:t>a</w:t>
      </w:r>
      <w:r w:rsidR="00923849" w:rsidRPr="00A06014">
        <w:rPr>
          <w:rFonts w:ascii="Times New Roman" w:hAnsi="Times New Roman" w:cs="Times New Roman"/>
          <w:sz w:val="24"/>
          <w:szCs w:val="24"/>
        </w:rPr>
        <w:t xml:space="preserve">rs the </w:t>
      </w:r>
      <w:r w:rsidR="006E6C91" w:rsidRPr="00A06014">
        <w:rPr>
          <w:rFonts w:ascii="Times New Roman" w:hAnsi="Times New Roman" w:cs="Times New Roman"/>
          <w:sz w:val="24"/>
          <w:szCs w:val="24"/>
        </w:rPr>
        <w:tab/>
      </w:r>
      <w:r w:rsidR="007E2E7F" w:rsidRPr="00A06014">
        <w:rPr>
          <w:rFonts w:ascii="Times New Roman" w:hAnsi="Times New Roman" w:cs="Times New Roman"/>
          <w:sz w:val="24"/>
          <w:szCs w:val="24"/>
        </w:rPr>
        <w:t>m</w:t>
      </w:r>
      <w:r w:rsidRPr="00A06014">
        <w:rPr>
          <w:rFonts w:ascii="Times New Roman" w:hAnsi="Times New Roman" w:cs="Times New Roman"/>
          <w:sz w:val="24"/>
          <w:szCs w:val="24"/>
        </w:rPr>
        <w:t>anagemen</w:t>
      </w:r>
      <w:r w:rsidR="00923849" w:rsidRPr="00A06014">
        <w:rPr>
          <w:rFonts w:ascii="Times New Roman" w:hAnsi="Times New Roman" w:cs="Times New Roman"/>
          <w:sz w:val="24"/>
          <w:szCs w:val="24"/>
        </w:rPr>
        <w:t>t</w:t>
      </w:r>
      <w:r w:rsidR="007E2E7F" w:rsidRPr="00A06014">
        <w:rPr>
          <w:rFonts w:ascii="Times New Roman" w:hAnsi="Times New Roman" w:cs="Times New Roman"/>
          <w:sz w:val="24"/>
          <w:szCs w:val="24"/>
        </w:rPr>
        <w:t> </w:t>
      </w:r>
      <w:r w:rsidR="00923849" w:rsidRPr="00A06014">
        <w:rPr>
          <w:rFonts w:ascii="Times New Roman" w:hAnsi="Times New Roman" w:cs="Times New Roman"/>
          <w:sz w:val="24"/>
          <w:szCs w:val="24"/>
        </w:rPr>
        <w:t xml:space="preserve">salaries chew also a huge chunk. </w:t>
      </w:r>
      <w:r w:rsidR="007E2E7F" w:rsidRPr="00A06014">
        <w:rPr>
          <w:rFonts w:ascii="Times New Roman" w:hAnsi="Times New Roman" w:cs="Times New Roman"/>
          <w:sz w:val="24"/>
          <w:szCs w:val="24"/>
        </w:rPr>
        <w:t xml:space="preserve"> Those are some of (the) things</w:t>
      </w:r>
      <w:r w:rsidR="00923849" w:rsidRPr="00A06014">
        <w:rPr>
          <w:rFonts w:ascii="Times New Roman" w:hAnsi="Times New Roman" w:cs="Times New Roman"/>
          <w:sz w:val="24"/>
          <w:szCs w:val="24"/>
        </w:rPr>
        <w:t xml:space="preserve"> that also need </w:t>
      </w:r>
      <w:r w:rsidR="006E6C91" w:rsidRPr="00A06014">
        <w:rPr>
          <w:rFonts w:ascii="Times New Roman" w:hAnsi="Times New Roman" w:cs="Times New Roman"/>
          <w:sz w:val="24"/>
          <w:szCs w:val="24"/>
        </w:rPr>
        <w:t xml:space="preserve">alignment. </w:t>
      </w:r>
      <w:r w:rsidR="007E2E7F" w:rsidRPr="00A06014">
        <w:rPr>
          <w:rFonts w:ascii="Times New Roman" w:hAnsi="Times New Roman" w:cs="Times New Roman"/>
          <w:sz w:val="24"/>
          <w:szCs w:val="24"/>
        </w:rPr>
        <w:t xml:space="preserve"> </w:t>
      </w:r>
      <w:r w:rsidR="006E6C91" w:rsidRPr="00A06014">
        <w:rPr>
          <w:rFonts w:ascii="Times New Roman" w:hAnsi="Times New Roman" w:cs="Times New Roman"/>
          <w:sz w:val="24"/>
          <w:szCs w:val="24"/>
        </w:rPr>
        <w:t>The</w:t>
      </w:r>
      <w:r w:rsidR="007E2E7F" w:rsidRPr="00A06014">
        <w:rPr>
          <w:rFonts w:ascii="Times New Roman" w:hAnsi="Times New Roman" w:cs="Times New Roman"/>
          <w:sz w:val="24"/>
          <w:szCs w:val="24"/>
        </w:rPr>
        <w:t xml:space="preserve"> other costs were for was sugar (</w:t>
      </w:r>
      <w:r w:rsidR="00923849" w:rsidRPr="00413FD0">
        <w:rPr>
          <w:rFonts w:ascii="Times New Roman" w:hAnsi="Times New Roman" w:cs="Times New Roman"/>
          <w:i/>
          <w:sz w:val="24"/>
          <w:szCs w:val="24"/>
        </w:rPr>
        <w:t>sic</w:t>
      </w:r>
      <w:r w:rsidR="00923849" w:rsidRPr="00A06014">
        <w:rPr>
          <w:rFonts w:ascii="Times New Roman" w:hAnsi="Times New Roman" w:cs="Times New Roman"/>
          <w:sz w:val="24"/>
          <w:szCs w:val="24"/>
        </w:rPr>
        <w:t>) production which seems to be on the higher side.</w:t>
      </w:r>
    </w:p>
    <w:p w:rsidR="00923849" w:rsidRPr="00A06014" w:rsidRDefault="00923849" w:rsidP="009C39C5">
      <w:pPr>
        <w:spacing w:after="0" w:line="240" w:lineRule="auto"/>
        <w:ind w:left="567"/>
        <w:jc w:val="both"/>
        <w:rPr>
          <w:rFonts w:ascii="Times New Roman" w:hAnsi="Times New Roman" w:cs="Times New Roman"/>
          <w:sz w:val="24"/>
          <w:szCs w:val="24"/>
        </w:rPr>
      </w:pPr>
    </w:p>
    <w:p w:rsidR="00923849" w:rsidRPr="00A06014" w:rsidRDefault="00923849" w:rsidP="00A06014">
      <w:pPr>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However the cost should be recovered from sale through proper pricing.</w:t>
      </w:r>
      <w:r w:rsidR="006E6C91" w:rsidRPr="00A06014">
        <w:rPr>
          <w:rFonts w:ascii="Times New Roman" w:hAnsi="Times New Roman" w:cs="Times New Roman"/>
          <w:sz w:val="24"/>
          <w:szCs w:val="24"/>
        </w:rPr>
        <w:t>”</w:t>
      </w:r>
    </w:p>
    <w:p w:rsidR="007E2E7F" w:rsidRPr="00A06014" w:rsidRDefault="007E2E7F" w:rsidP="009C39C5">
      <w:pPr>
        <w:spacing w:after="0" w:line="240" w:lineRule="auto"/>
        <w:ind w:left="567"/>
        <w:jc w:val="both"/>
        <w:rPr>
          <w:rFonts w:ascii="Times New Roman" w:hAnsi="Times New Roman" w:cs="Times New Roman"/>
          <w:sz w:val="24"/>
          <w:szCs w:val="24"/>
        </w:rPr>
      </w:pPr>
    </w:p>
    <w:p w:rsidR="007E2E7F" w:rsidRPr="00A06014" w:rsidRDefault="007E2E7F" w:rsidP="00A06014">
      <w:pPr>
        <w:spacing w:after="0" w:line="240" w:lineRule="auto"/>
        <w:ind w:left="567"/>
        <w:jc w:val="both"/>
        <w:rPr>
          <w:rFonts w:ascii="Times New Roman" w:hAnsi="Times New Roman" w:cs="Times New Roman"/>
          <w:sz w:val="24"/>
          <w:szCs w:val="24"/>
        </w:rPr>
      </w:pPr>
    </w:p>
    <w:p w:rsidR="00ED4217" w:rsidRPr="00BB1857" w:rsidRDefault="00ED4217" w:rsidP="009C39C5">
      <w:pPr>
        <w:spacing w:after="0"/>
        <w:jc w:val="both"/>
        <w:rPr>
          <w:rFonts w:ascii="Times New Roman" w:hAnsi="Times New Roman" w:cs="Times New Roman"/>
          <w:sz w:val="16"/>
          <w:szCs w:val="16"/>
        </w:rPr>
      </w:pPr>
    </w:p>
    <w:p w:rsidR="00730601" w:rsidRPr="00A06014" w:rsidRDefault="007E2E7F" w:rsidP="00A06014">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ED4217" w:rsidRPr="00A06014">
        <w:rPr>
          <w:rFonts w:ascii="Times New Roman" w:hAnsi="Times New Roman" w:cs="Times New Roman"/>
          <w:sz w:val="24"/>
          <w:szCs w:val="24"/>
        </w:rPr>
        <w:t>In assessing the basic needs of the employees the arbitrator accepted and took into account that it was common cause that rentals in the high density suburbs were pegged at US$60 to US$80</w:t>
      </w:r>
      <w:r w:rsidR="00365661">
        <w:rPr>
          <w:rFonts w:ascii="Times New Roman" w:hAnsi="Times New Roman" w:cs="Times New Roman"/>
          <w:sz w:val="24"/>
          <w:szCs w:val="24"/>
        </w:rPr>
        <w:t xml:space="preserve"> per month</w:t>
      </w:r>
      <w:r w:rsidR="00ED4217" w:rsidRPr="00A06014">
        <w:rPr>
          <w:rFonts w:ascii="Times New Roman" w:hAnsi="Times New Roman" w:cs="Times New Roman"/>
          <w:sz w:val="24"/>
          <w:szCs w:val="24"/>
        </w:rPr>
        <w:t xml:space="preserve">. </w:t>
      </w:r>
      <w:r w:rsidR="00730601" w:rsidRPr="00A06014">
        <w:rPr>
          <w:rFonts w:ascii="Times New Roman" w:hAnsi="Times New Roman" w:cs="Times New Roman"/>
          <w:sz w:val="24"/>
          <w:szCs w:val="24"/>
        </w:rPr>
        <w:t xml:space="preserve"> </w:t>
      </w:r>
      <w:r w:rsidR="00ED4217" w:rsidRPr="00A06014">
        <w:rPr>
          <w:rFonts w:ascii="Times New Roman" w:hAnsi="Times New Roman" w:cs="Times New Roman"/>
          <w:sz w:val="24"/>
          <w:szCs w:val="24"/>
        </w:rPr>
        <w:t>He also found that it was common cause that groceries amounted to US$100 per</w:t>
      </w:r>
      <w:r w:rsidR="006668A5" w:rsidRPr="00A06014">
        <w:rPr>
          <w:rFonts w:ascii="Times New Roman" w:hAnsi="Times New Roman" w:cs="Times New Roman"/>
          <w:sz w:val="24"/>
          <w:szCs w:val="24"/>
        </w:rPr>
        <w:t xml:space="preserve"> month per person</w:t>
      </w:r>
      <w:r w:rsidR="00ED4217" w:rsidRPr="00A06014">
        <w:rPr>
          <w:rFonts w:ascii="Times New Roman" w:hAnsi="Times New Roman" w:cs="Times New Roman"/>
          <w:sz w:val="24"/>
          <w:szCs w:val="24"/>
        </w:rPr>
        <w:t>.</w:t>
      </w:r>
    </w:p>
    <w:p w:rsidR="00632829" w:rsidRPr="00010FB0" w:rsidRDefault="007E2E7F" w:rsidP="00010FB0">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lastRenderedPageBreak/>
        <w:tab/>
      </w:r>
      <w:r w:rsidR="006E6C91" w:rsidRPr="00A06014">
        <w:rPr>
          <w:rFonts w:ascii="Times New Roman" w:hAnsi="Times New Roman" w:cs="Times New Roman"/>
          <w:sz w:val="24"/>
          <w:szCs w:val="24"/>
        </w:rPr>
        <w:t xml:space="preserve">The arbitrator also took into account the comparative evidence placed before him that </w:t>
      </w:r>
      <w:r w:rsidR="00632829" w:rsidRPr="00A06014">
        <w:rPr>
          <w:rFonts w:ascii="Times New Roman" w:hAnsi="Times New Roman" w:cs="Times New Roman"/>
          <w:sz w:val="24"/>
          <w:szCs w:val="24"/>
        </w:rPr>
        <w:t>employees in related subsectors earned a total of between US$250 to US$281 per month. In conclusion he remarked that:</w:t>
      </w:r>
      <w:r w:rsidR="00632829" w:rsidRPr="00A06014">
        <w:rPr>
          <w:rStyle w:val="FootnoteReference"/>
          <w:rFonts w:ascii="Times New Roman" w:hAnsi="Times New Roman" w:cs="Times New Roman"/>
          <w:sz w:val="24"/>
          <w:szCs w:val="24"/>
        </w:rPr>
        <w:footnoteReference w:id="1"/>
      </w:r>
    </w:p>
    <w:p w:rsidR="00632829" w:rsidRPr="00A06014" w:rsidRDefault="009C39C5" w:rsidP="00CE2E76">
      <w:pPr>
        <w:tabs>
          <w:tab w:val="left" w:pos="1134"/>
        </w:tabs>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 xml:space="preserve">“For the avoidance of doubt, I have taken into consideration the harsh </w:t>
      </w:r>
      <w:r w:rsidR="00902F80" w:rsidRPr="00A06014">
        <w:rPr>
          <w:rFonts w:ascii="Times New Roman" w:hAnsi="Times New Roman" w:cs="Times New Roman"/>
          <w:sz w:val="24"/>
          <w:szCs w:val="24"/>
        </w:rPr>
        <w:t>environment</w:t>
      </w:r>
      <w:r w:rsidR="00632829" w:rsidRPr="00A06014">
        <w:rPr>
          <w:rFonts w:ascii="Times New Roman" w:hAnsi="Times New Roman" w:cs="Times New Roman"/>
          <w:sz w:val="24"/>
          <w:szCs w:val="24"/>
        </w:rPr>
        <w:t xml:space="preserve"> the employees are in and the company… </w:t>
      </w:r>
      <w:r w:rsidRPr="00A06014">
        <w:rPr>
          <w:rFonts w:ascii="Times New Roman" w:hAnsi="Times New Roman" w:cs="Times New Roman"/>
          <w:sz w:val="24"/>
          <w:szCs w:val="24"/>
        </w:rPr>
        <w:t xml:space="preserve">However had the </w:t>
      </w:r>
      <w:r w:rsidR="006668A5" w:rsidRPr="00A06014">
        <w:rPr>
          <w:rFonts w:ascii="Times New Roman" w:hAnsi="Times New Roman" w:cs="Times New Roman"/>
          <w:sz w:val="24"/>
          <w:szCs w:val="24"/>
        </w:rPr>
        <w:t>company been performing, I would have</w:t>
      </w:r>
      <w:r w:rsidR="00866E3D" w:rsidRPr="00A06014">
        <w:rPr>
          <w:rFonts w:ascii="Times New Roman" w:hAnsi="Times New Roman" w:cs="Times New Roman"/>
          <w:sz w:val="24"/>
          <w:szCs w:val="24"/>
        </w:rPr>
        <w:t xml:space="preserve"> awarded</w:t>
      </w:r>
      <w:r w:rsidR="006668A5" w:rsidRPr="00A06014">
        <w:rPr>
          <w:rFonts w:ascii="Times New Roman" w:hAnsi="Times New Roman" w:cs="Times New Roman"/>
          <w:sz w:val="24"/>
          <w:szCs w:val="24"/>
        </w:rPr>
        <w:t xml:space="preserve"> a US$300 basic salary</w:t>
      </w:r>
      <w:r w:rsidR="007E2E7F" w:rsidRPr="00A06014">
        <w:rPr>
          <w:rFonts w:ascii="Times New Roman" w:hAnsi="Times New Roman" w:cs="Times New Roman"/>
          <w:sz w:val="24"/>
          <w:szCs w:val="24"/>
        </w:rPr>
        <w:t xml:space="preserve"> </w:t>
      </w:r>
      <w:r w:rsidR="00866E3D" w:rsidRPr="00A06014">
        <w:rPr>
          <w:rFonts w:ascii="Times New Roman" w:hAnsi="Times New Roman" w:cs="Times New Roman"/>
          <w:sz w:val="24"/>
          <w:szCs w:val="24"/>
        </w:rPr>
        <w:t>increase</w:t>
      </w:r>
      <w:r w:rsidR="006668A5" w:rsidRPr="00A06014">
        <w:rPr>
          <w:rFonts w:ascii="Times New Roman" w:hAnsi="Times New Roman" w:cs="Times New Roman"/>
          <w:sz w:val="24"/>
          <w:szCs w:val="24"/>
        </w:rPr>
        <w:t xml:space="preserve"> </w:t>
      </w:r>
      <w:r w:rsidR="00866E3D" w:rsidRPr="00A06014">
        <w:rPr>
          <w:rFonts w:ascii="Times New Roman" w:hAnsi="Times New Roman" w:cs="Times New Roman"/>
          <w:sz w:val="24"/>
          <w:szCs w:val="24"/>
        </w:rPr>
        <w:t xml:space="preserve">and </w:t>
      </w:r>
      <w:r w:rsidR="006668A5" w:rsidRPr="00A06014">
        <w:rPr>
          <w:rFonts w:ascii="Times New Roman" w:hAnsi="Times New Roman" w:cs="Times New Roman"/>
          <w:sz w:val="24"/>
          <w:szCs w:val="24"/>
        </w:rPr>
        <w:t xml:space="preserve">housing allowance of over US$100 but that would be to </w:t>
      </w:r>
      <w:r w:rsidR="00866E3D" w:rsidRPr="00A06014">
        <w:rPr>
          <w:rFonts w:ascii="Times New Roman" w:hAnsi="Times New Roman" w:cs="Times New Roman"/>
          <w:sz w:val="24"/>
          <w:szCs w:val="24"/>
        </w:rPr>
        <w:t xml:space="preserve">bury the </w:t>
      </w:r>
      <w:r w:rsidR="006668A5" w:rsidRPr="00A06014">
        <w:rPr>
          <w:rFonts w:ascii="Times New Roman" w:hAnsi="Times New Roman" w:cs="Times New Roman"/>
          <w:sz w:val="24"/>
          <w:szCs w:val="24"/>
        </w:rPr>
        <w:t>company.”</w:t>
      </w:r>
    </w:p>
    <w:p w:rsidR="009C39C5" w:rsidRPr="00A06014" w:rsidRDefault="009C39C5" w:rsidP="009C39C5">
      <w:pPr>
        <w:spacing w:after="0" w:line="240" w:lineRule="auto"/>
        <w:ind w:left="567"/>
        <w:jc w:val="both"/>
        <w:rPr>
          <w:rFonts w:ascii="Times New Roman" w:hAnsi="Times New Roman" w:cs="Times New Roman"/>
          <w:sz w:val="24"/>
          <w:szCs w:val="24"/>
        </w:rPr>
      </w:pPr>
    </w:p>
    <w:p w:rsidR="006E6C91" w:rsidRDefault="00955CE0" w:rsidP="009C39C5">
      <w:pPr>
        <w:spacing w:after="0"/>
        <w:jc w:val="both"/>
        <w:rPr>
          <w:rFonts w:ascii="Times New Roman" w:hAnsi="Times New Roman" w:cs="Times New Roman"/>
          <w:sz w:val="24"/>
          <w:szCs w:val="24"/>
        </w:rPr>
      </w:pPr>
      <w:r w:rsidRPr="00A06014">
        <w:rPr>
          <w:rFonts w:ascii="Times New Roman" w:hAnsi="Times New Roman" w:cs="Times New Roman"/>
          <w:sz w:val="24"/>
          <w:szCs w:val="24"/>
        </w:rPr>
        <w:t xml:space="preserve"> </w:t>
      </w:r>
    </w:p>
    <w:p w:rsidR="00010FB0" w:rsidRPr="00BB1857" w:rsidRDefault="00010FB0" w:rsidP="009C39C5">
      <w:pPr>
        <w:spacing w:after="0"/>
        <w:jc w:val="both"/>
        <w:rPr>
          <w:rFonts w:ascii="Times New Roman" w:hAnsi="Times New Roman" w:cs="Times New Roman"/>
          <w:sz w:val="16"/>
          <w:szCs w:val="16"/>
        </w:rPr>
      </w:pPr>
    </w:p>
    <w:p w:rsidR="00730601" w:rsidRPr="00A06014" w:rsidRDefault="009C39C5" w:rsidP="009C39C5">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902F80" w:rsidRPr="00A06014">
        <w:rPr>
          <w:rFonts w:ascii="Times New Roman" w:hAnsi="Times New Roman" w:cs="Times New Roman"/>
          <w:sz w:val="24"/>
          <w:szCs w:val="24"/>
        </w:rPr>
        <w:t xml:space="preserve">Aggrieved by the arbitrator’s award, the appellant appealed to the court </w:t>
      </w:r>
      <w:r w:rsidR="00902F80" w:rsidRPr="00A06014">
        <w:rPr>
          <w:rFonts w:ascii="Times New Roman" w:hAnsi="Times New Roman" w:cs="Times New Roman"/>
          <w:i/>
          <w:sz w:val="24"/>
          <w:szCs w:val="24"/>
        </w:rPr>
        <w:t>a</w:t>
      </w:r>
      <w:r w:rsidR="00730601" w:rsidRPr="00A06014">
        <w:rPr>
          <w:rFonts w:ascii="Times New Roman" w:hAnsi="Times New Roman" w:cs="Times New Roman"/>
          <w:i/>
          <w:sz w:val="24"/>
          <w:szCs w:val="24"/>
        </w:rPr>
        <w:t xml:space="preserve"> </w:t>
      </w:r>
      <w:r w:rsidR="00902F80" w:rsidRPr="00A06014">
        <w:rPr>
          <w:rFonts w:ascii="Times New Roman" w:hAnsi="Times New Roman" w:cs="Times New Roman"/>
          <w:i/>
          <w:sz w:val="24"/>
          <w:szCs w:val="24"/>
        </w:rPr>
        <w:t xml:space="preserve">quo </w:t>
      </w:r>
      <w:r w:rsidR="00902F80" w:rsidRPr="00A06014">
        <w:rPr>
          <w:rFonts w:ascii="Times New Roman" w:hAnsi="Times New Roman" w:cs="Times New Roman"/>
          <w:sz w:val="24"/>
          <w:szCs w:val="24"/>
        </w:rPr>
        <w:t>with partial success.</w:t>
      </w:r>
      <w:r w:rsidR="00CB1CE5" w:rsidRPr="00A06014">
        <w:rPr>
          <w:rFonts w:ascii="Times New Roman" w:hAnsi="Times New Roman" w:cs="Times New Roman"/>
          <w:sz w:val="24"/>
          <w:szCs w:val="24"/>
        </w:rPr>
        <w:t xml:space="preserve"> </w:t>
      </w:r>
      <w:r w:rsidR="002D4278" w:rsidRPr="00A06014">
        <w:rPr>
          <w:rFonts w:ascii="Times New Roman" w:hAnsi="Times New Roman" w:cs="Times New Roman"/>
          <w:sz w:val="24"/>
          <w:szCs w:val="24"/>
        </w:rPr>
        <w:t xml:space="preserve"> </w:t>
      </w:r>
      <w:r w:rsidR="00CB1CE5" w:rsidRPr="00A06014">
        <w:rPr>
          <w:rFonts w:ascii="Times New Roman" w:hAnsi="Times New Roman" w:cs="Times New Roman"/>
          <w:sz w:val="24"/>
          <w:szCs w:val="24"/>
        </w:rPr>
        <w:t>Its complaints were</w:t>
      </w:r>
      <w:r w:rsidR="00902F80" w:rsidRPr="00A06014">
        <w:rPr>
          <w:rFonts w:ascii="Times New Roman" w:hAnsi="Times New Roman" w:cs="Times New Roman"/>
          <w:sz w:val="24"/>
          <w:szCs w:val="24"/>
        </w:rPr>
        <w:t xml:space="preserve"> that the arbitrator erred in </w:t>
      </w:r>
      <w:r w:rsidR="00CB1CE5" w:rsidRPr="00A06014">
        <w:rPr>
          <w:rFonts w:ascii="Times New Roman" w:hAnsi="Times New Roman" w:cs="Times New Roman"/>
          <w:sz w:val="24"/>
          <w:szCs w:val="24"/>
        </w:rPr>
        <w:t xml:space="preserve">relying on financial </w:t>
      </w:r>
      <w:r w:rsidR="007E21F5" w:rsidRPr="00A06014">
        <w:rPr>
          <w:rFonts w:ascii="Times New Roman" w:hAnsi="Times New Roman" w:cs="Times New Roman"/>
          <w:sz w:val="24"/>
          <w:szCs w:val="24"/>
        </w:rPr>
        <w:t xml:space="preserve">statements </w:t>
      </w:r>
      <w:r w:rsidR="00CB1CE5" w:rsidRPr="00A06014">
        <w:rPr>
          <w:rFonts w:ascii="Times New Roman" w:hAnsi="Times New Roman" w:cs="Times New Roman"/>
          <w:sz w:val="24"/>
          <w:szCs w:val="24"/>
        </w:rPr>
        <w:t>of the entire group of companies instead of only on those of Gold Star.</w:t>
      </w:r>
      <w:r w:rsidR="007E21F5" w:rsidRPr="00A06014">
        <w:rPr>
          <w:rFonts w:ascii="Times New Roman" w:hAnsi="Times New Roman" w:cs="Times New Roman"/>
          <w:sz w:val="24"/>
          <w:szCs w:val="24"/>
        </w:rPr>
        <w:t xml:space="preserve"> </w:t>
      </w:r>
      <w:r w:rsidR="002D4278" w:rsidRPr="00A06014">
        <w:rPr>
          <w:rFonts w:ascii="Times New Roman" w:hAnsi="Times New Roman" w:cs="Times New Roman"/>
          <w:sz w:val="24"/>
          <w:szCs w:val="24"/>
        </w:rPr>
        <w:t xml:space="preserve"> </w:t>
      </w:r>
      <w:r w:rsidR="007E21F5" w:rsidRPr="00A06014">
        <w:rPr>
          <w:rFonts w:ascii="Times New Roman" w:hAnsi="Times New Roman" w:cs="Times New Roman"/>
          <w:sz w:val="24"/>
          <w:szCs w:val="24"/>
        </w:rPr>
        <w:t>It further complained that the arbitrator awarded the employees an increase in housing allowance which they had not asked for.</w:t>
      </w:r>
    </w:p>
    <w:p w:rsidR="007E21F5" w:rsidRPr="00BB1857" w:rsidRDefault="007E21F5" w:rsidP="00730601">
      <w:pPr>
        <w:spacing w:after="0" w:line="240" w:lineRule="auto"/>
        <w:jc w:val="both"/>
        <w:rPr>
          <w:rFonts w:ascii="Times New Roman" w:hAnsi="Times New Roman" w:cs="Times New Roman"/>
          <w:sz w:val="16"/>
          <w:szCs w:val="16"/>
        </w:rPr>
      </w:pPr>
    </w:p>
    <w:p w:rsidR="00010FB0" w:rsidRPr="00A06014" w:rsidRDefault="00010FB0" w:rsidP="00730601">
      <w:pPr>
        <w:spacing w:after="0" w:line="240" w:lineRule="auto"/>
        <w:jc w:val="both"/>
        <w:rPr>
          <w:rFonts w:ascii="Times New Roman" w:hAnsi="Times New Roman" w:cs="Times New Roman"/>
          <w:sz w:val="24"/>
          <w:szCs w:val="24"/>
        </w:rPr>
      </w:pPr>
    </w:p>
    <w:p w:rsidR="007E21F5" w:rsidRPr="00A06014" w:rsidRDefault="009C39C5" w:rsidP="009C39C5">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7E21F5" w:rsidRPr="00A06014">
        <w:rPr>
          <w:rFonts w:ascii="Times New Roman" w:hAnsi="Times New Roman" w:cs="Times New Roman"/>
          <w:sz w:val="24"/>
          <w:szCs w:val="24"/>
        </w:rPr>
        <w:t xml:space="preserve">The court </w:t>
      </w:r>
      <w:r w:rsidR="007E21F5" w:rsidRPr="00A06014">
        <w:rPr>
          <w:rFonts w:ascii="Times New Roman" w:hAnsi="Times New Roman" w:cs="Times New Roman"/>
          <w:i/>
          <w:sz w:val="24"/>
          <w:szCs w:val="24"/>
        </w:rPr>
        <w:t>a quo</w:t>
      </w:r>
      <w:r w:rsidR="007E21F5" w:rsidRPr="00A06014">
        <w:rPr>
          <w:rFonts w:ascii="Times New Roman" w:hAnsi="Times New Roman" w:cs="Times New Roman"/>
          <w:sz w:val="24"/>
          <w:szCs w:val="24"/>
        </w:rPr>
        <w:t xml:space="preserve"> upheld the appellant’s complaint that the arbitrator had </w:t>
      </w:r>
      <w:r w:rsidR="00086885" w:rsidRPr="00A06014">
        <w:rPr>
          <w:rFonts w:ascii="Times New Roman" w:hAnsi="Times New Roman" w:cs="Times New Roman"/>
          <w:sz w:val="24"/>
          <w:szCs w:val="24"/>
        </w:rPr>
        <w:t xml:space="preserve">misdirected himself in awarding an increase in housing allowances which no one had asked for. </w:t>
      </w:r>
      <w:r w:rsidR="002D4278" w:rsidRPr="00A06014">
        <w:rPr>
          <w:rFonts w:ascii="Times New Roman" w:hAnsi="Times New Roman" w:cs="Times New Roman"/>
          <w:sz w:val="24"/>
          <w:szCs w:val="24"/>
        </w:rPr>
        <w:t xml:space="preserve"> </w:t>
      </w:r>
      <w:r w:rsidR="00086885" w:rsidRPr="00A06014">
        <w:rPr>
          <w:rFonts w:ascii="Times New Roman" w:hAnsi="Times New Roman" w:cs="Times New Roman"/>
          <w:sz w:val="24"/>
          <w:szCs w:val="24"/>
        </w:rPr>
        <w:t>It however dismissed the appellant’s appeal against the award on wage increases of 11</w:t>
      </w:r>
      <w:r w:rsidRPr="00A06014">
        <w:rPr>
          <w:rFonts w:ascii="Times New Roman" w:hAnsi="Times New Roman" w:cs="Times New Roman"/>
          <w:sz w:val="24"/>
          <w:szCs w:val="24"/>
        </w:rPr>
        <w:t xml:space="preserve"> </w:t>
      </w:r>
      <w:r w:rsidR="003A6CF0" w:rsidRPr="00A06014">
        <w:rPr>
          <w:rFonts w:ascii="Times New Roman" w:hAnsi="Times New Roman" w:cs="Times New Roman"/>
          <w:sz w:val="24"/>
          <w:szCs w:val="24"/>
        </w:rPr>
        <w:t>percent</w:t>
      </w:r>
      <w:r w:rsidR="00086885" w:rsidRPr="00A06014">
        <w:rPr>
          <w:rFonts w:ascii="Times New Roman" w:hAnsi="Times New Roman" w:cs="Times New Roman"/>
          <w:sz w:val="24"/>
          <w:szCs w:val="24"/>
        </w:rPr>
        <w:t>.</w:t>
      </w:r>
    </w:p>
    <w:p w:rsidR="00086885" w:rsidRPr="00BB1857" w:rsidRDefault="00086885" w:rsidP="009C39C5">
      <w:pPr>
        <w:spacing w:after="0"/>
        <w:jc w:val="both"/>
        <w:rPr>
          <w:rFonts w:ascii="Times New Roman" w:hAnsi="Times New Roman" w:cs="Times New Roman"/>
          <w:sz w:val="16"/>
          <w:szCs w:val="16"/>
        </w:rPr>
      </w:pPr>
    </w:p>
    <w:p w:rsidR="00010FB0" w:rsidRPr="00010FB0" w:rsidRDefault="00010FB0" w:rsidP="00010FB0">
      <w:pPr>
        <w:spacing w:after="0"/>
        <w:jc w:val="both"/>
        <w:rPr>
          <w:rFonts w:ascii="Times New Roman" w:hAnsi="Times New Roman" w:cs="Times New Roman"/>
          <w:sz w:val="16"/>
          <w:szCs w:val="16"/>
        </w:rPr>
      </w:pPr>
    </w:p>
    <w:p w:rsidR="00086885" w:rsidRPr="00A06014" w:rsidRDefault="009C39C5" w:rsidP="009C39C5">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086885" w:rsidRPr="00A06014">
        <w:rPr>
          <w:rFonts w:ascii="Times New Roman" w:hAnsi="Times New Roman" w:cs="Times New Roman"/>
          <w:sz w:val="24"/>
          <w:szCs w:val="24"/>
        </w:rPr>
        <w:t>The appellant’s grounds of appeal raise a single i</w:t>
      </w:r>
      <w:r w:rsidR="008160D2" w:rsidRPr="00A06014">
        <w:rPr>
          <w:rFonts w:ascii="Times New Roman" w:hAnsi="Times New Roman" w:cs="Times New Roman"/>
          <w:sz w:val="24"/>
          <w:szCs w:val="24"/>
        </w:rPr>
        <w:t>ssue for determination by this C</w:t>
      </w:r>
      <w:r w:rsidR="00086885" w:rsidRPr="00A06014">
        <w:rPr>
          <w:rFonts w:ascii="Times New Roman" w:hAnsi="Times New Roman" w:cs="Times New Roman"/>
          <w:sz w:val="24"/>
          <w:szCs w:val="24"/>
        </w:rPr>
        <w:t xml:space="preserve">ourt. </w:t>
      </w:r>
      <w:r w:rsidR="002D4278" w:rsidRPr="00A06014">
        <w:rPr>
          <w:rFonts w:ascii="Times New Roman" w:hAnsi="Times New Roman" w:cs="Times New Roman"/>
          <w:sz w:val="24"/>
          <w:szCs w:val="24"/>
        </w:rPr>
        <w:t xml:space="preserve"> </w:t>
      </w:r>
      <w:r w:rsidR="00086885" w:rsidRPr="00A06014">
        <w:rPr>
          <w:rFonts w:ascii="Times New Roman" w:hAnsi="Times New Roman" w:cs="Times New Roman"/>
          <w:sz w:val="24"/>
          <w:szCs w:val="24"/>
        </w:rPr>
        <w:t xml:space="preserve">The sole issue for determination is whether or not the court </w:t>
      </w:r>
      <w:r w:rsidR="00086885" w:rsidRPr="00A06014">
        <w:rPr>
          <w:rFonts w:ascii="Times New Roman" w:hAnsi="Times New Roman" w:cs="Times New Roman"/>
          <w:i/>
          <w:sz w:val="24"/>
          <w:szCs w:val="24"/>
        </w:rPr>
        <w:t>a quo</w:t>
      </w:r>
      <w:r w:rsidR="00086885" w:rsidRPr="00A06014">
        <w:rPr>
          <w:rFonts w:ascii="Times New Roman" w:hAnsi="Times New Roman" w:cs="Times New Roman"/>
          <w:sz w:val="24"/>
          <w:szCs w:val="24"/>
        </w:rPr>
        <w:t xml:space="preserve"> erred in upholding part of the award </w:t>
      </w:r>
      <w:r w:rsidR="0075501C" w:rsidRPr="00A06014">
        <w:rPr>
          <w:rFonts w:ascii="Times New Roman" w:hAnsi="Times New Roman" w:cs="Times New Roman"/>
          <w:sz w:val="24"/>
          <w:szCs w:val="24"/>
        </w:rPr>
        <w:t>granting the</w:t>
      </w:r>
      <w:r w:rsidR="00086885" w:rsidRPr="00A06014">
        <w:rPr>
          <w:rFonts w:ascii="Times New Roman" w:hAnsi="Times New Roman" w:cs="Times New Roman"/>
          <w:sz w:val="24"/>
          <w:szCs w:val="24"/>
        </w:rPr>
        <w:t xml:space="preserve"> employees an 11</w:t>
      </w:r>
      <w:r w:rsidR="008160D2" w:rsidRPr="00A06014">
        <w:rPr>
          <w:rFonts w:ascii="Times New Roman" w:hAnsi="Times New Roman" w:cs="Times New Roman"/>
          <w:sz w:val="24"/>
          <w:szCs w:val="24"/>
        </w:rPr>
        <w:t> </w:t>
      </w:r>
      <w:r w:rsidR="003A6CF0" w:rsidRPr="00A06014">
        <w:rPr>
          <w:rFonts w:ascii="Times New Roman" w:hAnsi="Times New Roman" w:cs="Times New Roman"/>
          <w:sz w:val="24"/>
          <w:szCs w:val="24"/>
        </w:rPr>
        <w:t>percent</w:t>
      </w:r>
      <w:r w:rsidR="00086885" w:rsidRPr="00A06014">
        <w:rPr>
          <w:rFonts w:ascii="Times New Roman" w:hAnsi="Times New Roman" w:cs="Times New Roman"/>
          <w:sz w:val="24"/>
          <w:szCs w:val="24"/>
        </w:rPr>
        <w:t xml:space="preserve"> salary increase.</w:t>
      </w:r>
    </w:p>
    <w:p w:rsidR="00DF6AEC" w:rsidRPr="00010FB0" w:rsidRDefault="00DF6AEC" w:rsidP="009C39C5">
      <w:pPr>
        <w:spacing w:after="0"/>
        <w:jc w:val="both"/>
        <w:rPr>
          <w:rFonts w:ascii="Times New Roman" w:hAnsi="Times New Roman" w:cs="Times New Roman"/>
          <w:b/>
          <w:sz w:val="16"/>
          <w:szCs w:val="16"/>
        </w:rPr>
      </w:pPr>
    </w:p>
    <w:p w:rsidR="00010FB0" w:rsidRPr="00A06014" w:rsidRDefault="00010FB0" w:rsidP="009C39C5">
      <w:pPr>
        <w:spacing w:after="0"/>
        <w:jc w:val="both"/>
        <w:rPr>
          <w:rFonts w:ascii="Times New Roman" w:hAnsi="Times New Roman" w:cs="Times New Roman"/>
          <w:b/>
          <w:sz w:val="24"/>
          <w:szCs w:val="24"/>
        </w:rPr>
      </w:pPr>
    </w:p>
    <w:p w:rsidR="00DF6AEC" w:rsidRPr="00A06014" w:rsidRDefault="009C39C5" w:rsidP="009C39C5">
      <w:pPr>
        <w:spacing w:after="0"/>
        <w:jc w:val="both"/>
        <w:rPr>
          <w:rFonts w:ascii="Times New Roman" w:hAnsi="Times New Roman" w:cs="Times New Roman"/>
          <w:b/>
          <w:sz w:val="24"/>
          <w:szCs w:val="24"/>
        </w:rPr>
      </w:pPr>
      <w:r w:rsidRPr="00A06014">
        <w:rPr>
          <w:rFonts w:ascii="Times New Roman" w:hAnsi="Times New Roman" w:cs="Times New Roman"/>
          <w:b/>
          <w:sz w:val="24"/>
          <w:szCs w:val="24"/>
        </w:rPr>
        <w:t>ANALYSIS OF THE FACTS AND THE LAW.</w:t>
      </w:r>
    </w:p>
    <w:p w:rsidR="00DF6AEC" w:rsidRPr="00A06014" w:rsidRDefault="00DF6AEC" w:rsidP="009C39C5">
      <w:pPr>
        <w:spacing w:after="0"/>
        <w:jc w:val="both"/>
        <w:rPr>
          <w:rFonts w:ascii="Times New Roman" w:hAnsi="Times New Roman" w:cs="Times New Roman"/>
          <w:sz w:val="24"/>
          <w:szCs w:val="24"/>
        </w:rPr>
      </w:pPr>
    </w:p>
    <w:p w:rsidR="00DF6AEC" w:rsidRPr="00A06014" w:rsidRDefault="009C39C5" w:rsidP="009C39C5">
      <w:pPr>
        <w:tabs>
          <w:tab w:val="left" w:pos="1134"/>
        </w:tabs>
        <w:spacing w:after="0" w:line="480" w:lineRule="auto"/>
        <w:ind w:firstLine="720"/>
        <w:jc w:val="both"/>
        <w:rPr>
          <w:rFonts w:ascii="Times New Roman" w:hAnsi="Times New Roman" w:cs="Times New Roman"/>
          <w:sz w:val="24"/>
          <w:szCs w:val="24"/>
        </w:rPr>
      </w:pPr>
      <w:r w:rsidRPr="00A06014">
        <w:rPr>
          <w:rFonts w:ascii="Times New Roman" w:hAnsi="Times New Roman" w:cs="Times New Roman"/>
          <w:sz w:val="24"/>
          <w:szCs w:val="24"/>
        </w:rPr>
        <w:tab/>
      </w:r>
      <w:r w:rsidR="00DF6AEC" w:rsidRPr="00A06014">
        <w:rPr>
          <w:rFonts w:ascii="Times New Roman" w:hAnsi="Times New Roman" w:cs="Times New Roman"/>
          <w:sz w:val="24"/>
          <w:szCs w:val="24"/>
        </w:rPr>
        <w:t xml:space="preserve">Whether or not the court </w:t>
      </w:r>
      <w:r w:rsidR="00DF6AEC" w:rsidRPr="00A06014">
        <w:rPr>
          <w:rFonts w:ascii="Times New Roman" w:hAnsi="Times New Roman" w:cs="Times New Roman"/>
          <w:i/>
          <w:sz w:val="24"/>
          <w:szCs w:val="24"/>
        </w:rPr>
        <w:t>a quo</w:t>
      </w:r>
      <w:r w:rsidR="00DF6AEC" w:rsidRPr="00A06014">
        <w:rPr>
          <w:rFonts w:ascii="Times New Roman" w:hAnsi="Times New Roman" w:cs="Times New Roman"/>
          <w:sz w:val="24"/>
          <w:szCs w:val="24"/>
        </w:rPr>
        <w:t xml:space="preserve"> erred in upholding the arbitrator’s award of an 11</w:t>
      </w:r>
      <w:r w:rsidR="00A06014">
        <w:rPr>
          <w:rFonts w:ascii="Times New Roman" w:hAnsi="Times New Roman" w:cs="Times New Roman"/>
          <w:sz w:val="24"/>
          <w:szCs w:val="24"/>
        </w:rPr>
        <w:t> </w:t>
      </w:r>
      <w:r w:rsidR="003A6CF0" w:rsidRPr="00A06014">
        <w:rPr>
          <w:rFonts w:ascii="Times New Roman" w:hAnsi="Times New Roman" w:cs="Times New Roman"/>
          <w:sz w:val="24"/>
          <w:szCs w:val="24"/>
        </w:rPr>
        <w:t>percent</w:t>
      </w:r>
      <w:r w:rsidR="00DF6AEC" w:rsidRPr="00A06014">
        <w:rPr>
          <w:rFonts w:ascii="Times New Roman" w:hAnsi="Times New Roman" w:cs="Times New Roman"/>
          <w:sz w:val="24"/>
          <w:szCs w:val="24"/>
        </w:rPr>
        <w:t xml:space="preserve"> wage increase is a question of fact. </w:t>
      </w:r>
      <w:r w:rsidR="002D4278" w:rsidRPr="00A06014">
        <w:rPr>
          <w:rFonts w:ascii="Times New Roman" w:hAnsi="Times New Roman" w:cs="Times New Roman"/>
          <w:sz w:val="24"/>
          <w:szCs w:val="24"/>
        </w:rPr>
        <w:t xml:space="preserve"> </w:t>
      </w:r>
      <w:r w:rsidR="00DF6AEC" w:rsidRPr="00A06014">
        <w:rPr>
          <w:rFonts w:ascii="Times New Roman" w:hAnsi="Times New Roman" w:cs="Times New Roman"/>
          <w:sz w:val="24"/>
          <w:szCs w:val="24"/>
        </w:rPr>
        <w:t xml:space="preserve">It is trite and a matter of elementary law that </w:t>
      </w:r>
      <w:r w:rsidR="005E517E" w:rsidRPr="00A06014">
        <w:rPr>
          <w:rFonts w:ascii="Times New Roman" w:hAnsi="Times New Roman" w:cs="Times New Roman"/>
          <w:sz w:val="24"/>
          <w:szCs w:val="24"/>
        </w:rPr>
        <w:t>for the appellant to succeed it must pr</w:t>
      </w:r>
      <w:r w:rsidR="00955CE0" w:rsidRPr="00A06014">
        <w:rPr>
          <w:rFonts w:ascii="Times New Roman" w:hAnsi="Times New Roman" w:cs="Times New Roman"/>
          <w:sz w:val="24"/>
          <w:szCs w:val="24"/>
        </w:rPr>
        <w:t xml:space="preserve">ove on a balance of probabilities </w:t>
      </w:r>
      <w:r w:rsidR="005E517E" w:rsidRPr="00A06014">
        <w:rPr>
          <w:rFonts w:ascii="Times New Roman" w:hAnsi="Times New Roman" w:cs="Times New Roman"/>
          <w:sz w:val="24"/>
          <w:szCs w:val="24"/>
        </w:rPr>
        <w:t xml:space="preserve">that the award was so </w:t>
      </w:r>
      <w:r w:rsidR="005E517E" w:rsidRPr="00A06014">
        <w:rPr>
          <w:rFonts w:ascii="Times New Roman" w:hAnsi="Times New Roman" w:cs="Times New Roman"/>
          <w:sz w:val="24"/>
          <w:szCs w:val="24"/>
        </w:rPr>
        <w:lastRenderedPageBreak/>
        <w:t xml:space="preserve">irrational in its defiance of logic such that no arbitrator properly exercising </w:t>
      </w:r>
      <w:r w:rsidR="004C0ACB">
        <w:rPr>
          <w:rFonts w:ascii="Times New Roman" w:hAnsi="Times New Roman" w:cs="Times New Roman"/>
          <w:sz w:val="24"/>
          <w:szCs w:val="24"/>
        </w:rPr>
        <w:t>his or her</w:t>
      </w:r>
      <w:r w:rsidR="005E517E" w:rsidRPr="00A06014">
        <w:rPr>
          <w:rFonts w:ascii="Times New Roman" w:hAnsi="Times New Roman" w:cs="Times New Roman"/>
          <w:sz w:val="24"/>
          <w:szCs w:val="24"/>
        </w:rPr>
        <w:t xml:space="preserve"> discretion would have made such an award. </w:t>
      </w:r>
      <w:r w:rsidR="002D4278" w:rsidRPr="00A06014">
        <w:rPr>
          <w:rFonts w:ascii="Times New Roman" w:hAnsi="Times New Roman" w:cs="Times New Roman"/>
          <w:sz w:val="24"/>
          <w:szCs w:val="24"/>
        </w:rPr>
        <w:t xml:space="preserve"> </w:t>
      </w:r>
      <w:r w:rsidR="005E517E" w:rsidRPr="00A06014">
        <w:rPr>
          <w:rFonts w:ascii="Times New Roman" w:hAnsi="Times New Roman" w:cs="Times New Roman"/>
          <w:sz w:val="24"/>
          <w:szCs w:val="24"/>
        </w:rPr>
        <w:t xml:space="preserve">See </w:t>
      </w:r>
      <w:r w:rsidR="005E517E" w:rsidRPr="00A06014">
        <w:rPr>
          <w:rFonts w:ascii="Times New Roman" w:hAnsi="Times New Roman" w:cs="Times New Roman"/>
          <w:i/>
          <w:sz w:val="24"/>
          <w:szCs w:val="24"/>
        </w:rPr>
        <w:t>Hama v National Railways of Zimbabwe</w:t>
      </w:r>
      <w:r w:rsidR="005E517E" w:rsidRPr="00A06014">
        <w:rPr>
          <w:rStyle w:val="FootnoteReference"/>
          <w:rFonts w:ascii="Times New Roman" w:hAnsi="Times New Roman" w:cs="Times New Roman"/>
          <w:i/>
          <w:sz w:val="24"/>
          <w:szCs w:val="24"/>
        </w:rPr>
        <w:footnoteReference w:id="2"/>
      </w:r>
      <w:r w:rsidR="005E517E" w:rsidRPr="00A06014">
        <w:rPr>
          <w:rFonts w:ascii="Times New Roman" w:hAnsi="Times New Roman" w:cs="Times New Roman"/>
          <w:i/>
          <w:sz w:val="24"/>
          <w:szCs w:val="24"/>
        </w:rPr>
        <w:t xml:space="preserve"> </w:t>
      </w:r>
      <w:r w:rsidR="005E517E" w:rsidRPr="00A06014">
        <w:rPr>
          <w:rFonts w:ascii="Times New Roman" w:hAnsi="Times New Roman" w:cs="Times New Roman"/>
          <w:sz w:val="24"/>
          <w:szCs w:val="24"/>
        </w:rPr>
        <w:t xml:space="preserve">and </w:t>
      </w:r>
      <w:r w:rsidR="005E517E" w:rsidRPr="00A06014">
        <w:rPr>
          <w:rFonts w:ascii="Times New Roman" w:hAnsi="Times New Roman" w:cs="Times New Roman"/>
          <w:i/>
          <w:sz w:val="24"/>
          <w:szCs w:val="24"/>
        </w:rPr>
        <w:t>Sable</w:t>
      </w:r>
      <w:r w:rsidR="005E517E" w:rsidRPr="00A06014">
        <w:rPr>
          <w:rFonts w:ascii="Times New Roman" w:hAnsi="Times New Roman" w:cs="Times New Roman"/>
          <w:sz w:val="24"/>
          <w:szCs w:val="24"/>
        </w:rPr>
        <w:t xml:space="preserve"> </w:t>
      </w:r>
      <w:r w:rsidR="005E517E" w:rsidRPr="00A06014">
        <w:rPr>
          <w:rFonts w:ascii="Times New Roman" w:hAnsi="Times New Roman" w:cs="Times New Roman"/>
          <w:i/>
          <w:sz w:val="24"/>
          <w:szCs w:val="24"/>
        </w:rPr>
        <w:t xml:space="preserve">Chemical Industries Ltd </w:t>
      </w:r>
      <w:r w:rsidR="00335F1B" w:rsidRPr="00A06014">
        <w:rPr>
          <w:rFonts w:ascii="Times New Roman" w:hAnsi="Times New Roman" w:cs="Times New Roman"/>
          <w:i/>
          <w:sz w:val="24"/>
          <w:szCs w:val="24"/>
        </w:rPr>
        <w:t>v</w:t>
      </w:r>
      <w:r w:rsidR="00335F1B" w:rsidRPr="00A06014">
        <w:rPr>
          <w:rFonts w:ascii="Times New Roman" w:hAnsi="Times New Roman" w:cs="Times New Roman"/>
          <w:sz w:val="24"/>
          <w:szCs w:val="24"/>
        </w:rPr>
        <w:t xml:space="preserve"> </w:t>
      </w:r>
      <w:r w:rsidR="00335F1B" w:rsidRPr="00451D62">
        <w:rPr>
          <w:rFonts w:ascii="Times New Roman" w:hAnsi="Times New Roman" w:cs="Times New Roman"/>
          <w:i/>
          <w:sz w:val="24"/>
          <w:szCs w:val="24"/>
        </w:rPr>
        <w:t>Easterbrook</w:t>
      </w:r>
      <w:r w:rsidR="005E517E" w:rsidRPr="00A06014">
        <w:rPr>
          <w:rStyle w:val="FootnoteReference"/>
          <w:rFonts w:ascii="Times New Roman" w:hAnsi="Times New Roman" w:cs="Times New Roman"/>
          <w:sz w:val="24"/>
          <w:szCs w:val="24"/>
        </w:rPr>
        <w:footnoteReference w:id="3"/>
      </w:r>
      <w:r w:rsidR="00A60765">
        <w:rPr>
          <w:rFonts w:ascii="Times New Roman" w:hAnsi="Times New Roman" w:cs="Times New Roman"/>
          <w:i/>
          <w:sz w:val="24"/>
          <w:szCs w:val="24"/>
        </w:rPr>
        <w:t>.</w:t>
      </w:r>
    </w:p>
    <w:p w:rsidR="00895CF1" w:rsidRPr="00010FB0" w:rsidRDefault="00895CF1" w:rsidP="009C39C5">
      <w:pPr>
        <w:spacing w:after="0"/>
        <w:jc w:val="both"/>
        <w:rPr>
          <w:rFonts w:ascii="Times New Roman" w:hAnsi="Times New Roman" w:cs="Times New Roman"/>
          <w:sz w:val="16"/>
          <w:szCs w:val="16"/>
        </w:rPr>
      </w:pPr>
    </w:p>
    <w:p w:rsidR="00010FB0" w:rsidRPr="00A06014" w:rsidRDefault="00010FB0" w:rsidP="009C39C5">
      <w:pPr>
        <w:spacing w:after="0"/>
        <w:jc w:val="both"/>
        <w:rPr>
          <w:rFonts w:ascii="Times New Roman" w:hAnsi="Times New Roman" w:cs="Times New Roman"/>
          <w:sz w:val="24"/>
          <w:szCs w:val="24"/>
        </w:rPr>
      </w:pPr>
    </w:p>
    <w:p w:rsidR="00895CF1" w:rsidRPr="00A06014" w:rsidRDefault="009C39C5" w:rsidP="009C39C5">
      <w:pPr>
        <w:spacing w:after="0"/>
        <w:jc w:val="both"/>
        <w:rPr>
          <w:rFonts w:ascii="Times New Roman" w:hAnsi="Times New Roman" w:cs="Times New Roman"/>
          <w:b/>
          <w:sz w:val="24"/>
          <w:szCs w:val="24"/>
        </w:rPr>
      </w:pPr>
      <w:r w:rsidRPr="00A06014">
        <w:rPr>
          <w:rFonts w:ascii="Times New Roman" w:hAnsi="Times New Roman" w:cs="Times New Roman"/>
          <w:b/>
          <w:sz w:val="24"/>
          <w:szCs w:val="24"/>
        </w:rPr>
        <w:t>THE LAW</w:t>
      </w:r>
    </w:p>
    <w:p w:rsidR="004954CC" w:rsidRPr="00A06014" w:rsidRDefault="004954CC" w:rsidP="009C39C5">
      <w:pPr>
        <w:spacing w:after="0"/>
        <w:jc w:val="both"/>
        <w:rPr>
          <w:rFonts w:ascii="Times New Roman" w:hAnsi="Times New Roman" w:cs="Times New Roman"/>
          <w:b/>
          <w:sz w:val="24"/>
          <w:szCs w:val="24"/>
        </w:rPr>
      </w:pPr>
    </w:p>
    <w:p w:rsidR="00CD1624" w:rsidRPr="00010FB0" w:rsidRDefault="009C39C5" w:rsidP="00010FB0">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4954CC" w:rsidRPr="00A06014">
        <w:rPr>
          <w:rFonts w:ascii="Times New Roman" w:hAnsi="Times New Roman" w:cs="Times New Roman"/>
          <w:sz w:val="24"/>
          <w:szCs w:val="24"/>
        </w:rPr>
        <w:t xml:space="preserve">The appellant’s appeal is premised on the well-known principle of company law to the effect that a company has a separate and distinct existence from other personalities as enunciated in the familiar case of </w:t>
      </w:r>
      <w:r w:rsidR="00346B0F" w:rsidRPr="00A06014">
        <w:rPr>
          <w:rFonts w:ascii="Times New Roman" w:hAnsi="Times New Roman" w:cs="Times New Roman"/>
          <w:i/>
          <w:sz w:val="24"/>
          <w:szCs w:val="24"/>
        </w:rPr>
        <w:t>Salomon v Salomon</w:t>
      </w:r>
      <w:r w:rsidR="004954CC" w:rsidRPr="00A06014">
        <w:rPr>
          <w:rFonts w:ascii="Times New Roman" w:hAnsi="Times New Roman" w:cs="Times New Roman"/>
          <w:sz w:val="24"/>
          <w:szCs w:val="24"/>
        </w:rPr>
        <w:t xml:space="preserve"> </w:t>
      </w:r>
      <w:r w:rsidR="00346B0F" w:rsidRPr="00A06014">
        <w:rPr>
          <w:rFonts w:ascii="Times New Roman" w:hAnsi="Times New Roman" w:cs="Times New Roman"/>
          <w:i/>
          <w:sz w:val="24"/>
          <w:szCs w:val="24"/>
        </w:rPr>
        <w:t xml:space="preserve">&amp; </w:t>
      </w:r>
      <w:r w:rsidR="00E15E1C" w:rsidRPr="00A06014">
        <w:rPr>
          <w:rFonts w:ascii="Times New Roman" w:hAnsi="Times New Roman" w:cs="Times New Roman"/>
          <w:i/>
          <w:sz w:val="24"/>
          <w:szCs w:val="24"/>
        </w:rPr>
        <w:t xml:space="preserve">Co </w:t>
      </w:r>
      <w:r w:rsidR="00346B0F" w:rsidRPr="00A06014">
        <w:rPr>
          <w:rFonts w:ascii="Times New Roman" w:hAnsi="Times New Roman" w:cs="Times New Roman"/>
          <w:i/>
          <w:sz w:val="24"/>
          <w:szCs w:val="24"/>
        </w:rPr>
        <w:t>Ltd</w:t>
      </w:r>
      <w:r w:rsidR="00346B0F" w:rsidRPr="00A06014">
        <w:rPr>
          <w:rStyle w:val="FootnoteReference"/>
          <w:rFonts w:ascii="Times New Roman" w:hAnsi="Times New Roman" w:cs="Times New Roman"/>
          <w:sz w:val="24"/>
          <w:szCs w:val="24"/>
        </w:rPr>
        <w:footnoteReference w:id="4"/>
      </w:r>
      <w:r w:rsidR="006864DA">
        <w:rPr>
          <w:rFonts w:ascii="Times New Roman" w:hAnsi="Times New Roman" w:cs="Times New Roman"/>
          <w:i/>
          <w:sz w:val="24"/>
          <w:szCs w:val="24"/>
        </w:rPr>
        <w:t>.</w:t>
      </w:r>
      <w:r w:rsidR="00346B0F" w:rsidRPr="00A06014">
        <w:rPr>
          <w:rFonts w:ascii="Times New Roman" w:hAnsi="Times New Roman" w:cs="Times New Roman"/>
          <w:sz w:val="24"/>
          <w:szCs w:val="24"/>
        </w:rPr>
        <w:t xml:space="preserve"> In that case Lord HALSBURY </w:t>
      </w:r>
      <w:r w:rsidR="00CD1624" w:rsidRPr="00A06014">
        <w:rPr>
          <w:rFonts w:ascii="Times New Roman" w:hAnsi="Times New Roman" w:cs="Times New Roman"/>
          <w:sz w:val="24"/>
          <w:szCs w:val="24"/>
        </w:rPr>
        <w:t>LC had this to say:</w:t>
      </w:r>
    </w:p>
    <w:p w:rsidR="00CD1624" w:rsidRPr="00A06014" w:rsidRDefault="00CD1624" w:rsidP="00010FB0">
      <w:pPr>
        <w:tabs>
          <w:tab w:val="left" w:pos="567"/>
        </w:tabs>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“It seems to me impossible to dispute that once a c</w:t>
      </w:r>
      <w:r w:rsidR="00A06014">
        <w:rPr>
          <w:rFonts w:ascii="Times New Roman" w:hAnsi="Times New Roman" w:cs="Times New Roman"/>
          <w:sz w:val="24"/>
          <w:szCs w:val="24"/>
        </w:rPr>
        <w:t xml:space="preserve">ompany is legally </w:t>
      </w:r>
      <w:r w:rsidR="00A06014">
        <w:rPr>
          <w:rFonts w:ascii="Times New Roman" w:hAnsi="Times New Roman" w:cs="Times New Roman"/>
          <w:sz w:val="24"/>
          <w:szCs w:val="24"/>
        </w:rPr>
        <w:tab/>
        <w:t xml:space="preserve">incorporated it must </w:t>
      </w:r>
      <w:r w:rsidRPr="00A06014">
        <w:rPr>
          <w:rFonts w:ascii="Times New Roman" w:hAnsi="Times New Roman" w:cs="Times New Roman"/>
          <w:sz w:val="24"/>
          <w:szCs w:val="24"/>
        </w:rPr>
        <w:t>be treated like any</w:t>
      </w:r>
      <w:r w:rsidR="009C39C5" w:rsidRPr="00A06014">
        <w:rPr>
          <w:rFonts w:ascii="Times New Roman" w:hAnsi="Times New Roman" w:cs="Times New Roman"/>
          <w:sz w:val="24"/>
          <w:szCs w:val="24"/>
        </w:rPr>
        <w:t xml:space="preserve"> other independent person with its rights and </w:t>
      </w:r>
      <w:r w:rsidRPr="00A06014">
        <w:rPr>
          <w:rFonts w:ascii="Times New Roman" w:hAnsi="Times New Roman" w:cs="Times New Roman"/>
          <w:sz w:val="24"/>
          <w:szCs w:val="24"/>
        </w:rPr>
        <w:t>liabilities appropriate to i</w:t>
      </w:r>
      <w:r w:rsidR="009C39C5" w:rsidRPr="00A06014">
        <w:rPr>
          <w:rFonts w:ascii="Times New Roman" w:hAnsi="Times New Roman" w:cs="Times New Roman"/>
          <w:sz w:val="24"/>
          <w:szCs w:val="24"/>
        </w:rPr>
        <w:t xml:space="preserve">tself. And that the motives of </w:t>
      </w:r>
      <w:r w:rsidRPr="00A06014">
        <w:rPr>
          <w:rFonts w:ascii="Times New Roman" w:hAnsi="Times New Roman" w:cs="Times New Roman"/>
          <w:sz w:val="24"/>
          <w:szCs w:val="24"/>
        </w:rPr>
        <w:t>those who too</w:t>
      </w:r>
      <w:r w:rsidR="00F769D3">
        <w:rPr>
          <w:rFonts w:ascii="Times New Roman" w:hAnsi="Times New Roman" w:cs="Times New Roman"/>
          <w:sz w:val="24"/>
          <w:szCs w:val="24"/>
        </w:rPr>
        <w:t>k part</w:t>
      </w:r>
      <w:r w:rsidRPr="00A06014">
        <w:rPr>
          <w:rFonts w:ascii="Times New Roman" w:hAnsi="Times New Roman" w:cs="Times New Roman"/>
          <w:sz w:val="24"/>
          <w:szCs w:val="24"/>
        </w:rPr>
        <w:t xml:space="preserve"> in the promotion</w:t>
      </w:r>
      <w:r w:rsidR="009C39C5" w:rsidRPr="00A06014">
        <w:rPr>
          <w:rFonts w:ascii="Times New Roman" w:hAnsi="Times New Roman" w:cs="Times New Roman"/>
          <w:sz w:val="24"/>
          <w:szCs w:val="24"/>
        </w:rPr>
        <w:t xml:space="preserve"> of the company are absolutely </w:t>
      </w:r>
      <w:r w:rsidRPr="00A06014">
        <w:rPr>
          <w:rFonts w:ascii="Times New Roman" w:hAnsi="Times New Roman" w:cs="Times New Roman"/>
          <w:sz w:val="24"/>
          <w:szCs w:val="24"/>
        </w:rPr>
        <w:t>irrelevant in discussing what those rights and liabilities are.”</w:t>
      </w:r>
    </w:p>
    <w:p w:rsidR="009C39C5" w:rsidRPr="00A06014" w:rsidRDefault="009C39C5" w:rsidP="009C39C5">
      <w:pPr>
        <w:tabs>
          <w:tab w:val="left" w:pos="567"/>
        </w:tabs>
        <w:spacing w:after="0" w:line="240" w:lineRule="auto"/>
        <w:jc w:val="both"/>
        <w:rPr>
          <w:rFonts w:ascii="Times New Roman" w:hAnsi="Times New Roman" w:cs="Times New Roman"/>
          <w:sz w:val="24"/>
          <w:szCs w:val="24"/>
        </w:rPr>
      </w:pPr>
    </w:p>
    <w:p w:rsidR="00CD1624" w:rsidRPr="00010FB0" w:rsidRDefault="00CD1624" w:rsidP="009C39C5">
      <w:pPr>
        <w:spacing w:after="0"/>
        <w:jc w:val="both"/>
        <w:rPr>
          <w:rFonts w:ascii="Times New Roman" w:hAnsi="Times New Roman" w:cs="Times New Roman"/>
          <w:sz w:val="16"/>
          <w:szCs w:val="16"/>
        </w:rPr>
      </w:pPr>
    </w:p>
    <w:p w:rsidR="00010FB0" w:rsidRPr="00BB1857" w:rsidRDefault="00010FB0" w:rsidP="009C39C5">
      <w:pPr>
        <w:spacing w:after="0"/>
        <w:jc w:val="both"/>
        <w:rPr>
          <w:rFonts w:ascii="Times New Roman" w:hAnsi="Times New Roman" w:cs="Times New Roman"/>
          <w:sz w:val="16"/>
          <w:szCs w:val="16"/>
        </w:rPr>
      </w:pPr>
    </w:p>
    <w:p w:rsidR="0070056A" w:rsidRPr="00010FB0" w:rsidRDefault="009C39C5" w:rsidP="00010FB0">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70056A" w:rsidRPr="00A06014">
        <w:rPr>
          <w:rFonts w:ascii="Times New Roman" w:hAnsi="Times New Roman" w:cs="Times New Roman"/>
          <w:sz w:val="24"/>
          <w:szCs w:val="24"/>
        </w:rPr>
        <w:t xml:space="preserve">The principle of law laid down in </w:t>
      </w:r>
      <w:r w:rsidR="0070056A" w:rsidRPr="00A06014">
        <w:rPr>
          <w:rFonts w:ascii="Times New Roman" w:hAnsi="Times New Roman" w:cs="Times New Roman"/>
          <w:i/>
          <w:sz w:val="24"/>
          <w:szCs w:val="24"/>
        </w:rPr>
        <w:t>Salomon v Salomon</w:t>
      </w:r>
      <w:r w:rsidR="0070056A" w:rsidRPr="00A06014">
        <w:rPr>
          <w:rFonts w:ascii="Times New Roman" w:hAnsi="Times New Roman" w:cs="Times New Roman"/>
          <w:sz w:val="24"/>
          <w:szCs w:val="24"/>
        </w:rPr>
        <w:t xml:space="preserve"> </w:t>
      </w:r>
      <w:r w:rsidR="0070056A" w:rsidRPr="00A06014">
        <w:rPr>
          <w:rFonts w:ascii="Times New Roman" w:hAnsi="Times New Roman" w:cs="Times New Roman"/>
          <w:i/>
          <w:sz w:val="24"/>
          <w:szCs w:val="24"/>
        </w:rPr>
        <w:t>(supra)</w:t>
      </w:r>
      <w:r w:rsidR="0070056A" w:rsidRPr="00A06014">
        <w:rPr>
          <w:rFonts w:ascii="Times New Roman" w:hAnsi="Times New Roman" w:cs="Times New Roman"/>
          <w:sz w:val="24"/>
          <w:szCs w:val="24"/>
        </w:rPr>
        <w:t xml:space="preserve"> has found wide recognition in our jurisdiction in a </w:t>
      </w:r>
      <w:r w:rsidR="0070056A" w:rsidRPr="00467D63">
        <w:rPr>
          <w:rFonts w:ascii="Times New Roman" w:hAnsi="Times New Roman" w:cs="Times New Roman"/>
          <w:i/>
          <w:sz w:val="24"/>
          <w:szCs w:val="24"/>
        </w:rPr>
        <w:t>plethora</w:t>
      </w:r>
      <w:r w:rsidR="0070056A" w:rsidRPr="00A06014">
        <w:rPr>
          <w:rFonts w:ascii="Times New Roman" w:hAnsi="Times New Roman" w:cs="Times New Roman"/>
          <w:sz w:val="24"/>
          <w:szCs w:val="24"/>
        </w:rPr>
        <w:t xml:space="preserve"> of cases</w:t>
      </w:r>
      <w:r w:rsidR="00955CE0" w:rsidRPr="00A06014">
        <w:rPr>
          <w:rFonts w:ascii="Times New Roman" w:hAnsi="Times New Roman" w:cs="Times New Roman"/>
          <w:sz w:val="24"/>
          <w:szCs w:val="24"/>
        </w:rPr>
        <w:t>.</w:t>
      </w:r>
      <w:r w:rsidRPr="00A06014">
        <w:rPr>
          <w:rFonts w:ascii="Times New Roman" w:hAnsi="Times New Roman" w:cs="Times New Roman"/>
          <w:sz w:val="24"/>
          <w:szCs w:val="24"/>
        </w:rPr>
        <w:t xml:space="preserve"> </w:t>
      </w:r>
      <w:r w:rsidR="002D4278" w:rsidRPr="00A06014">
        <w:rPr>
          <w:rFonts w:ascii="Times New Roman" w:hAnsi="Times New Roman" w:cs="Times New Roman"/>
          <w:sz w:val="24"/>
          <w:szCs w:val="24"/>
        </w:rPr>
        <w:t xml:space="preserve"> </w:t>
      </w:r>
      <w:r w:rsidR="00CD1624" w:rsidRPr="00A06014">
        <w:rPr>
          <w:rFonts w:ascii="Times New Roman" w:hAnsi="Times New Roman" w:cs="Times New Roman"/>
          <w:sz w:val="24"/>
          <w:szCs w:val="24"/>
        </w:rPr>
        <w:t xml:space="preserve">In </w:t>
      </w:r>
      <w:r w:rsidR="0070056A" w:rsidRPr="00A06014">
        <w:rPr>
          <w:rFonts w:ascii="Times New Roman" w:hAnsi="Times New Roman" w:cs="Times New Roman"/>
          <w:i/>
          <w:sz w:val="24"/>
          <w:szCs w:val="24"/>
        </w:rPr>
        <w:t>Deputy Sheriff Harare v Trinpac Investments (Pvt) Ltd &amp; Anor</w:t>
      </w:r>
      <w:r w:rsidR="0070056A" w:rsidRPr="00A06014">
        <w:rPr>
          <w:rStyle w:val="FootnoteReference"/>
          <w:rFonts w:ascii="Times New Roman" w:hAnsi="Times New Roman" w:cs="Times New Roman"/>
          <w:i/>
          <w:sz w:val="24"/>
          <w:szCs w:val="24"/>
        </w:rPr>
        <w:footnoteReference w:id="5"/>
      </w:r>
      <w:r w:rsidR="00955CE0" w:rsidRPr="00A06014">
        <w:rPr>
          <w:rFonts w:ascii="Times New Roman" w:hAnsi="Times New Roman" w:cs="Times New Roman"/>
          <w:sz w:val="24"/>
          <w:szCs w:val="24"/>
        </w:rPr>
        <w:t xml:space="preserve"> PATEL J as he then was</w:t>
      </w:r>
      <w:r w:rsidR="00150E9A" w:rsidRPr="00A06014">
        <w:rPr>
          <w:rFonts w:ascii="Times New Roman" w:hAnsi="Times New Roman" w:cs="Times New Roman"/>
          <w:sz w:val="24"/>
          <w:szCs w:val="24"/>
        </w:rPr>
        <w:t>,</w:t>
      </w:r>
      <w:r w:rsidR="00955CE0" w:rsidRPr="00A06014">
        <w:rPr>
          <w:rFonts w:ascii="Times New Roman" w:hAnsi="Times New Roman" w:cs="Times New Roman"/>
          <w:sz w:val="24"/>
          <w:szCs w:val="24"/>
        </w:rPr>
        <w:t xml:space="preserve"> restated the legal principle as follows</w:t>
      </w:r>
      <w:r w:rsidR="0070056A" w:rsidRPr="00A06014">
        <w:rPr>
          <w:rFonts w:ascii="Times New Roman" w:hAnsi="Times New Roman" w:cs="Times New Roman"/>
          <w:sz w:val="24"/>
          <w:szCs w:val="24"/>
        </w:rPr>
        <w:t>:</w:t>
      </w:r>
    </w:p>
    <w:p w:rsidR="0070056A" w:rsidRDefault="0070056A" w:rsidP="009C39C5">
      <w:pPr>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 xml:space="preserve">“The cardinal principle of company law, as </w:t>
      </w:r>
      <w:r w:rsidRPr="00A60765">
        <w:rPr>
          <w:rFonts w:ascii="Times New Roman" w:hAnsi="Times New Roman" w:cs="Times New Roman"/>
          <w:sz w:val="24"/>
          <w:szCs w:val="24"/>
        </w:rPr>
        <w:t xml:space="preserve">enunciated </w:t>
      </w:r>
      <w:r w:rsidR="00A06014" w:rsidRPr="00A60765">
        <w:rPr>
          <w:rFonts w:ascii="Times New Roman" w:hAnsi="Times New Roman" w:cs="Times New Roman"/>
          <w:sz w:val="24"/>
          <w:szCs w:val="24"/>
        </w:rPr>
        <w:t>in</w:t>
      </w:r>
      <w:r w:rsidR="00A06014">
        <w:rPr>
          <w:rFonts w:ascii="Times New Roman" w:hAnsi="Times New Roman" w:cs="Times New Roman"/>
          <w:i/>
          <w:sz w:val="24"/>
          <w:szCs w:val="24"/>
        </w:rPr>
        <w:t xml:space="preserve"> Salomon v </w:t>
      </w:r>
      <w:r w:rsidR="009C4BDE" w:rsidRPr="00A06014">
        <w:rPr>
          <w:rFonts w:ascii="Times New Roman" w:hAnsi="Times New Roman" w:cs="Times New Roman"/>
          <w:i/>
          <w:sz w:val="24"/>
          <w:szCs w:val="24"/>
        </w:rPr>
        <w:t xml:space="preserve">Salomon &amp; Co Ltd [1897] AC 22 (HL) </w:t>
      </w:r>
      <w:r w:rsidR="009C4BDE" w:rsidRPr="00A06014">
        <w:rPr>
          <w:rFonts w:ascii="Times New Roman" w:hAnsi="Times New Roman" w:cs="Times New Roman"/>
          <w:sz w:val="24"/>
          <w:szCs w:val="24"/>
        </w:rPr>
        <w:t xml:space="preserve">and </w:t>
      </w:r>
      <w:r w:rsidR="009C4BDE" w:rsidRPr="00A06014">
        <w:rPr>
          <w:rFonts w:ascii="Times New Roman" w:hAnsi="Times New Roman" w:cs="Times New Roman"/>
          <w:i/>
          <w:sz w:val="24"/>
          <w:szCs w:val="24"/>
        </w:rPr>
        <w:t>Dadoo Ltd &amp; Othe</w:t>
      </w:r>
      <w:r w:rsidR="00A06014">
        <w:rPr>
          <w:rFonts w:ascii="Times New Roman" w:hAnsi="Times New Roman" w:cs="Times New Roman"/>
          <w:i/>
          <w:sz w:val="24"/>
          <w:szCs w:val="24"/>
        </w:rPr>
        <w:t xml:space="preserve">rs v </w:t>
      </w:r>
      <w:r w:rsidR="009C4BDE" w:rsidRPr="00A06014">
        <w:rPr>
          <w:rFonts w:ascii="Times New Roman" w:hAnsi="Times New Roman" w:cs="Times New Roman"/>
          <w:i/>
          <w:sz w:val="24"/>
          <w:szCs w:val="24"/>
        </w:rPr>
        <w:t xml:space="preserve">Krugersdop </w:t>
      </w:r>
      <w:r w:rsidR="005F40BC" w:rsidRPr="00A06014">
        <w:rPr>
          <w:rFonts w:ascii="Times New Roman" w:hAnsi="Times New Roman" w:cs="Times New Roman"/>
          <w:i/>
          <w:sz w:val="24"/>
          <w:szCs w:val="24"/>
        </w:rPr>
        <w:t>Municipal</w:t>
      </w:r>
      <w:r w:rsidR="009C4BDE" w:rsidRPr="00A06014">
        <w:rPr>
          <w:rFonts w:ascii="Times New Roman" w:hAnsi="Times New Roman" w:cs="Times New Roman"/>
          <w:i/>
          <w:sz w:val="24"/>
          <w:szCs w:val="24"/>
        </w:rPr>
        <w:t xml:space="preserve"> Council </w:t>
      </w:r>
      <w:r w:rsidR="009C4BDE" w:rsidRPr="00A06014">
        <w:rPr>
          <w:rFonts w:ascii="Times New Roman" w:hAnsi="Times New Roman" w:cs="Times New Roman"/>
          <w:sz w:val="24"/>
          <w:szCs w:val="24"/>
        </w:rPr>
        <w:t>1920 AD 530</w:t>
      </w:r>
      <w:r w:rsidR="009C39C5" w:rsidRPr="00A06014">
        <w:rPr>
          <w:rFonts w:ascii="Times New Roman" w:hAnsi="Times New Roman" w:cs="Times New Roman"/>
          <w:sz w:val="24"/>
          <w:szCs w:val="24"/>
        </w:rPr>
        <w:t xml:space="preserve"> at 550 is that a company is a </w:t>
      </w:r>
      <w:r w:rsidR="009C4BDE" w:rsidRPr="00A06014">
        <w:rPr>
          <w:rFonts w:ascii="Times New Roman" w:hAnsi="Times New Roman" w:cs="Times New Roman"/>
          <w:sz w:val="24"/>
          <w:szCs w:val="24"/>
        </w:rPr>
        <w:t>separate entity distinct from its members.”</w:t>
      </w:r>
    </w:p>
    <w:p w:rsidR="00A06014" w:rsidRPr="00A06014" w:rsidRDefault="00A06014" w:rsidP="009C39C5">
      <w:pPr>
        <w:spacing w:after="0" w:line="240" w:lineRule="auto"/>
        <w:ind w:left="567"/>
        <w:jc w:val="both"/>
        <w:rPr>
          <w:rFonts w:ascii="Times New Roman" w:hAnsi="Times New Roman" w:cs="Times New Roman"/>
          <w:sz w:val="24"/>
          <w:szCs w:val="24"/>
        </w:rPr>
      </w:pPr>
    </w:p>
    <w:p w:rsidR="009C4BDE" w:rsidRPr="00D03665" w:rsidRDefault="009C4BDE" w:rsidP="009C39C5">
      <w:pPr>
        <w:spacing w:after="0"/>
        <w:jc w:val="both"/>
        <w:rPr>
          <w:rFonts w:ascii="Times New Roman" w:hAnsi="Times New Roman" w:cs="Times New Roman"/>
          <w:sz w:val="16"/>
          <w:szCs w:val="16"/>
        </w:rPr>
      </w:pPr>
    </w:p>
    <w:p w:rsidR="00010FB0" w:rsidRPr="00BB1857" w:rsidRDefault="00010FB0" w:rsidP="009C39C5">
      <w:pPr>
        <w:spacing w:after="0"/>
        <w:jc w:val="both"/>
        <w:rPr>
          <w:rFonts w:ascii="Times New Roman" w:hAnsi="Times New Roman" w:cs="Times New Roman"/>
          <w:sz w:val="16"/>
          <w:szCs w:val="16"/>
        </w:rPr>
      </w:pPr>
    </w:p>
    <w:p w:rsidR="009C4BDE" w:rsidRPr="00A06014" w:rsidRDefault="00CC6906" w:rsidP="00BB1857">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471C35" w:rsidRPr="00A06014">
        <w:rPr>
          <w:rFonts w:ascii="Times New Roman" w:hAnsi="Times New Roman" w:cs="Times New Roman"/>
          <w:sz w:val="24"/>
          <w:szCs w:val="24"/>
        </w:rPr>
        <w:t>Applying the</w:t>
      </w:r>
      <w:r w:rsidR="009C4BDE" w:rsidRPr="00A06014">
        <w:rPr>
          <w:rFonts w:ascii="Times New Roman" w:hAnsi="Times New Roman" w:cs="Times New Roman"/>
          <w:sz w:val="24"/>
          <w:szCs w:val="24"/>
        </w:rPr>
        <w:t xml:space="preserve"> timeless </w:t>
      </w:r>
      <w:r w:rsidR="009C4BDE" w:rsidRPr="00C1764F">
        <w:rPr>
          <w:rFonts w:ascii="Times New Roman" w:hAnsi="Times New Roman" w:cs="Times New Roman"/>
          <w:i/>
          <w:sz w:val="24"/>
          <w:szCs w:val="24"/>
        </w:rPr>
        <w:t>dictum</w:t>
      </w:r>
      <w:r w:rsidR="009C4BDE" w:rsidRPr="00A06014">
        <w:rPr>
          <w:rFonts w:ascii="Times New Roman" w:hAnsi="Times New Roman" w:cs="Times New Roman"/>
          <w:sz w:val="24"/>
          <w:szCs w:val="24"/>
        </w:rPr>
        <w:t xml:space="preserve"> laid down in </w:t>
      </w:r>
      <w:r w:rsidR="009C4BDE" w:rsidRPr="00A06014">
        <w:rPr>
          <w:rFonts w:ascii="Times New Roman" w:hAnsi="Times New Roman" w:cs="Times New Roman"/>
          <w:i/>
          <w:sz w:val="24"/>
          <w:szCs w:val="24"/>
        </w:rPr>
        <w:t xml:space="preserve">Salomon v Salomon (supra) </w:t>
      </w:r>
      <w:r w:rsidR="00E90355" w:rsidRPr="00A06014">
        <w:rPr>
          <w:rFonts w:ascii="Times New Roman" w:hAnsi="Times New Roman" w:cs="Times New Roman"/>
          <w:sz w:val="24"/>
          <w:szCs w:val="24"/>
        </w:rPr>
        <w:t>it is plain that entities</w:t>
      </w:r>
      <w:r w:rsidR="009C4BDE" w:rsidRPr="00A06014">
        <w:rPr>
          <w:rFonts w:ascii="Times New Roman" w:hAnsi="Times New Roman" w:cs="Times New Roman"/>
          <w:sz w:val="24"/>
          <w:szCs w:val="24"/>
        </w:rPr>
        <w:t xml:space="preserve"> </w:t>
      </w:r>
      <w:r w:rsidR="00471C35" w:rsidRPr="00A06014">
        <w:rPr>
          <w:rFonts w:ascii="Times New Roman" w:hAnsi="Times New Roman" w:cs="Times New Roman"/>
          <w:sz w:val="24"/>
          <w:szCs w:val="24"/>
        </w:rPr>
        <w:t>comprising a group of companies maintain their separate and distinct legal personalities although</w:t>
      </w:r>
      <w:r w:rsidR="005917A5" w:rsidRPr="00A06014">
        <w:rPr>
          <w:rFonts w:ascii="Times New Roman" w:hAnsi="Times New Roman" w:cs="Times New Roman"/>
          <w:sz w:val="24"/>
          <w:szCs w:val="24"/>
        </w:rPr>
        <w:t xml:space="preserve"> they fall under one umbrella or</w:t>
      </w:r>
      <w:r w:rsidR="00471C35" w:rsidRPr="00A06014">
        <w:rPr>
          <w:rFonts w:ascii="Times New Roman" w:hAnsi="Times New Roman" w:cs="Times New Roman"/>
          <w:sz w:val="24"/>
          <w:szCs w:val="24"/>
        </w:rPr>
        <w:t xml:space="preserve"> legal owner.</w:t>
      </w:r>
      <w:r w:rsidR="006E1433" w:rsidRPr="00A06014">
        <w:rPr>
          <w:rFonts w:ascii="Times New Roman" w:hAnsi="Times New Roman" w:cs="Times New Roman"/>
          <w:sz w:val="24"/>
          <w:szCs w:val="24"/>
        </w:rPr>
        <w:t xml:space="preserve"> </w:t>
      </w:r>
      <w:r w:rsidR="002D4278" w:rsidRPr="00A06014">
        <w:rPr>
          <w:rFonts w:ascii="Times New Roman" w:hAnsi="Times New Roman" w:cs="Times New Roman"/>
          <w:sz w:val="24"/>
          <w:szCs w:val="24"/>
        </w:rPr>
        <w:t xml:space="preserve"> </w:t>
      </w:r>
      <w:r w:rsidR="006E1433" w:rsidRPr="00A06014">
        <w:rPr>
          <w:rFonts w:ascii="Times New Roman" w:hAnsi="Times New Roman" w:cs="Times New Roman"/>
          <w:sz w:val="24"/>
          <w:szCs w:val="24"/>
        </w:rPr>
        <w:t>Latching onto that doctrine learned counsel for the appellant argued that as the appellant had a separate</w:t>
      </w:r>
      <w:r w:rsidR="00440763" w:rsidRPr="00A06014">
        <w:rPr>
          <w:rFonts w:ascii="Times New Roman" w:hAnsi="Times New Roman" w:cs="Times New Roman"/>
          <w:sz w:val="24"/>
          <w:szCs w:val="24"/>
        </w:rPr>
        <w:t xml:space="preserve"> and distinct legal </w:t>
      </w:r>
      <w:r w:rsidR="00440763" w:rsidRPr="00A06014">
        <w:rPr>
          <w:rFonts w:ascii="Times New Roman" w:hAnsi="Times New Roman" w:cs="Times New Roman"/>
          <w:sz w:val="24"/>
          <w:szCs w:val="24"/>
        </w:rPr>
        <w:lastRenderedPageBreak/>
        <w:t>personality, the arbitrator erred in having regard to the financial statements of the whole gro</w:t>
      </w:r>
      <w:r w:rsidR="00B378DB" w:rsidRPr="00A06014">
        <w:rPr>
          <w:rFonts w:ascii="Times New Roman" w:hAnsi="Times New Roman" w:cs="Times New Roman"/>
          <w:sz w:val="24"/>
          <w:szCs w:val="24"/>
        </w:rPr>
        <w:t>up.</w:t>
      </w:r>
      <w:r w:rsidR="002D4278" w:rsidRPr="00A06014">
        <w:rPr>
          <w:rFonts w:ascii="Times New Roman" w:hAnsi="Times New Roman" w:cs="Times New Roman"/>
          <w:sz w:val="24"/>
          <w:szCs w:val="24"/>
        </w:rPr>
        <w:t xml:space="preserve"> </w:t>
      </w:r>
      <w:r w:rsidR="00B378DB" w:rsidRPr="00A06014">
        <w:rPr>
          <w:rFonts w:ascii="Times New Roman" w:hAnsi="Times New Roman" w:cs="Times New Roman"/>
          <w:sz w:val="24"/>
          <w:szCs w:val="24"/>
        </w:rPr>
        <w:t xml:space="preserve"> He ought to have restricted</w:t>
      </w:r>
      <w:r w:rsidR="00440763" w:rsidRPr="00A06014">
        <w:rPr>
          <w:rFonts w:ascii="Times New Roman" w:hAnsi="Times New Roman" w:cs="Times New Roman"/>
          <w:sz w:val="24"/>
          <w:szCs w:val="24"/>
        </w:rPr>
        <w:t xml:space="preserve"> himself to the financial statements of Gold Star. So the argument goes.</w:t>
      </w:r>
    </w:p>
    <w:p w:rsidR="00CC6906" w:rsidRPr="00BB1857" w:rsidRDefault="00CC6906" w:rsidP="00A06014">
      <w:pPr>
        <w:tabs>
          <w:tab w:val="left" w:pos="1134"/>
        </w:tabs>
        <w:spacing w:after="0" w:line="240" w:lineRule="auto"/>
        <w:jc w:val="both"/>
        <w:rPr>
          <w:rFonts w:ascii="Times New Roman" w:hAnsi="Times New Roman" w:cs="Times New Roman"/>
          <w:sz w:val="16"/>
          <w:szCs w:val="16"/>
        </w:rPr>
      </w:pPr>
    </w:p>
    <w:p w:rsidR="00471C35" w:rsidRPr="00A06014" w:rsidRDefault="00471C35" w:rsidP="00BB1857">
      <w:pPr>
        <w:spacing w:after="0" w:line="240" w:lineRule="auto"/>
        <w:ind w:left="567"/>
        <w:jc w:val="both"/>
        <w:rPr>
          <w:rFonts w:ascii="Times New Roman" w:hAnsi="Times New Roman" w:cs="Times New Roman"/>
          <w:sz w:val="24"/>
          <w:szCs w:val="24"/>
        </w:rPr>
      </w:pPr>
    </w:p>
    <w:p w:rsidR="001F491D" w:rsidRPr="00A06014" w:rsidRDefault="00CC6906" w:rsidP="00BB1857">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471C35" w:rsidRPr="00A06014">
        <w:rPr>
          <w:rFonts w:ascii="Times New Roman" w:hAnsi="Times New Roman" w:cs="Times New Roman"/>
          <w:sz w:val="24"/>
          <w:szCs w:val="24"/>
        </w:rPr>
        <w:t xml:space="preserve">The rule in </w:t>
      </w:r>
      <w:r w:rsidR="00471C35" w:rsidRPr="00A06014">
        <w:rPr>
          <w:rFonts w:ascii="Times New Roman" w:hAnsi="Times New Roman" w:cs="Times New Roman"/>
          <w:i/>
          <w:sz w:val="24"/>
          <w:szCs w:val="24"/>
        </w:rPr>
        <w:t>Salomon v Salomon (sup</w:t>
      </w:r>
      <w:r w:rsidR="001F34E7" w:rsidRPr="00A06014">
        <w:rPr>
          <w:rFonts w:ascii="Times New Roman" w:hAnsi="Times New Roman" w:cs="Times New Roman"/>
          <w:i/>
          <w:sz w:val="24"/>
          <w:szCs w:val="24"/>
        </w:rPr>
        <w:t>r</w:t>
      </w:r>
      <w:r w:rsidR="00471C35" w:rsidRPr="00A06014">
        <w:rPr>
          <w:rFonts w:ascii="Times New Roman" w:hAnsi="Times New Roman" w:cs="Times New Roman"/>
          <w:i/>
          <w:sz w:val="24"/>
          <w:szCs w:val="24"/>
        </w:rPr>
        <w:t>a)</w:t>
      </w:r>
      <w:r w:rsidR="00471C35" w:rsidRPr="00A06014">
        <w:rPr>
          <w:rFonts w:ascii="Times New Roman" w:hAnsi="Times New Roman" w:cs="Times New Roman"/>
          <w:sz w:val="24"/>
          <w:szCs w:val="24"/>
        </w:rPr>
        <w:t xml:space="preserve"> </w:t>
      </w:r>
      <w:r w:rsidR="003E4C40" w:rsidRPr="00A06014">
        <w:rPr>
          <w:rFonts w:ascii="Times New Roman" w:hAnsi="Times New Roman" w:cs="Times New Roman"/>
          <w:sz w:val="24"/>
          <w:szCs w:val="24"/>
        </w:rPr>
        <w:t>is however not cast in stone.</w:t>
      </w:r>
      <w:r w:rsidR="002D4278" w:rsidRPr="00A06014">
        <w:rPr>
          <w:rFonts w:ascii="Times New Roman" w:hAnsi="Times New Roman" w:cs="Times New Roman"/>
          <w:sz w:val="24"/>
          <w:szCs w:val="24"/>
        </w:rPr>
        <w:t xml:space="preserve"> </w:t>
      </w:r>
      <w:r w:rsidR="003E4C40" w:rsidRPr="00A06014">
        <w:rPr>
          <w:rFonts w:ascii="Times New Roman" w:hAnsi="Times New Roman" w:cs="Times New Roman"/>
          <w:sz w:val="24"/>
          <w:szCs w:val="24"/>
        </w:rPr>
        <w:t xml:space="preserve"> It is only a general rule subject to exception</w:t>
      </w:r>
      <w:r w:rsidR="00E90355" w:rsidRPr="00A06014">
        <w:rPr>
          <w:rFonts w:ascii="Times New Roman" w:hAnsi="Times New Roman" w:cs="Times New Roman"/>
          <w:sz w:val="24"/>
          <w:szCs w:val="24"/>
        </w:rPr>
        <w:t>s particularly in labour</w:t>
      </w:r>
      <w:r w:rsidR="003E4C40" w:rsidRPr="00A06014">
        <w:rPr>
          <w:rFonts w:ascii="Times New Roman" w:hAnsi="Times New Roman" w:cs="Times New Roman"/>
          <w:sz w:val="24"/>
          <w:szCs w:val="24"/>
        </w:rPr>
        <w:t xml:space="preserve"> matters where the courts and tribunals are enjoined to dispense</w:t>
      </w:r>
      <w:r w:rsidR="00625B23" w:rsidRPr="00A06014">
        <w:rPr>
          <w:rFonts w:ascii="Times New Roman" w:hAnsi="Times New Roman" w:cs="Times New Roman"/>
          <w:sz w:val="24"/>
          <w:szCs w:val="24"/>
        </w:rPr>
        <w:t xml:space="preserve"> </w:t>
      </w:r>
      <w:r w:rsidR="003E4C40" w:rsidRPr="00A06014">
        <w:rPr>
          <w:rFonts w:ascii="Times New Roman" w:hAnsi="Times New Roman" w:cs="Times New Roman"/>
          <w:sz w:val="24"/>
          <w:szCs w:val="24"/>
        </w:rPr>
        <w:t xml:space="preserve">equitable </w:t>
      </w:r>
      <w:r w:rsidR="00C92B56" w:rsidRPr="00A06014">
        <w:rPr>
          <w:rFonts w:ascii="Times New Roman" w:hAnsi="Times New Roman" w:cs="Times New Roman"/>
          <w:sz w:val="24"/>
          <w:szCs w:val="24"/>
        </w:rPr>
        <w:t xml:space="preserve">social </w:t>
      </w:r>
      <w:r w:rsidR="003E4C40" w:rsidRPr="00A06014">
        <w:rPr>
          <w:rFonts w:ascii="Times New Roman" w:hAnsi="Times New Roman" w:cs="Times New Roman"/>
          <w:sz w:val="24"/>
          <w:szCs w:val="24"/>
        </w:rPr>
        <w:t>justice.</w:t>
      </w:r>
      <w:r w:rsidR="00625B23" w:rsidRPr="00A06014">
        <w:rPr>
          <w:rFonts w:ascii="Times New Roman" w:hAnsi="Times New Roman" w:cs="Times New Roman"/>
          <w:sz w:val="24"/>
          <w:szCs w:val="24"/>
        </w:rPr>
        <w:t xml:space="preserve"> </w:t>
      </w:r>
      <w:r w:rsidR="002D4278" w:rsidRPr="00A06014">
        <w:rPr>
          <w:rFonts w:ascii="Times New Roman" w:hAnsi="Times New Roman" w:cs="Times New Roman"/>
          <w:sz w:val="24"/>
          <w:szCs w:val="24"/>
        </w:rPr>
        <w:t xml:space="preserve"> </w:t>
      </w:r>
      <w:r w:rsidR="00AC3304" w:rsidRPr="00A06014">
        <w:rPr>
          <w:rFonts w:ascii="Times New Roman" w:hAnsi="Times New Roman" w:cs="Times New Roman"/>
          <w:sz w:val="24"/>
          <w:szCs w:val="24"/>
        </w:rPr>
        <w:t xml:space="preserve">In </w:t>
      </w:r>
      <w:r w:rsidR="00AC3304" w:rsidRPr="00A06014">
        <w:rPr>
          <w:rFonts w:ascii="Times New Roman" w:hAnsi="Times New Roman" w:cs="Times New Roman"/>
          <w:i/>
          <w:sz w:val="24"/>
          <w:szCs w:val="24"/>
        </w:rPr>
        <w:t xml:space="preserve">DHN Food Distributors Ltd v London </w:t>
      </w:r>
      <w:r w:rsidR="001F491D" w:rsidRPr="00A06014">
        <w:rPr>
          <w:rFonts w:ascii="Times New Roman" w:hAnsi="Times New Roman" w:cs="Times New Roman"/>
          <w:i/>
          <w:sz w:val="24"/>
          <w:szCs w:val="24"/>
        </w:rPr>
        <w:t>Borough</w:t>
      </w:r>
      <w:r w:rsidR="00866557" w:rsidRPr="00A06014">
        <w:rPr>
          <w:rFonts w:ascii="Times New Roman" w:hAnsi="Times New Roman" w:cs="Times New Roman"/>
          <w:i/>
          <w:sz w:val="24"/>
          <w:szCs w:val="24"/>
        </w:rPr>
        <w:t xml:space="preserve"> of Tower H</w:t>
      </w:r>
      <w:r w:rsidR="00443B9B" w:rsidRPr="00A06014">
        <w:rPr>
          <w:rFonts w:ascii="Times New Roman" w:hAnsi="Times New Roman" w:cs="Times New Roman"/>
          <w:i/>
          <w:sz w:val="24"/>
          <w:szCs w:val="24"/>
        </w:rPr>
        <w:t>amlets</w:t>
      </w:r>
      <w:r w:rsidR="00443B9B" w:rsidRPr="00A06014">
        <w:rPr>
          <w:rStyle w:val="FootnoteReference"/>
          <w:rFonts w:ascii="Times New Roman" w:hAnsi="Times New Roman" w:cs="Times New Roman"/>
          <w:i/>
          <w:sz w:val="24"/>
          <w:szCs w:val="24"/>
        </w:rPr>
        <w:footnoteReference w:id="6"/>
      </w:r>
      <w:r w:rsidR="003400FF" w:rsidRPr="00A06014">
        <w:rPr>
          <w:rFonts w:ascii="Times New Roman" w:hAnsi="Times New Roman" w:cs="Times New Roman"/>
          <w:sz w:val="24"/>
          <w:szCs w:val="24"/>
        </w:rPr>
        <w:t xml:space="preserve"> the court observed that</w:t>
      </w:r>
      <w:r w:rsidR="00BB1857">
        <w:rPr>
          <w:rFonts w:ascii="Times New Roman" w:hAnsi="Times New Roman" w:cs="Times New Roman"/>
          <w:sz w:val="24"/>
          <w:szCs w:val="24"/>
        </w:rPr>
        <w:t>:</w:t>
      </w:r>
    </w:p>
    <w:p w:rsidR="00866557" w:rsidRDefault="001F491D" w:rsidP="00BB1857">
      <w:pPr>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 xml:space="preserve">“Professor Gower in his book on company law says: ‘there is evidence of </w:t>
      </w:r>
      <w:r w:rsidR="00513052" w:rsidRPr="00A06014">
        <w:rPr>
          <w:rFonts w:ascii="Times New Roman" w:hAnsi="Times New Roman" w:cs="Times New Roman"/>
          <w:sz w:val="24"/>
          <w:szCs w:val="24"/>
        </w:rPr>
        <w:tab/>
      </w:r>
      <w:r w:rsidRPr="00A06014">
        <w:rPr>
          <w:rFonts w:ascii="Times New Roman" w:hAnsi="Times New Roman" w:cs="Times New Roman"/>
          <w:sz w:val="24"/>
          <w:szCs w:val="24"/>
        </w:rPr>
        <w:t>a general tendency to ignore the separate legal entities of various companies within a group and to look instead at the ec</w:t>
      </w:r>
      <w:r w:rsidR="004B5346" w:rsidRPr="00A06014">
        <w:rPr>
          <w:rFonts w:ascii="Times New Roman" w:hAnsi="Times New Roman" w:cs="Times New Roman"/>
          <w:sz w:val="24"/>
          <w:szCs w:val="24"/>
        </w:rPr>
        <w:t>onomic entity of the whole group’. This is especially the case when the parent company owns all the shares of the subsidiaries,</w:t>
      </w:r>
      <w:r w:rsidR="00CC6906" w:rsidRPr="00A06014">
        <w:rPr>
          <w:rFonts w:ascii="Times New Roman" w:hAnsi="Times New Roman" w:cs="Times New Roman"/>
          <w:sz w:val="24"/>
          <w:szCs w:val="24"/>
        </w:rPr>
        <w:t xml:space="preserve"> so much so that it can control every movement of the subsidiaries. </w:t>
      </w:r>
      <w:r w:rsidR="004B5346" w:rsidRPr="00A06014">
        <w:rPr>
          <w:rFonts w:ascii="Times New Roman" w:hAnsi="Times New Roman" w:cs="Times New Roman"/>
          <w:sz w:val="24"/>
          <w:szCs w:val="24"/>
        </w:rPr>
        <w:t xml:space="preserve">These subsidiaries are bound hand and foot to the parent company and must just do what the parent company says. … This group is virtually the same as a partnership in which all the three companies should, for </w:t>
      </w:r>
      <w:r w:rsidR="003028CE" w:rsidRPr="00A06014">
        <w:rPr>
          <w:rFonts w:ascii="Times New Roman" w:hAnsi="Times New Roman" w:cs="Times New Roman"/>
          <w:sz w:val="24"/>
          <w:szCs w:val="24"/>
        </w:rPr>
        <w:t>present purposes</w:t>
      </w:r>
      <w:r w:rsidR="004B5346" w:rsidRPr="00A06014">
        <w:rPr>
          <w:rFonts w:ascii="Times New Roman" w:hAnsi="Times New Roman" w:cs="Times New Roman"/>
          <w:sz w:val="24"/>
          <w:szCs w:val="24"/>
        </w:rPr>
        <w:t xml:space="preserve"> be treated </w:t>
      </w:r>
      <w:r w:rsidR="007224F0" w:rsidRPr="00A06014">
        <w:rPr>
          <w:rFonts w:ascii="Times New Roman" w:hAnsi="Times New Roman" w:cs="Times New Roman"/>
          <w:sz w:val="24"/>
          <w:szCs w:val="24"/>
        </w:rPr>
        <w:t>as one</w:t>
      </w:r>
      <w:r w:rsidR="004B5346" w:rsidRPr="00A06014">
        <w:rPr>
          <w:rFonts w:ascii="Times New Roman" w:hAnsi="Times New Roman" w:cs="Times New Roman"/>
          <w:sz w:val="24"/>
          <w:szCs w:val="24"/>
        </w:rPr>
        <w:t xml:space="preserve"> and the parent company should be treated as that one</w:t>
      </w:r>
      <w:r w:rsidR="00513052" w:rsidRPr="00A06014">
        <w:rPr>
          <w:rFonts w:ascii="Times New Roman" w:hAnsi="Times New Roman" w:cs="Times New Roman"/>
          <w:sz w:val="24"/>
          <w:szCs w:val="24"/>
        </w:rPr>
        <w:t>.”</w:t>
      </w:r>
    </w:p>
    <w:p w:rsidR="00A06014" w:rsidRDefault="00A06014" w:rsidP="00CC6906">
      <w:pPr>
        <w:spacing w:after="0" w:line="240" w:lineRule="auto"/>
        <w:ind w:left="567"/>
        <w:jc w:val="both"/>
        <w:rPr>
          <w:rFonts w:ascii="Times New Roman" w:hAnsi="Times New Roman" w:cs="Times New Roman"/>
          <w:sz w:val="24"/>
          <w:szCs w:val="24"/>
        </w:rPr>
      </w:pPr>
    </w:p>
    <w:p w:rsidR="00A06014" w:rsidRDefault="00A06014" w:rsidP="00CC6906">
      <w:pPr>
        <w:spacing w:after="0" w:line="240" w:lineRule="auto"/>
        <w:ind w:left="567"/>
        <w:jc w:val="both"/>
        <w:rPr>
          <w:rFonts w:ascii="Times New Roman" w:hAnsi="Times New Roman" w:cs="Times New Roman"/>
          <w:sz w:val="24"/>
          <w:szCs w:val="24"/>
        </w:rPr>
      </w:pPr>
    </w:p>
    <w:p w:rsidR="00A06014" w:rsidRPr="00BB1857" w:rsidRDefault="00A06014" w:rsidP="00BB1857">
      <w:pPr>
        <w:spacing w:after="0" w:line="240" w:lineRule="auto"/>
        <w:ind w:left="567"/>
        <w:jc w:val="both"/>
        <w:rPr>
          <w:rFonts w:ascii="Times New Roman" w:hAnsi="Times New Roman" w:cs="Times New Roman"/>
          <w:sz w:val="16"/>
          <w:szCs w:val="16"/>
        </w:rPr>
      </w:pPr>
    </w:p>
    <w:p w:rsidR="00CC6906" w:rsidRPr="00A06014" w:rsidRDefault="00CC6906" w:rsidP="00BB1857">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866557" w:rsidRPr="00A06014">
        <w:rPr>
          <w:rFonts w:ascii="Times New Roman" w:hAnsi="Times New Roman" w:cs="Times New Roman"/>
          <w:sz w:val="24"/>
          <w:szCs w:val="24"/>
        </w:rPr>
        <w:t xml:space="preserve">The principle that emerges </w:t>
      </w:r>
      <w:r w:rsidR="000F0055" w:rsidRPr="00A06014">
        <w:rPr>
          <w:rFonts w:ascii="Times New Roman" w:hAnsi="Times New Roman" w:cs="Times New Roman"/>
          <w:sz w:val="24"/>
          <w:szCs w:val="24"/>
        </w:rPr>
        <w:t>quite clearly</w:t>
      </w:r>
      <w:r w:rsidR="00866557" w:rsidRPr="00A06014">
        <w:rPr>
          <w:rFonts w:ascii="Times New Roman" w:hAnsi="Times New Roman" w:cs="Times New Roman"/>
          <w:sz w:val="24"/>
          <w:szCs w:val="24"/>
        </w:rPr>
        <w:t xml:space="preserve"> from the </w:t>
      </w:r>
      <w:r w:rsidR="00866557" w:rsidRPr="00A06014">
        <w:rPr>
          <w:rFonts w:ascii="Times New Roman" w:hAnsi="Times New Roman" w:cs="Times New Roman"/>
          <w:i/>
          <w:sz w:val="24"/>
          <w:szCs w:val="24"/>
        </w:rPr>
        <w:t>DHN Food Distributors case (supra)</w:t>
      </w:r>
      <w:r w:rsidR="000F0055" w:rsidRPr="00A06014">
        <w:rPr>
          <w:rFonts w:ascii="Times New Roman" w:hAnsi="Times New Roman" w:cs="Times New Roman"/>
          <w:sz w:val="24"/>
          <w:szCs w:val="24"/>
        </w:rPr>
        <w:t xml:space="preserve"> is that in appropriate</w:t>
      </w:r>
      <w:r w:rsidR="003028CE" w:rsidRPr="00A06014">
        <w:rPr>
          <w:rFonts w:ascii="Times New Roman" w:hAnsi="Times New Roman" w:cs="Times New Roman"/>
          <w:sz w:val="24"/>
          <w:szCs w:val="24"/>
        </w:rPr>
        <w:t xml:space="preserve"> cases involving group or holding companies</w:t>
      </w:r>
      <w:r w:rsidR="008834AB" w:rsidRPr="00A06014">
        <w:rPr>
          <w:rFonts w:ascii="Times New Roman" w:hAnsi="Times New Roman" w:cs="Times New Roman"/>
          <w:sz w:val="24"/>
          <w:szCs w:val="24"/>
        </w:rPr>
        <w:t xml:space="preserve"> and their subsidiaries</w:t>
      </w:r>
      <w:r w:rsidR="003028CE" w:rsidRPr="00A06014">
        <w:rPr>
          <w:rFonts w:ascii="Times New Roman" w:hAnsi="Times New Roman" w:cs="Times New Roman"/>
          <w:sz w:val="24"/>
          <w:szCs w:val="24"/>
        </w:rPr>
        <w:t>,</w:t>
      </w:r>
      <w:r w:rsidR="000F0055" w:rsidRPr="00A06014">
        <w:rPr>
          <w:rFonts w:ascii="Times New Roman" w:hAnsi="Times New Roman" w:cs="Times New Roman"/>
          <w:sz w:val="24"/>
          <w:szCs w:val="24"/>
        </w:rPr>
        <w:t xml:space="preserve"> the court or tribunal</w:t>
      </w:r>
      <w:r w:rsidR="003028CE" w:rsidRPr="00A06014">
        <w:rPr>
          <w:rFonts w:ascii="Times New Roman" w:hAnsi="Times New Roman" w:cs="Times New Roman"/>
          <w:sz w:val="24"/>
          <w:szCs w:val="24"/>
        </w:rPr>
        <w:t xml:space="preserve"> is</w:t>
      </w:r>
      <w:r w:rsidR="00735A27" w:rsidRPr="00A06014">
        <w:rPr>
          <w:rFonts w:ascii="Times New Roman" w:hAnsi="Times New Roman" w:cs="Times New Roman"/>
          <w:sz w:val="24"/>
          <w:szCs w:val="24"/>
        </w:rPr>
        <w:t xml:space="preserve"> </w:t>
      </w:r>
      <w:r w:rsidR="00B20D08" w:rsidRPr="00A06014">
        <w:rPr>
          <w:rFonts w:ascii="Times New Roman" w:hAnsi="Times New Roman" w:cs="Times New Roman"/>
          <w:sz w:val="24"/>
          <w:szCs w:val="24"/>
        </w:rPr>
        <w:t xml:space="preserve">not </w:t>
      </w:r>
      <w:r w:rsidR="00735A27" w:rsidRPr="00A06014">
        <w:rPr>
          <w:rFonts w:ascii="Times New Roman" w:hAnsi="Times New Roman" w:cs="Times New Roman"/>
          <w:sz w:val="24"/>
          <w:szCs w:val="24"/>
        </w:rPr>
        <w:t>strictly bound by the dictates of</w:t>
      </w:r>
      <w:r w:rsidR="000F0055" w:rsidRPr="00A06014">
        <w:rPr>
          <w:rFonts w:ascii="Times New Roman" w:hAnsi="Times New Roman" w:cs="Times New Roman"/>
          <w:sz w:val="24"/>
          <w:szCs w:val="24"/>
        </w:rPr>
        <w:t xml:space="preserve"> the doctrine of separate corporate legal personality</w:t>
      </w:r>
      <w:r w:rsidR="00735A27" w:rsidRPr="00A06014">
        <w:rPr>
          <w:rFonts w:ascii="Times New Roman" w:hAnsi="Times New Roman" w:cs="Times New Roman"/>
          <w:sz w:val="24"/>
          <w:szCs w:val="24"/>
        </w:rPr>
        <w:t xml:space="preserve">. </w:t>
      </w:r>
      <w:r w:rsidR="00753C08" w:rsidRPr="00A06014">
        <w:rPr>
          <w:rFonts w:ascii="Times New Roman" w:hAnsi="Times New Roman" w:cs="Times New Roman"/>
          <w:sz w:val="24"/>
          <w:szCs w:val="24"/>
        </w:rPr>
        <w:t xml:space="preserve"> </w:t>
      </w:r>
      <w:r w:rsidR="00735A27" w:rsidRPr="00A06014">
        <w:rPr>
          <w:rFonts w:ascii="Times New Roman" w:hAnsi="Times New Roman" w:cs="Times New Roman"/>
          <w:sz w:val="24"/>
          <w:szCs w:val="24"/>
        </w:rPr>
        <w:t>This enables them</w:t>
      </w:r>
      <w:r w:rsidR="00334AD8" w:rsidRPr="00A06014">
        <w:rPr>
          <w:rFonts w:ascii="Times New Roman" w:hAnsi="Times New Roman" w:cs="Times New Roman"/>
          <w:sz w:val="24"/>
          <w:szCs w:val="24"/>
        </w:rPr>
        <w:t xml:space="preserve"> to look at the economic outlook of the whole group</w:t>
      </w:r>
      <w:r w:rsidR="007224F0" w:rsidRPr="00A06014">
        <w:rPr>
          <w:rFonts w:ascii="Times New Roman" w:hAnsi="Times New Roman" w:cs="Times New Roman"/>
          <w:sz w:val="24"/>
          <w:szCs w:val="24"/>
        </w:rPr>
        <w:t xml:space="preserve"> in</w:t>
      </w:r>
      <w:r w:rsidR="000F0055" w:rsidRPr="00A06014">
        <w:rPr>
          <w:rFonts w:ascii="Times New Roman" w:hAnsi="Times New Roman" w:cs="Times New Roman"/>
          <w:sz w:val="24"/>
          <w:szCs w:val="24"/>
        </w:rPr>
        <w:t xml:space="preserve"> order to do </w:t>
      </w:r>
      <w:r w:rsidR="007224F0" w:rsidRPr="00A06014">
        <w:rPr>
          <w:rFonts w:ascii="Times New Roman" w:hAnsi="Times New Roman" w:cs="Times New Roman"/>
          <w:sz w:val="24"/>
          <w:szCs w:val="24"/>
        </w:rPr>
        <w:t xml:space="preserve">real and substantial </w:t>
      </w:r>
      <w:r w:rsidR="000F0055" w:rsidRPr="00A06014">
        <w:rPr>
          <w:rFonts w:ascii="Times New Roman" w:hAnsi="Times New Roman" w:cs="Times New Roman"/>
          <w:sz w:val="24"/>
          <w:szCs w:val="24"/>
        </w:rPr>
        <w:t xml:space="preserve">justice </w:t>
      </w:r>
      <w:r w:rsidR="00C064A9" w:rsidRPr="00A06014">
        <w:rPr>
          <w:rFonts w:ascii="Times New Roman" w:hAnsi="Times New Roman" w:cs="Times New Roman"/>
          <w:sz w:val="24"/>
          <w:szCs w:val="24"/>
        </w:rPr>
        <w:t xml:space="preserve">between the </w:t>
      </w:r>
      <w:r w:rsidR="003028CE" w:rsidRPr="00A06014">
        <w:rPr>
          <w:rFonts w:ascii="Times New Roman" w:hAnsi="Times New Roman" w:cs="Times New Roman"/>
          <w:sz w:val="24"/>
          <w:szCs w:val="24"/>
        </w:rPr>
        <w:t>part</w:t>
      </w:r>
      <w:r w:rsidR="00C064A9" w:rsidRPr="00A06014">
        <w:rPr>
          <w:rFonts w:ascii="Times New Roman" w:hAnsi="Times New Roman" w:cs="Times New Roman"/>
          <w:sz w:val="24"/>
          <w:szCs w:val="24"/>
        </w:rPr>
        <w:t>ies</w:t>
      </w:r>
      <w:r w:rsidR="007224F0" w:rsidRPr="00A06014">
        <w:rPr>
          <w:rFonts w:ascii="Times New Roman" w:hAnsi="Times New Roman" w:cs="Times New Roman"/>
          <w:sz w:val="24"/>
          <w:szCs w:val="24"/>
        </w:rPr>
        <w:t xml:space="preserve"> as the economic perspective of the group and its subsidiaries may</w:t>
      </w:r>
      <w:r w:rsidR="008834AB" w:rsidRPr="00A06014">
        <w:rPr>
          <w:rFonts w:ascii="Times New Roman" w:hAnsi="Times New Roman" w:cs="Times New Roman"/>
          <w:sz w:val="24"/>
          <w:szCs w:val="24"/>
        </w:rPr>
        <w:t xml:space="preserve"> be</w:t>
      </w:r>
      <w:r w:rsidR="007224F0" w:rsidRPr="00A06014">
        <w:rPr>
          <w:rFonts w:ascii="Times New Roman" w:hAnsi="Times New Roman" w:cs="Times New Roman"/>
          <w:sz w:val="24"/>
          <w:szCs w:val="24"/>
        </w:rPr>
        <w:t xml:space="preserve"> intricat</w:t>
      </w:r>
      <w:r w:rsidR="00735A27" w:rsidRPr="00A06014">
        <w:rPr>
          <w:rFonts w:ascii="Times New Roman" w:hAnsi="Times New Roman" w:cs="Times New Roman"/>
          <w:sz w:val="24"/>
          <w:szCs w:val="24"/>
        </w:rPr>
        <w:t xml:space="preserve">ely interwoven and difficult </w:t>
      </w:r>
      <w:r w:rsidR="0058042F" w:rsidRPr="00A06014">
        <w:rPr>
          <w:rFonts w:ascii="Times New Roman" w:hAnsi="Times New Roman" w:cs="Times New Roman"/>
          <w:sz w:val="24"/>
          <w:szCs w:val="24"/>
        </w:rPr>
        <w:t>to unravel</w:t>
      </w:r>
      <w:r w:rsidR="007224F0" w:rsidRPr="00A06014">
        <w:rPr>
          <w:rFonts w:ascii="Times New Roman" w:hAnsi="Times New Roman" w:cs="Times New Roman"/>
          <w:sz w:val="24"/>
          <w:szCs w:val="24"/>
        </w:rPr>
        <w:t xml:space="preserve"> unless holistically considered.</w:t>
      </w:r>
    </w:p>
    <w:p w:rsidR="008834AB" w:rsidRPr="00BB1857" w:rsidRDefault="008834AB" w:rsidP="00753C08">
      <w:pPr>
        <w:tabs>
          <w:tab w:val="left" w:pos="1134"/>
        </w:tabs>
        <w:spacing w:after="0" w:line="480" w:lineRule="auto"/>
        <w:jc w:val="both"/>
        <w:rPr>
          <w:rFonts w:ascii="Times New Roman" w:hAnsi="Times New Roman" w:cs="Times New Roman"/>
          <w:sz w:val="16"/>
          <w:szCs w:val="16"/>
        </w:rPr>
      </w:pPr>
      <w:r w:rsidRPr="00A06014">
        <w:rPr>
          <w:rFonts w:ascii="Times New Roman" w:hAnsi="Times New Roman" w:cs="Times New Roman"/>
          <w:sz w:val="24"/>
          <w:szCs w:val="24"/>
        </w:rPr>
        <w:t xml:space="preserve"> </w:t>
      </w:r>
    </w:p>
    <w:p w:rsidR="008834AB" w:rsidRPr="00A06014" w:rsidRDefault="00CC6906" w:rsidP="00E215ED">
      <w:pPr>
        <w:tabs>
          <w:tab w:val="left" w:pos="1134"/>
        </w:tabs>
        <w:spacing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8834AB" w:rsidRPr="00A06014">
        <w:rPr>
          <w:rFonts w:ascii="Times New Roman" w:hAnsi="Times New Roman" w:cs="Times New Roman"/>
          <w:sz w:val="24"/>
          <w:szCs w:val="24"/>
        </w:rPr>
        <w:t xml:space="preserve">It is ironic that the appellant is objecting to being treated as a partner of Gold Star when it sowed the seeds of implied partnership </w:t>
      </w:r>
      <w:r w:rsidR="006326A1" w:rsidRPr="00A06014">
        <w:rPr>
          <w:rFonts w:ascii="Times New Roman" w:hAnsi="Times New Roman" w:cs="Times New Roman"/>
          <w:sz w:val="24"/>
          <w:szCs w:val="24"/>
        </w:rPr>
        <w:t xml:space="preserve">by intervening on behalf of Gold Star and </w:t>
      </w:r>
      <w:r w:rsidR="006326A1" w:rsidRPr="00A06014">
        <w:rPr>
          <w:rFonts w:ascii="Times New Roman" w:hAnsi="Times New Roman" w:cs="Times New Roman"/>
          <w:sz w:val="24"/>
          <w:szCs w:val="24"/>
        </w:rPr>
        <w:lastRenderedPageBreak/>
        <w:t xml:space="preserve">litigating on its behalf. </w:t>
      </w:r>
      <w:r w:rsidR="00753C08" w:rsidRPr="00A06014">
        <w:rPr>
          <w:rFonts w:ascii="Times New Roman" w:hAnsi="Times New Roman" w:cs="Times New Roman"/>
          <w:sz w:val="24"/>
          <w:szCs w:val="24"/>
        </w:rPr>
        <w:t xml:space="preserve"> </w:t>
      </w:r>
      <w:r w:rsidR="006326A1" w:rsidRPr="00A06014">
        <w:rPr>
          <w:rFonts w:ascii="Times New Roman" w:hAnsi="Times New Roman" w:cs="Times New Roman"/>
          <w:sz w:val="24"/>
          <w:szCs w:val="24"/>
        </w:rPr>
        <w:t xml:space="preserve">By </w:t>
      </w:r>
      <w:r w:rsidR="00DE1645" w:rsidRPr="00A06014">
        <w:rPr>
          <w:rFonts w:ascii="Times New Roman" w:hAnsi="Times New Roman" w:cs="Times New Roman"/>
          <w:sz w:val="24"/>
          <w:szCs w:val="24"/>
        </w:rPr>
        <w:t xml:space="preserve">so doing it became the employer in partnership with Gold Star which was not a party to the proceedings. </w:t>
      </w:r>
    </w:p>
    <w:p w:rsidR="00DE1645" w:rsidRPr="00BB1857" w:rsidRDefault="00DE1645" w:rsidP="009C39C5">
      <w:pPr>
        <w:spacing w:after="0"/>
        <w:jc w:val="both"/>
        <w:rPr>
          <w:rFonts w:ascii="Times New Roman" w:hAnsi="Times New Roman" w:cs="Times New Roman"/>
          <w:sz w:val="16"/>
          <w:szCs w:val="16"/>
        </w:rPr>
      </w:pPr>
    </w:p>
    <w:p w:rsidR="00A6646F" w:rsidRPr="00A06014" w:rsidRDefault="00CC6906" w:rsidP="00753C08">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753C08" w:rsidRPr="00A06014">
        <w:rPr>
          <w:rFonts w:ascii="Times New Roman" w:hAnsi="Times New Roman" w:cs="Times New Roman"/>
          <w:sz w:val="24"/>
          <w:szCs w:val="24"/>
        </w:rPr>
        <w:t>At p</w:t>
      </w:r>
      <w:r w:rsidR="00DE1645" w:rsidRPr="00A06014">
        <w:rPr>
          <w:rFonts w:ascii="Times New Roman" w:hAnsi="Times New Roman" w:cs="Times New Roman"/>
          <w:sz w:val="24"/>
          <w:szCs w:val="24"/>
        </w:rPr>
        <w:t xml:space="preserve"> 17 of the record of proceedings, learned counsel for the appellant acknowledged that the appellant </w:t>
      </w:r>
      <w:r w:rsidR="00164C06" w:rsidRPr="00A06014">
        <w:rPr>
          <w:rFonts w:ascii="Times New Roman" w:hAnsi="Times New Roman" w:cs="Times New Roman"/>
          <w:sz w:val="24"/>
          <w:szCs w:val="24"/>
        </w:rPr>
        <w:t>was legally obli</w:t>
      </w:r>
      <w:r w:rsidR="00B504D8" w:rsidRPr="00A06014">
        <w:rPr>
          <w:rFonts w:ascii="Times New Roman" w:hAnsi="Times New Roman" w:cs="Times New Roman"/>
          <w:sz w:val="24"/>
          <w:szCs w:val="24"/>
        </w:rPr>
        <w:t>ged</w:t>
      </w:r>
      <w:r w:rsidR="00DE1645" w:rsidRPr="00A06014">
        <w:rPr>
          <w:rFonts w:ascii="Times New Roman" w:hAnsi="Times New Roman" w:cs="Times New Roman"/>
          <w:sz w:val="24"/>
          <w:szCs w:val="24"/>
        </w:rPr>
        <w:t xml:space="preserve"> to produce the </w:t>
      </w:r>
      <w:r w:rsidR="00164C06" w:rsidRPr="00A06014">
        <w:rPr>
          <w:rFonts w:ascii="Times New Roman" w:hAnsi="Times New Roman" w:cs="Times New Roman"/>
          <w:sz w:val="24"/>
          <w:szCs w:val="24"/>
        </w:rPr>
        <w:t>questioned statements in terms of s 76</w:t>
      </w:r>
      <w:r w:rsidR="00A6646F" w:rsidRPr="00A06014">
        <w:rPr>
          <w:rFonts w:ascii="Times New Roman" w:hAnsi="Times New Roman" w:cs="Times New Roman"/>
          <w:sz w:val="24"/>
          <w:szCs w:val="24"/>
        </w:rPr>
        <w:t xml:space="preserve"> (1)</w:t>
      </w:r>
      <w:r w:rsidR="00164C06" w:rsidRPr="00A06014">
        <w:rPr>
          <w:rFonts w:ascii="Times New Roman" w:hAnsi="Times New Roman" w:cs="Times New Roman"/>
          <w:sz w:val="24"/>
          <w:szCs w:val="24"/>
        </w:rPr>
        <w:t xml:space="preserve"> of the Act. </w:t>
      </w:r>
      <w:r w:rsidR="00DE1645" w:rsidRPr="00A06014">
        <w:rPr>
          <w:rFonts w:ascii="Times New Roman" w:hAnsi="Times New Roman" w:cs="Times New Roman"/>
          <w:sz w:val="24"/>
          <w:szCs w:val="24"/>
        </w:rPr>
        <w:t xml:space="preserve"> </w:t>
      </w:r>
      <w:r w:rsidR="00A6646F" w:rsidRPr="00A06014">
        <w:rPr>
          <w:rFonts w:ascii="Times New Roman" w:hAnsi="Times New Roman" w:cs="Times New Roman"/>
          <w:sz w:val="24"/>
          <w:szCs w:val="24"/>
        </w:rPr>
        <w:t xml:space="preserve">The section provides as follows: </w:t>
      </w:r>
    </w:p>
    <w:p w:rsidR="00A6646F" w:rsidRPr="00A06014" w:rsidRDefault="00A6646F" w:rsidP="00753C08">
      <w:pPr>
        <w:tabs>
          <w:tab w:val="left" w:pos="567"/>
        </w:tabs>
        <w:autoSpaceDE w:val="0"/>
        <w:autoSpaceDN w:val="0"/>
        <w:adjustRightInd w:val="0"/>
        <w:spacing w:after="0" w:line="240" w:lineRule="auto"/>
        <w:ind w:left="567"/>
        <w:jc w:val="both"/>
        <w:rPr>
          <w:rFonts w:ascii="Times New Roman" w:hAnsi="Times New Roman" w:cs="Times New Roman"/>
          <w:b/>
          <w:bCs/>
          <w:sz w:val="24"/>
          <w:szCs w:val="24"/>
        </w:rPr>
      </w:pPr>
      <w:r w:rsidRPr="00A06014">
        <w:rPr>
          <w:rFonts w:ascii="Times New Roman" w:hAnsi="Times New Roman" w:cs="Times New Roman"/>
          <w:sz w:val="24"/>
          <w:szCs w:val="24"/>
        </w:rPr>
        <w:t>“</w:t>
      </w:r>
      <w:r w:rsidRPr="00A06014">
        <w:rPr>
          <w:rFonts w:ascii="Times New Roman" w:hAnsi="Times New Roman" w:cs="Times New Roman"/>
          <w:b/>
          <w:bCs/>
          <w:sz w:val="24"/>
          <w:szCs w:val="24"/>
        </w:rPr>
        <w:t>76 Duty of full disclosure when financial incapacity alleged</w:t>
      </w:r>
    </w:p>
    <w:p w:rsidR="00A6646F" w:rsidRPr="00A06014" w:rsidRDefault="00A6646F" w:rsidP="00F3020B">
      <w:pPr>
        <w:tabs>
          <w:tab w:val="left" w:pos="567"/>
          <w:tab w:val="left" w:pos="993"/>
        </w:tabs>
        <w:autoSpaceDE w:val="0"/>
        <w:autoSpaceDN w:val="0"/>
        <w:adjustRightInd w:val="0"/>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 xml:space="preserve">(1) </w:t>
      </w:r>
      <w:r w:rsidR="00772BCB" w:rsidRPr="00A06014">
        <w:rPr>
          <w:rFonts w:ascii="Times New Roman" w:hAnsi="Times New Roman" w:cs="Times New Roman"/>
          <w:sz w:val="24"/>
          <w:szCs w:val="24"/>
        </w:rPr>
        <w:tab/>
      </w:r>
      <w:r w:rsidRPr="00A06014">
        <w:rPr>
          <w:rFonts w:ascii="Times New Roman" w:hAnsi="Times New Roman" w:cs="Times New Roman"/>
          <w:sz w:val="24"/>
          <w:szCs w:val="24"/>
        </w:rPr>
        <w:t>When any party to the negotiation of a collective bargaining agreement alleges financial</w:t>
      </w:r>
      <w:r w:rsidR="00772BCB" w:rsidRPr="00A06014">
        <w:rPr>
          <w:rFonts w:ascii="Times New Roman" w:hAnsi="Times New Roman" w:cs="Times New Roman"/>
          <w:sz w:val="24"/>
          <w:szCs w:val="24"/>
        </w:rPr>
        <w:t xml:space="preserve"> </w:t>
      </w:r>
      <w:r w:rsidR="00435708" w:rsidRPr="00A06014">
        <w:rPr>
          <w:rFonts w:ascii="Times New Roman" w:hAnsi="Times New Roman" w:cs="Times New Roman"/>
          <w:sz w:val="24"/>
          <w:szCs w:val="24"/>
        </w:rPr>
        <w:t>incapacity as a ground for his inability to agree to any terms </w:t>
      </w:r>
      <w:r w:rsidRPr="00A06014">
        <w:rPr>
          <w:rFonts w:ascii="Times New Roman" w:hAnsi="Times New Roman" w:cs="Times New Roman"/>
          <w:sz w:val="24"/>
          <w:szCs w:val="24"/>
        </w:rPr>
        <w:t>or</w:t>
      </w:r>
      <w:r w:rsidR="00435708" w:rsidRPr="00A06014">
        <w:rPr>
          <w:rFonts w:ascii="Times New Roman" w:hAnsi="Times New Roman" w:cs="Times New Roman"/>
          <w:sz w:val="24"/>
          <w:szCs w:val="24"/>
        </w:rPr>
        <w:t> conditions, or</w:t>
      </w:r>
      <w:r w:rsidRPr="00A06014">
        <w:rPr>
          <w:rFonts w:ascii="Times New Roman" w:hAnsi="Times New Roman" w:cs="Times New Roman"/>
          <w:sz w:val="24"/>
          <w:szCs w:val="24"/>
        </w:rPr>
        <w:t xml:space="preserve"> to any alteration</w:t>
      </w:r>
      <w:r w:rsidR="00435708" w:rsidRPr="00A06014">
        <w:rPr>
          <w:rFonts w:ascii="Times New Roman" w:hAnsi="Times New Roman" w:cs="Times New Roman"/>
          <w:sz w:val="24"/>
          <w:szCs w:val="24"/>
        </w:rPr>
        <w:t xml:space="preserve"> of any </w:t>
      </w:r>
      <w:r w:rsidRPr="00A06014">
        <w:rPr>
          <w:rFonts w:ascii="Times New Roman" w:hAnsi="Times New Roman" w:cs="Times New Roman"/>
          <w:sz w:val="24"/>
          <w:szCs w:val="24"/>
        </w:rPr>
        <w:t>terms or conditions thereof, it shall be the duty of such party to make full disclo</w:t>
      </w:r>
      <w:r w:rsidR="00435708" w:rsidRPr="00A06014">
        <w:rPr>
          <w:rFonts w:ascii="Times New Roman" w:hAnsi="Times New Roman" w:cs="Times New Roman"/>
          <w:sz w:val="24"/>
          <w:szCs w:val="24"/>
        </w:rPr>
        <w:t>sure of his financial position, duly</w:t>
      </w:r>
      <w:r w:rsidRPr="00A06014">
        <w:rPr>
          <w:rFonts w:ascii="Times New Roman" w:hAnsi="Times New Roman" w:cs="Times New Roman"/>
          <w:sz w:val="24"/>
          <w:szCs w:val="24"/>
        </w:rPr>
        <w:t xml:space="preserve"> supported by all relevant accounting pape</w:t>
      </w:r>
      <w:r w:rsidR="00435708" w:rsidRPr="00A06014">
        <w:rPr>
          <w:rFonts w:ascii="Times New Roman" w:hAnsi="Times New Roman" w:cs="Times New Roman"/>
          <w:sz w:val="24"/>
          <w:szCs w:val="24"/>
        </w:rPr>
        <w:t xml:space="preserve">rs and documents, to the other </w:t>
      </w:r>
      <w:r w:rsidRPr="00A06014">
        <w:rPr>
          <w:rFonts w:ascii="Times New Roman" w:hAnsi="Times New Roman" w:cs="Times New Roman"/>
          <w:sz w:val="24"/>
          <w:szCs w:val="24"/>
        </w:rPr>
        <w:t>party.</w:t>
      </w:r>
      <w:r w:rsidR="00772BCB" w:rsidRPr="00A06014">
        <w:rPr>
          <w:rFonts w:ascii="Times New Roman" w:hAnsi="Times New Roman" w:cs="Times New Roman"/>
          <w:sz w:val="24"/>
          <w:szCs w:val="24"/>
        </w:rPr>
        <w:t>”</w:t>
      </w:r>
    </w:p>
    <w:p w:rsidR="00435708" w:rsidRPr="00A06014" w:rsidRDefault="00435708" w:rsidP="00435708">
      <w:pPr>
        <w:tabs>
          <w:tab w:val="left" w:pos="567"/>
        </w:tabs>
        <w:autoSpaceDE w:val="0"/>
        <w:autoSpaceDN w:val="0"/>
        <w:adjustRightInd w:val="0"/>
        <w:spacing w:after="0" w:line="240" w:lineRule="auto"/>
        <w:ind w:left="567"/>
        <w:jc w:val="both"/>
        <w:rPr>
          <w:rFonts w:ascii="Times New Roman" w:hAnsi="Times New Roman" w:cs="Times New Roman"/>
          <w:sz w:val="24"/>
          <w:szCs w:val="24"/>
        </w:rPr>
      </w:pPr>
    </w:p>
    <w:p w:rsidR="00473C86" w:rsidRPr="00A06014" w:rsidRDefault="00473C86" w:rsidP="009C39C5">
      <w:pPr>
        <w:autoSpaceDE w:val="0"/>
        <w:autoSpaceDN w:val="0"/>
        <w:adjustRightInd w:val="0"/>
        <w:spacing w:after="0" w:line="240" w:lineRule="auto"/>
        <w:jc w:val="both"/>
        <w:rPr>
          <w:rFonts w:ascii="Times New Roman" w:hAnsi="Times New Roman" w:cs="Times New Roman"/>
          <w:sz w:val="24"/>
          <w:szCs w:val="24"/>
        </w:rPr>
      </w:pPr>
    </w:p>
    <w:p w:rsidR="00435708" w:rsidRPr="00BB1857" w:rsidRDefault="00435708" w:rsidP="009C39C5">
      <w:pPr>
        <w:autoSpaceDE w:val="0"/>
        <w:autoSpaceDN w:val="0"/>
        <w:adjustRightInd w:val="0"/>
        <w:spacing w:after="0" w:line="240" w:lineRule="auto"/>
        <w:jc w:val="both"/>
        <w:rPr>
          <w:rFonts w:ascii="Times New Roman" w:hAnsi="Times New Roman" w:cs="Times New Roman"/>
          <w:sz w:val="16"/>
          <w:szCs w:val="16"/>
        </w:rPr>
      </w:pPr>
    </w:p>
    <w:p w:rsidR="00435708" w:rsidRPr="00A06014" w:rsidRDefault="00435708" w:rsidP="00435708">
      <w:pPr>
        <w:tabs>
          <w:tab w:val="left" w:pos="1134"/>
        </w:tabs>
        <w:autoSpaceDE w:val="0"/>
        <w:autoSpaceDN w:val="0"/>
        <w:adjustRightInd w:val="0"/>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473C86" w:rsidRPr="00A06014">
        <w:rPr>
          <w:rFonts w:ascii="Times New Roman" w:hAnsi="Times New Roman" w:cs="Times New Roman"/>
          <w:sz w:val="24"/>
          <w:szCs w:val="24"/>
        </w:rPr>
        <w:t xml:space="preserve">It is common cause that </w:t>
      </w:r>
      <w:r w:rsidR="003974E1" w:rsidRPr="00A06014">
        <w:rPr>
          <w:rFonts w:ascii="Times New Roman" w:hAnsi="Times New Roman" w:cs="Times New Roman"/>
          <w:sz w:val="24"/>
          <w:szCs w:val="24"/>
        </w:rPr>
        <w:t xml:space="preserve">it is </w:t>
      </w:r>
      <w:r w:rsidR="00473C86" w:rsidRPr="00A06014">
        <w:rPr>
          <w:rFonts w:ascii="Times New Roman" w:hAnsi="Times New Roman" w:cs="Times New Roman"/>
          <w:sz w:val="24"/>
          <w:szCs w:val="24"/>
        </w:rPr>
        <w:t xml:space="preserve">the appellant </w:t>
      </w:r>
      <w:r w:rsidR="003974E1" w:rsidRPr="00A06014">
        <w:rPr>
          <w:rFonts w:ascii="Times New Roman" w:hAnsi="Times New Roman" w:cs="Times New Roman"/>
          <w:sz w:val="24"/>
          <w:szCs w:val="24"/>
        </w:rPr>
        <w:t xml:space="preserve">that </w:t>
      </w:r>
      <w:r w:rsidR="00473C86" w:rsidRPr="00A06014">
        <w:rPr>
          <w:rFonts w:ascii="Times New Roman" w:hAnsi="Times New Roman" w:cs="Times New Roman"/>
          <w:sz w:val="24"/>
          <w:szCs w:val="24"/>
        </w:rPr>
        <w:t>was pleading financial incapacity to pay the increased wa</w:t>
      </w:r>
      <w:r w:rsidR="0058042F" w:rsidRPr="00A06014">
        <w:rPr>
          <w:rFonts w:ascii="Times New Roman" w:hAnsi="Times New Roman" w:cs="Times New Roman"/>
          <w:sz w:val="24"/>
          <w:szCs w:val="24"/>
        </w:rPr>
        <w:t xml:space="preserve">ges claimed by the respondent. </w:t>
      </w:r>
      <w:r w:rsidR="00753C08" w:rsidRPr="00A06014">
        <w:rPr>
          <w:rFonts w:ascii="Times New Roman" w:hAnsi="Times New Roman" w:cs="Times New Roman"/>
          <w:sz w:val="24"/>
          <w:szCs w:val="24"/>
        </w:rPr>
        <w:t xml:space="preserve"> </w:t>
      </w:r>
      <w:r w:rsidR="0058042F" w:rsidRPr="00A06014">
        <w:rPr>
          <w:rFonts w:ascii="Times New Roman" w:hAnsi="Times New Roman" w:cs="Times New Roman"/>
          <w:sz w:val="24"/>
          <w:szCs w:val="24"/>
        </w:rPr>
        <w:t>Thus by</w:t>
      </w:r>
      <w:r w:rsidR="00473C86" w:rsidRPr="00A06014">
        <w:rPr>
          <w:rFonts w:ascii="Times New Roman" w:hAnsi="Times New Roman" w:cs="Times New Roman"/>
          <w:sz w:val="24"/>
          <w:szCs w:val="24"/>
        </w:rPr>
        <w:t xml:space="preserve"> virtue of s</w:t>
      </w:r>
      <w:r w:rsidRPr="00A06014">
        <w:rPr>
          <w:rFonts w:ascii="Times New Roman" w:hAnsi="Times New Roman" w:cs="Times New Roman"/>
          <w:sz w:val="24"/>
          <w:szCs w:val="24"/>
        </w:rPr>
        <w:t xml:space="preserve"> 76</w:t>
      </w:r>
      <w:r w:rsidR="003974E1" w:rsidRPr="00A06014">
        <w:rPr>
          <w:rFonts w:ascii="Times New Roman" w:hAnsi="Times New Roman" w:cs="Times New Roman"/>
          <w:sz w:val="24"/>
          <w:szCs w:val="24"/>
        </w:rPr>
        <w:t xml:space="preserve">(1) of the Act, it was obliged to produce its own financial statements to justify financial incapacity to pay the amounts claimed. </w:t>
      </w:r>
      <w:r w:rsidR="00C64A8B" w:rsidRPr="00A06014">
        <w:rPr>
          <w:rFonts w:ascii="Times New Roman" w:hAnsi="Times New Roman" w:cs="Times New Roman"/>
          <w:sz w:val="24"/>
          <w:szCs w:val="24"/>
        </w:rPr>
        <w:t xml:space="preserve"> </w:t>
      </w:r>
      <w:r w:rsidR="003974E1" w:rsidRPr="00A06014">
        <w:rPr>
          <w:rFonts w:ascii="Times New Roman" w:hAnsi="Times New Roman" w:cs="Times New Roman"/>
          <w:sz w:val="24"/>
          <w:szCs w:val="24"/>
        </w:rPr>
        <w:t>Gold Star was not obliged to produce any financial statements as it was not a party to the proceedings and had not pleaded incapacity to pay the amounts claimed.</w:t>
      </w:r>
    </w:p>
    <w:p w:rsidR="00753C08" w:rsidRPr="00A06014" w:rsidRDefault="00753C08" w:rsidP="00753C08">
      <w:pPr>
        <w:tabs>
          <w:tab w:val="left" w:pos="1134"/>
        </w:tabs>
        <w:autoSpaceDE w:val="0"/>
        <w:autoSpaceDN w:val="0"/>
        <w:adjustRightInd w:val="0"/>
        <w:spacing w:after="0" w:line="240" w:lineRule="auto"/>
        <w:jc w:val="both"/>
        <w:rPr>
          <w:rFonts w:ascii="Times New Roman" w:hAnsi="Times New Roman" w:cs="Times New Roman"/>
          <w:sz w:val="24"/>
          <w:szCs w:val="24"/>
        </w:rPr>
      </w:pPr>
    </w:p>
    <w:p w:rsidR="003974E1" w:rsidRPr="00BB1857" w:rsidRDefault="003974E1" w:rsidP="009C39C5">
      <w:pPr>
        <w:autoSpaceDE w:val="0"/>
        <w:autoSpaceDN w:val="0"/>
        <w:adjustRightInd w:val="0"/>
        <w:spacing w:after="0" w:line="240" w:lineRule="auto"/>
        <w:jc w:val="both"/>
        <w:rPr>
          <w:rFonts w:ascii="Times New Roman" w:hAnsi="Times New Roman" w:cs="Times New Roman"/>
          <w:sz w:val="16"/>
          <w:szCs w:val="16"/>
        </w:rPr>
      </w:pPr>
    </w:p>
    <w:p w:rsidR="00767621" w:rsidRPr="00A06014" w:rsidRDefault="00435708" w:rsidP="00F3020B">
      <w:pPr>
        <w:tabs>
          <w:tab w:val="left" w:pos="1134"/>
        </w:tabs>
        <w:autoSpaceDE w:val="0"/>
        <w:autoSpaceDN w:val="0"/>
        <w:adjustRightInd w:val="0"/>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3974E1" w:rsidRPr="00A06014">
        <w:rPr>
          <w:rFonts w:ascii="Times New Roman" w:hAnsi="Times New Roman" w:cs="Times New Roman"/>
          <w:sz w:val="24"/>
          <w:szCs w:val="24"/>
        </w:rPr>
        <w:t>In any case</w:t>
      </w:r>
      <w:r w:rsidR="0058042F" w:rsidRPr="00A06014">
        <w:rPr>
          <w:rFonts w:ascii="Times New Roman" w:hAnsi="Times New Roman" w:cs="Times New Roman"/>
          <w:sz w:val="24"/>
          <w:szCs w:val="24"/>
        </w:rPr>
        <w:t>,</w:t>
      </w:r>
      <w:r w:rsidR="003974E1" w:rsidRPr="00A06014">
        <w:rPr>
          <w:rFonts w:ascii="Times New Roman" w:hAnsi="Times New Roman" w:cs="Times New Roman"/>
          <w:sz w:val="24"/>
          <w:szCs w:val="24"/>
        </w:rPr>
        <w:t xml:space="preserve"> </w:t>
      </w:r>
      <w:r w:rsidR="00753C08" w:rsidRPr="00A06014">
        <w:rPr>
          <w:rFonts w:ascii="Times New Roman" w:hAnsi="Times New Roman" w:cs="Times New Roman"/>
          <w:sz w:val="24"/>
          <w:szCs w:val="24"/>
        </w:rPr>
        <w:t>at p</w:t>
      </w:r>
      <w:r w:rsidR="00767621" w:rsidRPr="00A06014">
        <w:rPr>
          <w:rFonts w:ascii="Times New Roman" w:hAnsi="Times New Roman" w:cs="Times New Roman"/>
          <w:sz w:val="24"/>
          <w:szCs w:val="24"/>
        </w:rPr>
        <w:t xml:space="preserve"> 12 of the record of pro</w:t>
      </w:r>
      <w:r w:rsidR="003974E1" w:rsidRPr="00A06014">
        <w:rPr>
          <w:rFonts w:ascii="Times New Roman" w:hAnsi="Times New Roman" w:cs="Times New Roman"/>
          <w:sz w:val="24"/>
          <w:szCs w:val="24"/>
        </w:rPr>
        <w:t>ceedings,</w:t>
      </w:r>
      <w:r w:rsidR="00767621" w:rsidRPr="00A06014">
        <w:rPr>
          <w:rFonts w:ascii="Times New Roman" w:hAnsi="Times New Roman" w:cs="Times New Roman"/>
          <w:sz w:val="24"/>
          <w:szCs w:val="24"/>
        </w:rPr>
        <w:t xml:space="preserve"> the appellant makes it clear that there were no separate financial statements for Gold Star. </w:t>
      </w:r>
      <w:r w:rsidR="00753C08" w:rsidRPr="00A06014">
        <w:rPr>
          <w:rFonts w:ascii="Times New Roman" w:hAnsi="Times New Roman" w:cs="Times New Roman"/>
          <w:sz w:val="24"/>
          <w:szCs w:val="24"/>
        </w:rPr>
        <w:t xml:space="preserve"> </w:t>
      </w:r>
      <w:r w:rsidR="00767621" w:rsidRPr="00A06014">
        <w:rPr>
          <w:rFonts w:ascii="Times New Roman" w:hAnsi="Times New Roman" w:cs="Times New Roman"/>
          <w:sz w:val="24"/>
          <w:szCs w:val="24"/>
        </w:rPr>
        <w:t>Learned counsel for the appellant submitted that:</w:t>
      </w:r>
    </w:p>
    <w:p w:rsidR="003974E1" w:rsidRPr="00A06014" w:rsidRDefault="00767621" w:rsidP="00435708">
      <w:pPr>
        <w:autoSpaceDE w:val="0"/>
        <w:autoSpaceDN w:val="0"/>
        <w:adjustRightInd w:val="0"/>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“There is need for full disclosure we have</w:t>
      </w:r>
      <w:r w:rsidR="00435708" w:rsidRPr="00A06014">
        <w:rPr>
          <w:rFonts w:ascii="Times New Roman" w:hAnsi="Times New Roman" w:cs="Times New Roman"/>
          <w:sz w:val="24"/>
          <w:szCs w:val="24"/>
        </w:rPr>
        <w:t xml:space="preserve"> consolidated accounts for the </w:t>
      </w:r>
      <w:r w:rsidRPr="00A06014">
        <w:rPr>
          <w:rFonts w:ascii="Times New Roman" w:hAnsi="Times New Roman" w:cs="Times New Roman"/>
          <w:sz w:val="24"/>
          <w:szCs w:val="24"/>
        </w:rPr>
        <w:t>whole group</w:t>
      </w:r>
      <w:r w:rsidR="003974E1" w:rsidRPr="00A06014">
        <w:rPr>
          <w:rFonts w:ascii="Times New Roman" w:hAnsi="Times New Roman" w:cs="Times New Roman"/>
          <w:sz w:val="24"/>
          <w:szCs w:val="24"/>
        </w:rPr>
        <w:t xml:space="preserve"> </w:t>
      </w:r>
      <w:r w:rsidRPr="00A06014">
        <w:rPr>
          <w:rFonts w:ascii="Times New Roman" w:hAnsi="Times New Roman" w:cs="Times New Roman"/>
          <w:sz w:val="24"/>
          <w:szCs w:val="24"/>
        </w:rPr>
        <w:t>it does not make indi</w:t>
      </w:r>
      <w:r w:rsidR="00F10012" w:rsidRPr="00A06014">
        <w:rPr>
          <w:rFonts w:ascii="Times New Roman" w:hAnsi="Times New Roman" w:cs="Times New Roman"/>
          <w:sz w:val="24"/>
          <w:szCs w:val="24"/>
        </w:rPr>
        <w:t>vidual company (statements) fi</w:t>
      </w:r>
      <w:r w:rsidR="0058042F" w:rsidRPr="00A06014">
        <w:rPr>
          <w:rFonts w:ascii="Times New Roman" w:hAnsi="Times New Roman" w:cs="Times New Roman"/>
          <w:sz w:val="24"/>
          <w:szCs w:val="24"/>
        </w:rPr>
        <w:t>na</w:t>
      </w:r>
      <w:r w:rsidR="00F10012" w:rsidRPr="00A06014">
        <w:rPr>
          <w:rFonts w:ascii="Times New Roman" w:hAnsi="Times New Roman" w:cs="Times New Roman"/>
          <w:sz w:val="24"/>
          <w:szCs w:val="24"/>
        </w:rPr>
        <w:t>ncials.”</w:t>
      </w:r>
    </w:p>
    <w:p w:rsidR="00435708" w:rsidRPr="00A06014" w:rsidRDefault="00435708" w:rsidP="00435708">
      <w:pPr>
        <w:autoSpaceDE w:val="0"/>
        <w:autoSpaceDN w:val="0"/>
        <w:adjustRightInd w:val="0"/>
        <w:spacing w:after="0" w:line="240" w:lineRule="auto"/>
        <w:ind w:left="567"/>
        <w:jc w:val="both"/>
        <w:rPr>
          <w:rFonts w:ascii="Times New Roman" w:hAnsi="Times New Roman" w:cs="Times New Roman"/>
          <w:sz w:val="24"/>
          <w:szCs w:val="24"/>
        </w:rPr>
      </w:pPr>
    </w:p>
    <w:p w:rsidR="00F10012" w:rsidRPr="00A06014" w:rsidRDefault="00F10012" w:rsidP="009C39C5">
      <w:pPr>
        <w:autoSpaceDE w:val="0"/>
        <w:autoSpaceDN w:val="0"/>
        <w:adjustRightInd w:val="0"/>
        <w:spacing w:after="0" w:line="240" w:lineRule="auto"/>
        <w:jc w:val="both"/>
        <w:rPr>
          <w:rFonts w:ascii="Times New Roman" w:hAnsi="Times New Roman" w:cs="Times New Roman"/>
          <w:sz w:val="24"/>
          <w:szCs w:val="24"/>
        </w:rPr>
      </w:pPr>
    </w:p>
    <w:p w:rsidR="00435708" w:rsidRPr="00BB1857" w:rsidRDefault="00435708" w:rsidP="009C39C5">
      <w:pPr>
        <w:autoSpaceDE w:val="0"/>
        <w:autoSpaceDN w:val="0"/>
        <w:adjustRightInd w:val="0"/>
        <w:spacing w:after="0" w:line="240" w:lineRule="auto"/>
        <w:jc w:val="both"/>
        <w:rPr>
          <w:rFonts w:ascii="Times New Roman" w:hAnsi="Times New Roman" w:cs="Times New Roman"/>
          <w:sz w:val="16"/>
          <w:szCs w:val="16"/>
        </w:rPr>
      </w:pPr>
    </w:p>
    <w:p w:rsidR="00F10012" w:rsidRPr="00A06014" w:rsidRDefault="00435708" w:rsidP="00435708">
      <w:pPr>
        <w:tabs>
          <w:tab w:val="left" w:pos="1134"/>
        </w:tabs>
        <w:autoSpaceDE w:val="0"/>
        <w:autoSpaceDN w:val="0"/>
        <w:adjustRightInd w:val="0"/>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F10012" w:rsidRPr="00A06014">
        <w:rPr>
          <w:rFonts w:ascii="Times New Roman" w:hAnsi="Times New Roman" w:cs="Times New Roman"/>
          <w:sz w:val="24"/>
          <w:szCs w:val="24"/>
        </w:rPr>
        <w:t xml:space="preserve">That statement puts this case squarely within the ambit of the </w:t>
      </w:r>
      <w:r w:rsidR="00C61AF5">
        <w:rPr>
          <w:rFonts w:ascii="Times New Roman" w:hAnsi="Times New Roman" w:cs="Times New Roman"/>
          <w:i/>
          <w:sz w:val="24"/>
          <w:szCs w:val="24"/>
        </w:rPr>
        <w:t>DHN Food </w:t>
      </w:r>
      <w:r w:rsidR="00F10012" w:rsidRPr="00A06014">
        <w:rPr>
          <w:rFonts w:ascii="Times New Roman" w:hAnsi="Times New Roman" w:cs="Times New Roman"/>
          <w:i/>
          <w:sz w:val="24"/>
          <w:szCs w:val="24"/>
        </w:rPr>
        <w:t xml:space="preserve">Distributors </w:t>
      </w:r>
      <w:r w:rsidR="00F10012" w:rsidRPr="00FC7A4C">
        <w:rPr>
          <w:rFonts w:ascii="Times New Roman" w:hAnsi="Times New Roman" w:cs="Times New Roman"/>
          <w:sz w:val="24"/>
          <w:szCs w:val="24"/>
        </w:rPr>
        <w:t>case</w:t>
      </w:r>
      <w:r w:rsidR="00F10012" w:rsidRPr="00A06014">
        <w:rPr>
          <w:rFonts w:ascii="Times New Roman" w:hAnsi="Times New Roman" w:cs="Times New Roman"/>
          <w:i/>
          <w:sz w:val="24"/>
          <w:szCs w:val="24"/>
        </w:rPr>
        <w:t xml:space="preserve"> (supra). </w:t>
      </w:r>
      <w:r w:rsidR="00753C08" w:rsidRPr="00A06014">
        <w:rPr>
          <w:rFonts w:ascii="Times New Roman" w:hAnsi="Times New Roman" w:cs="Times New Roman"/>
          <w:i/>
          <w:sz w:val="24"/>
          <w:szCs w:val="24"/>
        </w:rPr>
        <w:t xml:space="preserve"> </w:t>
      </w:r>
      <w:r w:rsidR="00F10012" w:rsidRPr="00A06014">
        <w:rPr>
          <w:rFonts w:ascii="Times New Roman" w:hAnsi="Times New Roman" w:cs="Times New Roman"/>
          <w:sz w:val="24"/>
          <w:szCs w:val="24"/>
        </w:rPr>
        <w:t xml:space="preserve">This is for the simple but good reason that the appellant was in absolute control of the group’s finances to the exclusion of its subsidiaries including Gold Star. </w:t>
      </w:r>
      <w:r w:rsidR="008A0463" w:rsidRPr="00A06014">
        <w:rPr>
          <w:rFonts w:ascii="Times New Roman" w:hAnsi="Times New Roman" w:cs="Times New Roman"/>
          <w:sz w:val="24"/>
          <w:szCs w:val="24"/>
        </w:rPr>
        <w:t xml:space="preserve"> </w:t>
      </w:r>
      <w:r w:rsidR="00F10012" w:rsidRPr="00A06014">
        <w:rPr>
          <w:rFonts w:ascii="Times New Roman" w:hAnsi="Times New Roman" w:cs="Times New Roman"/>
          <w:sz w:val="24"/>
          <w:szCs w:val="24"/>
        </w:rPr>
        <w:t xml:space="preserve">This explains why it litigated in its capacity as the employer without joining Gold Star </w:t>
      </w:r>
      <w:r w:rsidR="00F10012" w:rsidRPr="00A06014">
        <w:rPr>
          <w:rFonts w:ascii="Times New Roman" w:hAnsi="Times New Roman" w:cs="Times New Roman"/>
          <w:sz w:val="24"/>
          <w:szCs w:val="24"/>
        </w:rPr>
        <w:lastRenderedPageBreak/>
        <w:t xml:space="preserve">which it </w:t>
      </w:r>
      <w:r w:rsidR="00F87497" w:rsidRPr="00A06014">
        <w:rPr>
          <w:rFonts w:ascii="Times New Roman" w:hAnsi="Times New Roman" w:cs="Times New Roman"/>
          <w:sz w:val="24"/>
          <w:szCs w:val="24"/>
        </w:rPr>
        <w:t xml:space="preserve">now </w:t>
      </w:r>
      <w:r w:rsidR="00F10012" w:rsidRPr="00A06014">
        <w:rPr>
          <w:rFonts w:ascii="Times New Roman" w:hAnsi="Times New Roman" w:cs="Times New Roman"/>
          <w:sz w:val="24"/>
          <w:szCs w:val="24"/>
        </w:rPr>
        <w:t xml:space="preserve">alleges is the real employer separate and distinct from </w:t>
      </w:r>
      <w:r w:rsidR="00F87497" w:rsidRPr="00A06014">
        <w:rPr>
          <w:rFonts w:ascii="Times New Roman" w:hAnsi="Times New Roman" w:cs="Times New Roman"/>
          <w:sz w:val="24"/>
          <w:szCs w:val="24"/>
        </w:rPr>
        <w:t>it</w:t>
      </w:r>
      <w:r w:rsidR="00F10012" w:rsidRPr="00A06014">
        <w:rPr>
          <w:rFonts w:ascii="Times New Roman" w:hAnsi="Times New Roman" w:cs="Times New Roman"/>
          <w:sz w:val="24"/>
          <w:szCs w:val="24"/>
        </w:rPr>
        <w:t xml:space="preserve">. </w:t>
      </w:r>
      <w:r w:rsidR="00753C08" w:rsidRPr="00A06014">
        <w:rPr>
          <w:rFonts w:ascii="Times New Roman" w:hAnsi="Times New Roman" w:cs="Times New Roman"/>
          <w:sz w:val="24"/>
          <w:szCs w:val="24"/>
        </w:rPr>
        <w:t xml:space="preserve"> </w:t>
      </w:r>
      <w:r w:rsidR="00F87497" w:rsidRPr="00A06014">
        <w:rPr>
          <w:rFonts w:ascii="Times New Roman" w:hAnsi="Times New Roman" w:cs="Times New Roman"/>
          <w:sz w:val="24"/>
          <w:szCs w:val="24"/>
        </w:rPr>
        <w:t xml:space="preserve">Had it been so, then the appellant would undoubtedly have joined Gold Star to the proceedings considering that it was ably represented by counsel at every stage of the protracted proceedings. </w:t>
      </w:r>
      <w:r w:rsidR="00753C08" w:rsidRPr="00A06014">
        <w:rPr>
          <w:rFonts w:ascii="Times New Roman" w:hAnsi="Times New Roman" w:cs="Times New Roman"/>
          <w:sz w:val="24"/>
          <w:szCs w:val="24"/>
        </w:rPr>
        <w:t xml:space="preserve"> </w:t>
      </w:r>
      <w:r w:rsidR="00F87497" w:rsidRPr="00A06014">
        <w:rPr>
          <w:rFonts w:ascii="Times New Roman" w:hAnsi="Times New Roman" w:cs="Times New Roman"/>
          <w:sz w:val="24"/>
          <w:szCs w:val="24"/>
        </w:rPr>
        <w:t>This it did not do</w:t>
      </w:r>
      <w:r w:rsidR="006C11FC" w:rsidRPr="00A06014">
        <w:rPr>
          <w:rFonts w:ascii="Times New Roman" w:hAnsi="Times New Roman" w:cs="Times New Roman"/>
          <w:sz w:val="24"/>
          <w:szCs w:val="24"/>
        </w:rPr>
        <w:t>,</w:t>
      </w:r>
      <w:r w:rsidR="00F87497" w:rsidRPr="00A06014">
        <w:rPr>
          <w:rFonts w:ascii="Times New Roman" w:hAnsi="Times New Roman" w:cs="Times New Roman"/>
          <w:sz w:val="24"/>
          <w:szCs w:val="24"/>
        </w:rPr>
        <w:t xml:space="preserve"> thereby exposing itself as the real employer.</w:t>
      </w:r>
      <w:r w:rsidR="006C11FC" w:rsidRPr="00A06014">
        <w:rPr>
          <w:rFonts w:ascii="Times New Roman" w:hAnsi="Times New Roman" w:cs="Times New Roman"/>
          <w:sz w:val="24"/>
          <w:szCs w:val="24"/>
        </w:rPr>
        <w:t xml:space="preserve"> </w:t>
      </w:r>
      <w:r w:rsidR="00753C08" w:rsidRPr="00A06014">
        <w:rPr>
          <w:rFonts w:ascii="Times New Roman" w:hAnsi="Times New Roman" w:cs="Times New Roman"/>
          <w:sz w:val="24"/>
          <w:szCs w:val="24"/>
        </w:rPr>
        <w:t xml:space="preserve"> </w:t>
      </w:r>
      <w:r w:rsidR="006C11FC" w:rsidRPr="00A06014">
        <w:rPr>
          <w:rFonts w:ascii="Times New Roman" w:hAnsi="Times New Roman" w:cs="Times New Roman"/>
          <w:sz w:val="24"/>
          <w:szCs w:val="24"/>
        </w:rPr>
        <w:t xml:space="preserve">Had it not been the real employer it could not have fought Gold Star’s battles in its absence and without </w:t>
      </w:r>
      <w:r w:rsidR="00994EBD">
        <w:rPr>
          <w:rFonts w:ascii="Times New Roman" w:hAnsi="Times New Roman" w:cs="Times New Roman"/>
          <w:sz w:val="24"/>
          <w:szCs w:val="24"/>
        </w:rPr>
        <w:t xml:space="preserve">its </w:t>
      </w:r>
      <w:r w:rsidR="006C11FC" w:rsidRPr="00A06014">
        <w:rPr>
          <w:rFonts w:ascii="Times New Roman" w:hAnsi="Times New Roman" w:cs="Times New Roman"/>
          <w:sz w:val="24"/>
          <w:szCs w:val="24"/>
        </w:rPr>
        <w:t>mandate.</w:t>
      </w:r>
    </w:p>
    <w:p w:rsidR="00435708" w:rsidRPr="00A06014" w:rsidRDefault="00435708" w:rsidP="00753C08">
      <w:pPr>
        <w:tabs>
          <w:tab w:val="left" w:pos="1134"/>
        </w:tabs>
        <w:autoSpaceDE w:val="0"/>
        <w:autoSpaceDN w:val="0"/>
        <w:adjustRightInd w:val="0"/>
        <w:spacing w:after="0" w:line="240" w:lineRule="auto"/>
        <w:jc w:val="both"/>
        <w:rPr>
          <w:rFonts w:ascii="Times New Roman" w:hAnsi="Times New Roman" w:cs="Times New Roman"/>
          <w:sz w:val="24"/>
          <w:szCs w:val="24"/>
        </w:rPr>
      </w:pPr>
    </w:p>
    <w:p w:rsidR="00895CF1" w:rsidRPr="00BB1857" w:rsidRDefault="00006150" w:rsidP="009C39C5">
      <w:pPr>
        <w:autoSpaceDE w:val="0"/>
        <w:autoSpaceDN w:val="0"/>
        <w:adjustRightInd w:val="0"/>
        <w:spacing w:after="0" w:line="240" w:lineRule="auto"/>
        <w:jc w:val="both"/>
        <w:rPr>
          <w:rFonts w:ascii="Times New Roman" w:hAnsi="Times New Roman" w:cs="Times New Roman"/>
          <w:sz w:val="16"/>
          <w:szCs w:val="16"/>
        </w:rPr>
      </w:pPr>
      <w:r w:rsidRPr="00A06014">
        <w:rPr>
          <w:rFonts w:ascii="Times New Roman" w:hAnsi="Times New Roman" w:cs="Times New Roman"/>
          <w:sz w:val="24"/>
          <w:szCs w:val="24"/>
        </w:rPr>
        <w:t xml:space="preserve"> </w:t>
      </w:r>
    </w:p>
    <w:p w:rsidR="00636E10" w:rsidRPr="00A06014" w:rsidRDefault="00435708" w:rsidP="00435708">
      <w:pPr>
        <w:tabs>
          <w:tab w:val="left" w:pos="1134"/>
        </w:tabs>
        <w:autoSpaceDE w:val="0"/>
        <w:autoSpaceDN w:val="0"/>
        <w:adjustRightInd w:val="0"/>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006150" w:rsidRPr="00A06014">
        <w:rPr>
          <w:rFonts w:ascii="Times New Roman" w:hAnsi="Times New Roman" w:cs="Times New Roman"/>
          <w:sz w:val="24"/>
          <w:szCs w:val="24"/>
        </w:rPr>
        <w:t>Section</w:t>
      </w:r>
      <w:r w:rsidRPr="00A06014">
        <w:rPr>
          <w:rFonts w:ascii="Times New Roman" w:hAnsi="Times New Roman" w:cs="Times New Roman"/>
          <w:sz w:val="24"/>
          <w:szCs w:val="24"/>
        </w:rPr>
        <w:t xml:space="preserve"> 3</w:t>
      </w:r>
      <w:r w:rsidR="00895CF1" w:rsidRPr="00A06014">
        <w:rPr>
          <w:rFonts w:ascii="Times New Roman" w:hAnsi="Times New Roman" w:cs="Times New Roman"/>
          <w:sz w:val="24"/>
          <w:szCs w:val="24"/>
        </w:rPr>
        <w:t>(1)</w:t>
      </w:r>
      <w:r w:rsidR="00006150" w:rsidRPr="00A06014">
        <w:rPr>
          <w:rFonts w:ascii="Times New Roman" w:hAnsi="Times New Roman" w:cs="Times New Roman"/>
          <w:sz w:val="24"/>
          <w:szCs w:val="24"/>
        </w:rPr>
        <w:t xml:space="preserve"> of </w:t>
      </w:r>
      <w:r w:rsidR="00895CF1" w:rsidRPr="00A06014">
        <w:rPr>
          <w:rFonts w:ascii="Times New Roman" w:hAnsi="Times New Roman" w:cs="Times New Roman"/>
          <w:sz w:val="24"/>
          <w:szCs w:val="24"/>
        </w:rPr>
        <w:t>the Act</w:t>
      </w:r>
      <w:r w:rsidR="00006150" w:rsidRPr="00A06014">
        <w:rPr>
          <w:rFonts w:ascii="Times New Roman" w:hAnsi="Times New Roman" w:cs="Times New Roman"/>
          <w:sz w:val="24"/>
          <w:szCs w:val="24"/>
        </w:rPr>
        <w:t>,</w:t>
      </w:r>
      <w:r w:rsidR="00895CF1" w:rsidRPr="00A06014">
        <w:rPr>
          <w:rFonts w:ascii="Times New Roman" w:hAnsi="Times New Roman" w:cs="Times New Roman"/>
          <w:sz w:val="24"/>
          <w:szCs w:val="24"/>
        </w:rPr>
        <w:t xml:space="preserve"> only applies to employers and employees</w:t>
      </w:r>
      <w:r w:rsidRPr="00A06014">
        <w:rPr>
          <w:rFonts w:ascii="Times New Roman" w:hAnsi="Times New Roman" w:cs="Times New Roman"/>
          <w:sz w:val="24"/>
          <w:szCs w:val="24"/>
        </w:rPr>
        <w:t xml:space="preserve"> except those excluded under ss</w:t>
      </w:r>
      <w:r w:rsidR="00F3020B">
        <w:rPr>
          <w:rFonts w:ascii="Times New Roman" w:hAnsi="Times New Roman" w:cs="Times New Roman"/>
          <w:sz w:val="24"/>
          <w:szCs w:val="24"/>
        </w:rPr>
        <w:t xml:space="preserve"> </w:t>
      </w:r>
      <w:r w:rsidR="00895CF1" w:rsidRPr="00A06014">
        <w:rPr>
          <w:rFonts w:ascii="Times New Roman" w:hAnsi="Times New Roman" w:cs="Times New Roman"/>
          <w:sz w:val="24"/>
          <w:szCs w:val="24"/>
        </w:rPr>
        <w:t xml:space="preserve">(3). </w:t>
      </w:r>
      <w:r w:rsidR="00753C08" w:rsidRPr="00A06014">
        <w:rPr>
          <w:rFonts w:ascii="Times New Roman" w:hAnsi="Times New Roman" w:cs="Times New Roman"/>
          <w:sz w:val="24"/>
          <w:szCs w:val="24"/>
        </w:rPr>
        <w:t xml:space="preserve"> </w:t>
      </w:r>
      <w:r w:rsidR="00895CF1" w:rsidRPr="00A06014">
        <w:rPr>
          <w:rFonts w:ascii="Times New Roman" w:hAnsi="Times New Roman" w:cs="Times New Roman"/>
          <w:sz w:val="24"/>
          <w:szCs w:val="24"/>
        </w:rPr>
        <w:t>The appellant not being one of those excluded by the Act</w:t>
      </w:r>
      <w:r w:rsidR="00C70855" w:rsidRPr="00A06014">
        <w:rPr>
          <w:rFonts w:ascii="Times New Roman" w:hAnsi="Times New Roman" w:cs="Times New Roman"/>
          <w:sz w:val="24"/>
          <w:szCs w:val="24"/>
        </w:rPr>
        <w:t>,</w:t>
      </w:r>
      <w:r w:rsidR="00895CF1" w:rsidRPr="00A06014">
        <w:rPr>
          <w:rFonts w:ascii="Times New Roman" w:hAnsi="Times New Roman" w:cs="Times New Roman"/>
          <w:sz w:val="24"/>
          <w:szCs w:val="24"/>
        </w:rPr>
        <w:t xml:space="preserve"> it is fully bound by the Act as the employer. </w:t>
      </w:r>
      <w:r w:rsidR="00BC0A61" w:rsidRPr="00A06014">
        <w:rPr>
          <w:rFonts w:ascii="Times New Roman" w:hAnsi="Times New Roman" w:cs="Times New Roman"/>
          <w:sz w:val="24"/>
          <w:szCs w:val="24"/>
        </w:rPr>
        <w:t xml:space="preserve"> </w:t>
      </w:r>
      <w:r w:rsidR="00895CF1" w:rsidRPr="00A06014">
        <w:rPr>
          <w:rFonts w:ascii="Times New Roman" w:hAnsi="Times New Roman" w:cs="Times New Roman"/>
          <w:sz w:val="24"/>
          <w:szCs w:val="24"/>
        </w:rPr>
        <w:t>Thus the arbitrator’s award b</w:t>
      </w:r>
      <w:r w:rsidR="00F3020B">
        <w:rPr>
          <w:rFonts w:ascii="Times New Roman" w:hAnsi="Times New Roman" w:cs="Times New Roman"/>
          <w:sz w:val="24"/>
          <w:szCs w:val="24"/>
        </w:rPr>
        <w:t>inds the appellant and not Gold </w:t>
      </w:r>
      <w:r w:rsidR="00895CF1" w:rsidRPr="00A06014">
        <w:rPr>
          <w:rFonts w:ascii="Times New Roman" w:hAnsi="Times New Roman" w:cs="Times New Roman"/>
          <w:sz w:val="24"/>
          <w:szCs w:val="24"/>
        </w:rPr>
        <w:t xml:space="preserve">Star which was not a party to the proceedings. </w:t>
      </w:r>
    </w:p>
    <w:p w:rsidR="00435708" w:rsidRPr="00BB1857" w:rsidRDefault="00435708" w:rsidP="00F3020B">
      <w:pPr>
        <w:tabs>
          <w:tab w:val="left" w:pos="1134"/>
        </w:tabs>
        <w:autoSpaceDE w:val="0"/>
        <w:autoSpaceDN w:val="0"/>
        <w:adjustRightInd w:val="0"/>
        <w:spacing w:after="0" w:line="240" w:lineRule="auto"/>
        <w:jc w:val="both"/>
        <w:rPr>
          <w:rFonts w:ascii="Times New Roman" w:hAnsi="Times New Roman" w:cs="Times New Roman"/>
          <w:sz w:val="16"/>
          <w:szCs w:val="16"/>
        </w:rPr>
      </w:pPr>
    </w:p>
    <w:p w:rsidR="00636E10" w:rsidRPr="00A06014" w:rsidRDefault="00636E10" w:rsidP="009C39C5">
      <w:pPr>
        <w:autoSpaceDE w:val="0"/>
        <w:autoSpaceDN w:val="0"/>
        <w:adjustRightInd w:val="0"/>
        <w:spacing w:after="0" w:line="240" w:lineRule="auto"/>
        <w:jc w:val="both"/>
        <w:rPr>
          <w:rFonts w:ascii="Times New Roman" w:hAnsi="Times New Roman" w:cs="Times New Roman"/>
          <w:sz w:val="24"/>
          <w:szCs w:val="24"/>
        </w:rPr>
      </w:pPr>
    </w:p>
    <w:p w:rsidR="00895CF1" w:rsidRPr="00A06014" w:rsidRDefault="00435708" w:rsidP="00E215ED">
      <w:pPr>
        <w:tabs>
          <w:tab w:val="left" w:pos="1134"/>
        </w:tabs>
        <w:autoSpaceDE w:val="0"/>
        <w:autoSpaceDN w:val="0"/>
        <w:adjustRightInd w:val="0"/>
        <w:spacing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895CF1" w:rsidRPr="00A06014">
        <w:rPr>
          <w:rFonts w:ascii="Times New Roman" w:hAnsi="Times New Roman" w:cs="Times New Roman"/>
          <w:sz w:val="24"/>
          <w:szCs w:val="24"/>
        </w:rPr>
        <w:t>T</w:t>
      </w:r>
      <w:r w:rsidR="00636E10" w:rsidRPr="00A06014">
        <w:rPr>
          <w:rFonts w:ascii="Times New Roman" w:hAnsi="Times New Roman" w:cs="Times New Roman"/>
          <w:sz w:val="24"/>
          <w:szCs w:val="24"/>
        </w:rPr>
        <w:t xml:space="preserve">hat being the case, we find no merit in the appellant’s protestations that the arbitrator improperly pierced the corporate veil. </w:t>
      </w:r>
      <w:r w:rsidR="00BC0A61" w:rsidRPr="00A06014">
        <w:rPr>
          <w:rFonts w:ascii="Times New Roman" w:hAnsi="Times New Roman" w:cs="Times New Roman"/>
          <w:sz w:val="24"/>
          <w:szCs w:val="24"/>
        </w:rPr>
        <w:t xml:space="preserve"> </w:t>
      </w:r>
      <w:r w:rsidR="00636E10" w:rsidRPr="00A06014">
        <w:rPr>
          <w:rFonts w:ascii="Times New Roman" w:hAnsi="Times New Roman" w:cs="Times New Roman"/>
          <w:sz w:val="24"/>
          <w:szCs w:val="24"/>
        </w:rPr>
        <w:t xml:space="preserve">We come to that conclusion because the appellant appeared before the arbitrator </w:t>
      </w:r>
      <w:r w:rsidR="00D93819" w:rsidRPr="00A06014">
        <w:rPr>
          <w:rFonts w:ascii="Times New Roman" w:hAnsi="Times New Roman" w:cs="Times New Roman"/>
          <w:sz w:val="24"/>
          <w:szCs w:val="24"/>
        </w:rPr>
        <w:t xml:space="preserve">and argued the case </w:t>
      </w:r>
      <w:r w:rsidR="00636E10" w:rsidRPr="00A06014">
        <w:rPr>
          <w:rFonts w:ascii="Times New Roman" w:hAnsi="Times New Roman" w:cs="Times New Roman"/>
          <w:sz w:val="24"/>
          <w:szCs w:val="24"/>
        </w:rPr>
        <w:t xml:space="preserve">in its capacity as the employer </w:t>
      </w:r>
      <w:r w:rsidR="007E2027" w:rsidRPr="00A06014">
        <w:rPr>
          <w:rFonts w:ascii="Times New Roman" w:hAnsi="Times New Roman" w:cs="Times New Roman"/>
          <w:sz w:val="24"/>
          <w:szCs w:val="24"/>
        </w:rPr>
        <w:t>and not a proxy of Gold Star thus</w:t>
      </w:r>
      <w:r w:rsidR="00636E10" w:rsidRPr="00A06014">
        <w:rPr>
          <w:rFonts w:ascii="Times New Roman" w:hAnsi="Times New Roman" w:cs="Times New Roman"/>
          <w:sz w:val="24"/>
          <w:szCs w:val="24"/>
        </w:rPr>
        <w:t xml:space="preserve"> the arbitrator correctly treated it as such. </w:t>
      </w:r>
    </w:p>
    <w:p w:rsidR="007E2027" w:rsidRPr="00A06014" w:rsidRDefault="007E2027" w:rsidP="009C39C5">
      <w:pPr>
        <w:autoSpaceDE w:val="0"/>
        <w:autoSpaceDN w:val="0"/>
        <w:adjustRightInd w:val="0"/>
        <w:spacing w:after="0" w:line="240" w:lineRule="auto"/>
        <w:jc w:val="both"/>
        <w:rPr>
          <w:rFonts w:ascii="Times New Roman" w:hAnsi="Times New Roman" w:cs="Times New Roman"/>
          <w:sz w:val="24"/>
          <w:szCs w:val="24"/>
        </w:rPr>
      </w:pPr>
    </w:p>
    <w:p w:rsidR="007E2027" w:rsidRPr="00A06014" w:rsidRDefault="00435708" w:rsidP="00435708">
      <w:pPr>
        <w:tabs>
          <w:tab w:val="left" w:pos="1134"/>
        </w:tabs>
        <w:autoSpaceDE w:val="0"/>
        <w:autoSpaceDN w:val="0"/>
        <w:adjustRightInd w:val="0"/>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7E2027" w:rsidRPr="00A06014">
        <w:rPr>
          <w:rFonts w:ascii="Times New Roman" w:hAnsi="Times New Roman" w:cs="Times New Roman"/>
          <w:sz w:val="24"/>
          <w:szCs w:val="24"/>
        </w:rPr>
        <w:t xml:space="preserve">The appellant’s reliance on the cases of </w:t>
      </w:r>
      <w:r w:rsidR="007E2027" w:rsidRPr="00A06014">
        <w:rPr>
          <w:rFonts w:ascii="Times New Roman" w:hAnsi="Times New Roman" w:cs="Times New Roman"/>
          <w:i/>
          <w:sz w:val="24"/>
          <w:szCs w:val="24"/>
        </w:rPr>
        <w:t>Mkombachoto</w:t>
      </w:r>
      <w:r w:rsidR="0036053B" w:rsidRPr="00A06014">
        <w:rPr>
          <w:rFonts w:ascii="Times New Roman" w:hAnsi="Times New Roman" w:cs="Times New Roman"/>
          <w:i/>
          <w:sz w:val="24"/>
          <w:szCs w:val="24"/>
        </w:rPr>
        <w:t xml:space="preserve"> </w:t>
      </w:r>
      <w:r w:rsidR="00C038B7" w:rsidRPr="00A06014">
        <w:rPr>
          <w:rFonts w:ascii="Times New Roman" w:hAnsi="Times New Roman" w:cs="Times New Roman"/>
          <w:i/>
          <w:sz w:val="24"/>
          <w:szCs w:val="24"/>
        </w:rPr>
        <w:t>v Commercial Bank of Zmbabwe &amp; Anor</w:t>
      </w:r>
      <w:r w:rsidR="00C038B7" w:rsidRPr="00A06014">
        <w:rPr>
          <w:rStyle w:val="FootnoteReference"/>
          <w:rFonts w:ascii="Times New Roman" w:hAnsi="Times New Roman" w:cs="Times New Roman"/>
          <w:i/>
          <w:sz w:val="24"/>
          <w:szCs w:val="24"/>
        </w:rPr>
        <w:footnoteReference w:id="7"/>
      </w:r>
      <w:r w:rsidR="00C038B7" w:rsidRPr="00A06014">
        <w:rPr>
          <w:rFonts w:ascii="Times New Roman" w:hAnsi="Times New Roman" w:cs="Times New Roman"/>
          <w:i/>
          <w:sz w:val="24"/>
          <w:szCs w:val="24"/>
        </w:rPr>
        <w:t>,</w:t>
      </w:r>
      <w:r w:rsidR="00C038B7" w:rsidRPr="00A06014">
        <w:rPr>
          <w:rFonts w:ascii="Times New Roman" w:hAnsi="Times New Roman" w:cs="Times New Roman"/>
          <w:sz w:val="24"/>
          <w:szCs w:val="24"/>
        </w:rPr>
        <w:t xml:space="preserve"> </w:t>
      </w:r>
      <w:r w:rsidR="000B28AB" w:rsidRPr="00A06014">
        <w:rPr>
          <w:rFonts w:ascii="Times New Roman" w:hAnsi="Times New Roman" w:cs="Times New Roman"/>
          <w:i/>
          <w:sz w:val="24"/>
          <w:szCs w:val="24"/>
        </w:rPr>
        <w:t>Sheriff &amp;</w:t>
      </w:r>
      <w:r w:rsidR="00C038B7" w:rsidRPr="00A06014">
        <w:rPr>
          <w:rFonts w:ascii="Times New Roman" w:hAnsi="Times New Roman" w:cs="Times New Roman"/>
          <w:i/>
          <w:sz w:val="24"/>
          <w:szCs w:val="24"/>
        </w:rPr>
        <w:t xml:space="preserve"> Ors v Dube &amp; Ors</w:t>
      </w:r>
      <w:r w:rsidR="00C038B7" w:rsidRPr="00A06014">
        <w:rPr>
          <w:rStyle w:val="FootnoteReference"/>
          <w:rFonts w:ascii="Times New Roman" w:hAnsi="Times New Roman" w:cs="Times New Roman"/>
          <w:sz w:val="24"/>
          <w:szCs w:val="24"/>
        </w:rPr>
        <w:footnoteReference w:id="8"/>
      </w:r>
      <w:r w:rsidR="00C038B7" w:rsidRPr="00A06014">
        <w:rPr>
          <w:rFonts w:ascii="Times New Roman" w:hAnsi="Times New Roman" w:cs="Times New Roman"/>
          <w:sz w:val="24"/>
          <w:szCs w:val="24"/>
        </w:rPr>
        <w:t xml:space="preserve"> and </w:t>
      </w:r>
      <w:r w:rsidR="00C038B7" w:rsidRPr="00A06014">
        <w:rPr>
          <w:rFonts w:ascii="Times New Roman" w:hAnsi="Times New Roman" w:cs="Times New Roman"/>
          <w:i/>
          <w:sz w:val="24"/>
          <w:szCs w:val="24"/>
        </w:rPr>
        <w:t>Pacific Ltd v Lubner</w:t>
      </w:r>
      <w:r w:rsidR="00C038B7" w:rsidRPr="00A06014">
        <w:rPr>
          <w:rFonts w:ascii="Times New Roman" w:hAnsi="Times New Roman" w:cs="Times New Roman"/>
          <w:sz w:val="24"/>
          <w:szCs w:val="24"/>
        </w:rPr>
        <w:t xml:space="preserve"> </w:t>
      </w:r>
      <w:r w:rsidR="00C038B7" w:rsidRPr="00A06014">
        <w:rPr>
          <w:rFonts w:ascii="Times New Roman" w:hAnsi="Times New Roman" w:cs="Times New Roman"/>
          <w:i/>
          <w:sz w:val="24"/>
          <w:szCs w:val="24"/>
        </w:rPr>
        <w:t>Controlling Investments (Pty) Ltd &amp; Ors</w:t>
      </w:r>
      <w:r w:rsidR="00C038B7" w:rsidRPr="00A06014">
        <w:rPr>
          <w:rStyle w:val="FootnoteReference"/>
          <w:rFonts w:ascii="Times New Roman" w:hAnsi="Times New Roman" w:cs="Times New Roman"/>
          <w:sz w:val="24"/>
          <w:szCs w:val="24"/>
        </w:rPr>
        <w:footnoteReference w:id="9"/>
      </w:r>
      <w:r w:rsidR="00C038B7" w:rsidRPr="00A06014">
        <w:rPr>
          <w:rFonts w:ascii="Times New Roman" w:hAnsi="Times New Roman" w:cs="Times New Roman"/>
          <w:sz w:val="24"/>
          <w:szCs w:val="24"/>
        </w:rPr>
        <w:t xml:space="preserve"> </w:t>
      </w:r>
      <w:r w:rsidR="0026091B" w:rsidRPr="00A06014">
        <w:rPr>
          <w:rFonts w:ascii="Times New Roman" w:hAnsi="Times New Roman" w:cs="Times New Roman"/>
          <w:sz w:val="24"/>
          <w:szCs w:val="24"/>
        </w:rPr>
        <w:t xml:space="preserve">is misplaced as the award had nothing to </w:t>
      </w:r>
      <w:r w:rsidR="00D93819" w:rsidRPr="00A06014">
        <w:rPr>
          <w:rFonts w:ascii="Times New Roman" w:hAnsi="Times New Roman" w:cs="Times New Roman"/>
          <w:sz w:val="24"/>
          <w:szCs w:val="24"/>
        </w:rPr>
        <w:t xml:space="preserve">do </w:t>
      </w:r>
      <w:r w:rsidR="0026091B" w:rsidRPr="00A06014">
        <w:rPr>
          <w:rFonts w:ascii="Times New Roman" w:hAnsi="Times New Roman" w:cs="Times New Roman"/>
          <w:sz w:val="24"/>
          <w:szCs w:val="24"/>
        </w:rPr>
        <w:t xml:space="preserve">with ordering the appellant to pay </w:t>
      </w:r>
      <w:r w:rsidR="00006150" w:rsidRPr="00A06014">
        <w:rPr>
          <w:rFonts w:ascii="Times New Roman" w:hAnsi="Times New Roman" w:cs="Times New Roman"/>
          <w:sz w:val="24"/>
          <w:szCs w:val="24"/>
        </w:rPr>
        <w:t>anyone’s debts or pierc</w:t>
      </w:r>
      <w:r w:rsidR="0026091B" w:rsidRPr="00A06014">
        <w:rPr>
          <w:rFonts w:ascii="Times New Roman" w:hAnsi="Times New Roman" w:cs="Times New Roman"/>
          <w:sz w:val="24"/>
          <w:szCs w:val="24"/>
        </w:rPr>
        <w:t xml:space="preserve">ing the corporate veil. </w:t>
      </w:r>
      <w:r w:rsidR="00BC0A61" w:rsidRPr="00A06014">
        <w:rPr>
          <w:rFonts w:ascii="Times New Roman" w:hAnsi="Times New Roman" w:cs="Times New Roman"/>
          <w:sz w:val="24"/>
          <w:szCs w:val="24"/>
        </w:rPr>
        <w:t xml:space="preserve"> </w:t>
      </w:r>
      <w:r w:rsidR="0026091B" w:rsidRPr="00A06014">
        <w:rPr>
          <w:rFonts w:ascii="Times New Roman" w:hAnsi="Times New Roman" w:cs="Times New Roman"/>
          <w:sz w:val="24"/>
          <w:szCs w:val="24"/>
        </w:rPr>
        <w:t>The appellant wa</w:t>
      </w:r>
      <w:r w:rsidR="00D93819" w:rsidRPr="00A06014">
        <w:rPr>
          <w:rFonts w:ascii="Times New Roman" w:hAnsi="Times New Roman" w:cs="Times New Roman"/>
          <w:sz w:val="24"/>
          <w:szCs w:val="24"/>
        </w:rPr>
        <w:t>s simply being ordered to pay</w:t>
      </w:r>
      <w:r w:rsidR="0026091B" w:rsidRPr="00A06014">
        <w:rPr>
          <w:rFonts w:ascii="Times New Roman" w:hAnsi="Times New Roman" w:cs="Times New Roman"/>
          <w:sz w:val="24"/>
          <w:szCs w:val="24"/>
        </w:rPr>
        <w:t xml:space="preserve"> in its personal capacity as the employer.</w:t>
      </w:r>
    </w:p>
    <w:p w:rsidR="00D93819" w:rsidRDefault="00D93819" w:rsidP="009C39C5">
      <w:pPr>
        <w:autoSpaceDE w:val="0"/>
        <w:autoSpaceDN w:val="0"/>
        <w:adjustRightInd w:val="0"/>
        <w:spacing w:after="0" w:line="240" w:lineRule="auto"/>
        <w:jc w:val="both"/>
        <w:rPr>
          <w:rFonts w:ascii="Times New Roman" w:hAnsi="Times New Roman" w:cs="Times New Roman"/>
          <w:sz w:val="24"/>
          <w:szCs w:val="24"/>
        </w:rPr>
      </w:pPr>
    </w:p>
    <w:p w:rsidR="00BB1857" w:rsidRDefault="00BB1857" w:rsidP="009C39C5">
      <w:pPr>
        <w:autoSpaceDE w:val="0"/>
        <w:autoSpaceDN w:val="0"/>
        <w:adjustRightInd w:val="0"/>
        <w:spacing w:after="0" w:line="240" w:lineRule="auto"/>
        <w:jc w:val="both"/>
        <w:rPr>
          <w:rFonts w:ascii="Times New Roman" w:hAnsi="Times New Roman" w:cs="Times New Roman"/>
          <w:sz w:val="24"/>
          <w:szCs w:val="24"/>
        </w:rPr>
      </w:pPr>
    </w:p>
    <w:p w:rsidR="00BB1857" w:rsidRDefault="00BB1857" w:rsidP="009C39C5">
      <w:pPr>
        <w:autoSpaceDE w:val="0"/>
        <w:autoSpaceDN w:val="0"/>
        <w:adjustRightInd w:val="0"/>
        <w:spacing w:after="0" w:line="240" w:lineRule="auto"/>
        <w:jc w:val="both"/>
        <w:rPr>
          <w:rFonts w:ascii="Times New Roman" w:hAnsi="Times New Roman" w:cs="Times New Roman"/>
          <w:sz w:val="24"/>
          <w:szCs w:val="24"/>
        </w:rPr>
      </w:pPr>
    </w:p>
    <w:p w:rsidR="00BB1857" w:rsidRDefault="00BB1857" w:rsidP="009C39C5">
      <w:pPr>
        <w:autoSpaceDE w:val="0"/>
        <w:autoSpaceDN w:val="0"/>
        <w:adjustRightInd w:val="0"/>
        <w:spacing w:after="0" w:line="240" w:lineRule="auto"/>
        <w:jc w:val="both"/>
        <w:rPr>
          <w:rFonts w:ascii="Times New Roman" w:hAnsi="Times New Roman" w:cs="Times New Roman"/>
          <w:sz w:val="24"/>
          <w:szCs w:val="24"/>
        </w:rPr>
      </w:pPr>
    </w:p>
    <w:p w:rsidR="00F3020B" w:rsidRPr="00A06014" w:rsidRDefault="00F3020B" w:rsidP="009C39C5">
      <w:pPr>
        <w:autoSpaceDE w:val="0"/>
        <w:autoSpaceDN w:val="0"/>
        <w:adjustRightInd w:val="0"/>
        <w:spacing w:after="0" w:line="240" w:lineRule="auto"/>
        <w:jc w:val="both"/>
        <w:rPr>
          <w:rFonts w:ascii="Times New Roman" w:hAnsi="Times New Roman" w:cs="Times New Roman"/>
          <w:sz w:val="24"/>
          <w:szCs w:val="24"/>
        </w:rPr>
      </w:pPr>
    </w:p>
    <w:p w:rsidR="00D93819" w:rsidRPr="00A06014" w:rsidRDefault="0036053B" w:rsidP="009C39C5">
      <w:pPr>
        <w:spacing w:after="0"/>
        <w:jc w:val="both"/>
        <w:rPr>
          <w:rFonts w:ascii="Times New Roman" w:hAnsi="Times New Roman" w:cs="Times New Roman"/>
          <w:b/>
          <w:sz w:val="24"/>
          <w:szCs w:val="24"/>
        </w:rPr>
      </w:pPr>
      <w:r w:rsidRPr="00A06014">
        <w:rPr>
          <w:rFonts w:ascii="Times New Roman" w:hAnsi="Times New Roman" w:cs="Times New Roman"/>
          <w:b/>
          <w:sz w:val="24"/>
          <w:szCs w:val="24"/>
        </w:rPr>
        <w:lastRenderedPageBreak/>
        <w:t>WHETHER THE ARBITRATOR’S AWARD WAS IRRATIONAL</w:t>
      </w:r>
    </w:p>
    <w:p w:rsidR="00D93819" w:rsidRPr="00A06014" w:rsidRDefault="00D93819" w:rsidP="009C39C5">
      <w:pPr>
        <w:spacing w:after="0"/>
        <w:jc w:val="both"/>
        <w:rPr>
          <w:rFonts w:ascii="Times New Roman" w:hAnsi="Times New Roman" w:cs="Times New Roman"/>
          <w:b/>
          <w:sz w:val="24"/>
          <w:szCs w:val="24"/>
        </w:rPr>
      </w:pPr>
    </w:p>
    <w:p w:rsidR="00A65D87" w:rsidRPr="00A06014" w:rsidRDefault="0036053B" w:rsidP="0036053B">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D93819" w:rsidRPr="00A06014">
        <w:rPr>
          <w:rFonts w:ascii="Times New Roman" w:hAnsi="Times New Roman" w:cs="Times New Roman"/>
          <w:sz w:val="24"/>
          <w:szCs w:val="24"/>
        </w:rPr>
        <w:t xml:space="preserve">We </w:t>
      </w:r>
      <w:r w:rsidR="00A65D87" w:rsidRPr="00A06014">
        <w:rPr>
          <w:rFonts w:ascii="Times New Roman" w:hAnsi="Times New Roman" w:cs="Times New Roman"/>
          <w:sz w:val="24"/>
          <w:szCs w:val="24"/>
        </w:rPr>
        <w:t>now turn to consider whether</w:t>
      </w:r>
      <w:r w:rsidR="00D93819" w:rsidRPr="00A06014">
        <w:rPr>
          <w:rFonts w:ascii="Times New Roman" w:hAnsi="Times New Roman" w:cs="Times New Roman"/>
          <w:sz w:val="24"/>
          <w:szCs w:val="24"/>
        </w:rPr>
        <w:t xml:space="preserve"> the arbitrator’s award</w:t>
      </w:r>
      <w:r w:rsidR="00A65D87" w:rsidRPr="00A06014">
        <w:rPr>
          <w:rFonts w:ascii="Times New Roman" w:hAnsi="Times New Roman" w:cs="Times New Roman"/>
          <w:sz w:val="24"/>
          <w:szCs w:val="24"/>
        </w:rPr>
        <w:t xml:space="preserve"> </w:t>
      </w:r>
      <w:r w:rsidR="00D93819" w:rsidRPr="00A06014">
        <w:rPr>
          <w:rFonts w:ascii="Times New Roman" w:hAnsi="Times New Roman" w:cs="Times New Roman"/>
          <w:sz w:val="24"/>
          <w:szCs w:val="24"/>
        </w:rPr>
        <w:t>w</w:t>
      </w:r>
      <w:r w:rsidR="00A65D87" w:rsidRPr="00A06014">
        <w:rPr>
          <w:rFonts w:ascii="Times New Roman" w:hAnsi="Times New Roman" w:cs="Times New Roman"/>
          <w:sz w:val="24"/>
          <w:szCs w:val="24"/>
        </w:rPr>
        <w:t xml:space="preserve">as irrational as alleged by the appellant or at all. </w:t>
      </w:r>
      <w:r w:rsidR="00BC0A61" w:rsidRPr="00A06014">
        <w:rPr>
          <w:rFonts w:ascii="Times New Roman" w:hAnsi="Times New Roman" w:cs="Times New Roman"/>
          <w:sz w:val="24"/>
          <w:szCs w:val="24"/>
        </w:rPr>
        <w:t xml:space="preserve"> </w:t>
      </w:r>
      <w:r w:rsidR="00A65D87" w:rsidRPr="00A06014">
        <w:rPr>
          <w:rFonts w:ascii="Times New Roman" w:hAnsi="Times New Roman" w:cs="Times New Roman"/>
          <w:sz w:val="24"/>
          <w:szCs w:val="24"/>
        </w:rPr>
        <w:t>The appeal is premised on the argument that th</w:t>
      </w:r>
      <w:r w:rsidR="00255975" w:rsidRPr="00A06014">
        <w:rPr>
          <w:rFonts w:ascii="Times New Roman" w:hAnsi="Times New Roman" w:cs="Times New Roman"/>
          <w:sz w:val="24"/>
          <w:szCs w:val="24"/>
        </w:rPr>
        <w:t>e award is irrational in that it was made in circumstances where the appellant was in financial distress and in no capacity to pay the salary increase of 11</w:t>
      </w:r>
      <w:r w:rsidR="00BC0A61" w:rsidRPr="00A06014">
        <w:rPr>
          <w:rFonts w:ascii="Times New Roman" w:hAnsi="Times New Roman" w:cs="Times New Roman"/>
          <w:sz w:val="24"/>
          <w:szCs w:val="24"/>
        </w:rPr>
        <w:t> </w:t>
      </w:r>
      <w:r w:rsidR="003A6CF0" w:rsidRPr="00A06014">
        <w:rPr>
          <w:rFonts w:ascii="Times New Roman" w:hAnsi="Times New Roman" w:cs="Times New Roman"/>
          <w:sz w:val="24"/>
          <w:szCs w:val="24"/>
        </w:rPr>
        <w:t>percent</w:t>
      </w:r>
      <w:r w:rsidR="00255975" w:rsidRPr="00A06014">
        <w:rPr>
          <w:rFonts w:ascii="Times New Roman" w:hAnsi="Times New Roman" w:cs="Times New Roman"/>
          <w:sz w:val="24"/>
          <w:szCs w:val="24"/>
        </w:rPr>
        <w:t xml:space="preserve"> as ordered by the arbitrator. </w:t>
      </w:r>
    </w:p>
    <w:p w:rsidR="00803791" w:rsidRDefault="00803791" w:rsidP="009C39C5">
      <w:pPr>
        <w:spacing w:after="0"/>
        <w:jc w:val="both"/>
        <w:rPr>
          <w:rFonts w:ascii="Times New Roman" w:hAnsi="Times New Roman" w:cs="Times New Roman"/>
          <w:sz w:val="24"/>
          <w:szCs w:val="24"/>
        </w:rPr>
      </w:pPr>
    </w:p>
    <w:p w:rsidR="00BB1857" w:rsidRPr="00BB1857" w:rsidRDefault="00BB1857" w:rsidP="009C39C5">
      <w:pPr>
        <w:spacing w:after="0"/>
        <w:jc w:val="both"/>
        <w:rPr>
          <w:rFonts w:ascii="Times New Roman" w:hAnsi="Times New Roman" w:cs="Times New Roman"/>
          <w:sz w:val="16"/>
          <w:szCs w:val="16"/>
        </w:rPr>
      </w:pPr>
    </w:p>
    <w:p w:rsidR="005C6B19" w:rsidRPr="00A06014" w:rsidRDefault="0036053B" w:rsidP="00BC0A61">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803791" w:rsidRPr="00A06014">
        <w:rPr>
          <w:rFonts w:ascii="Times New Roman" w:hAnsi="Times New Roman" w:cs="Times New Roman"/>
          <w:sz w:val="24"/>
          <w:szCs w:val="24"/>
        </w:rPr>
        <w:t>O</w:t>
      </w:r>
      <w:r w:rsidR="007E6A40" w:rsidRPr="00A06014">
        <w:rPr>
          <w:rFonts w:ascii="Times New Roman" w:hAnsi="Times New Roman" w:cs="Times New Roman"/>
          <w:sz w:val="24"/>
          <w:szCs w:val="24"/>
        </w:rPr>
        <w:t>n the other hand the respondent</w:t>
      </w:r>
      <w:r w:rsidR="00803791" w:rsidRPr="00A06014">
        <w:rPr>
          <w:rFonts w:ascii="Times New Roman" w:hAnsi="Times New Roman" w:cs="Times New Roman"/>
          <w:sz w:val="24"/>
          <w:szCs w:val="24"/>
        </w:rPr>
        <w:t xml:space="preserve"> countered that </w:t>
      </w:r>
      <w:r w:rsidR="007E6A40" w:rsidRPr="00A06014">
        <w:rPr>
          <w:rFonts w:ascii="Times New Roman" w:hAnsi="Times New Roman" w:cs="Times New Roman"/>
          <w:sz w:val="24"/>
          <w:szCs w:val="24"/>
        </w:rPr>
        <w:t xml:space="preserve">the </w:t>
      </w:r>
      <w:r w:rsidR="00803791" w:rsidRPr="00A06014">
        <w:rPr>
          <w:rFonts w:ascii="Times New Roman" w:hAnsi="Times New Roman" w:cs="Times New Roman"/>
          <w:sz w:val="24"/>
          <w:szCs w:val="24"/>
        </w:rPr>
        <w:t xml:space="preserve">appellant was obliged to pay a decent living wage to its employees. </w:t>
      </w:r>
      <w:r w:rsidR="00BC0A61" w:rsidRPr="00A06014">
        <w:rPr>
          <w:rFonts w:ascii="Times New Roman" w:hAnsi="Times New Roman" w:cs="Times New Roman"/>
          <w:sz w:val="24"/>
          <w:szCs w:val="24"/>
        </w:rPr>
        <w:t xml:space="preserve"> </w:t>
      </w:r>
      <w:r w:rsidR="00803791" w:rsidRPr="00A06014">
        <w:rPr>
          <w:rFonts w:ascii="Times New Roman" w:hAnsi="Times New Roman" w:cs="Times New Roman"/>
          <w:sz w:val="24"/>
          <w:szCs w:val="24"/>
        </w:rPr>
        <w:t xml:space="preserve">In argument it was submitted that </w:t>
      </w:r>
      <w:r w:rsidR="005C6B19" w:rsidRPr="00A06014">
        <w:rPr>
          <w:rFonts w:ascii="Times New Roman" w:hAnsi="Times New Roman" w:cs="Times New Roman"/>
          <w:sz w:val="24"/>
          <w:szCs w:val="24"/>
        </w:rPr>
        <w:t xml:space="preserve">Zimbabwe having ratified </w:t>
      </w:r>
      <w:r w:rsidR="00EA26E5" w:rsidRPr="00A06014">
        <w:rPr>
          <w:rFonts w:ascii="Times New Roman" w:hAnsi="Times New Roman" w:cs="Times New Roman"/>
          <w:sz w:val="24"/>
          <w:szCs w:val="24"/>
        </w:rPr>
        <w:t>the United Nations</w:t>
      </w:r>
      <w:r w:rsidR="007E6A40" w:rsidRPr="00A06014">
        <w:rPr>
          <w:rFonts w:ascii="Times New Roman" w:hAnsi="Times New Roman" w:cs="Times New Roman"/>
          <w:sz w:val="24"/>
          <w:szCs w:val="24"/>
        </w:rPr>
        <w:t xml:space="preserve"> i</w:t>
      </w:r>
      <w:r w:rsidR="005C6B19" w:rsidRPr="00A06014">
        <w:rPr>
          <w:rFonts w:ascii="Times New Roman" w:hAnsi="Times New Roman" w:cs="Times New Roman"/>
          <w:sz w:val="24"/>
          <w:szCs w:val="24"/>
        </w:rPr>
        <w:t>nstrument on the Universal Declaration of Human Rights 1948</w:t>
      </w:r>
      <w:r w:rsidR="00EA26E5" w:rsidRPr="00A06014">
        <w:rPr>
          <w:rFonts w:ascii="Times New Roman" w:hAnsi="Times New Roman" w:cs="Times New Roman"/>
          <w:sz w:val="24"/>
          <w:szCs w:val="24"/>
        </w:rPr>
        <w:t>,</w:t>
      </w:r>
      <w:r w:rsidR="005C6B19" w:rsidRPr="00A06014">
        <w:rPr>
          <w:rFonts w:ascii="Times New Roman" w:hAnsi="Times New Roman" w:cs="Times New Roman"/>
          <w:sz w:val="24"/>
          <w:szCs w:val="24"/>
        </w:rPr>
        <w:t xml:space="preserve"> it was boun</w:t>
      </w:r>
      <w:r w:rsidR="00BC0A61" w:rsidRPr="00A06014">
        <w:rPr>
          <w:rFonts w:ascii="Times New Roman" w:hAnsi="Times New Roman" w:cs="Times New Roman"/>
          <w:sz w:val="24"/>
          <w:szCs w:val="24"/>
        </w:rPr>
        <w:t>d by its provisions.</w:t>
      </w:r>
      <w:r w:rsidR="00997FB3">
        <w:rPr>
          <w:rFonts w:ascii="Times New Roman" w:hAnsi="Times New Roman" w:cs="Times New Roman"/>
          <w:sz w:val="24"/>
          <w:szCs w:val="24"/>
        </w:rPr>
        <w:t xml:space="preserve">  It is petinent to note that Zimbabwe has not ratified this Universal Declaration of Human Rights.  However, it is an instrument that is universally recognised and applied in this jurisdiction. </w:t>
      </w:r>
      <w:r w:rsidR="00BC0A61" w:rsidRPr="00A06014">
        <w:rPr>
          <w:rFonts w:ascii="Times New Roman" w:hAnsi="Times New Roman" w:cs="Times New Roman"/>
          <w:sz w:val="24"/>
          <w:szCs w:val="24"/>
        </w:rPr>
        <w:t xml:space="preserve"> Article 23</w:t>
      </w:r>
      <w:r w:rsidR="005C6B19" w:rsidRPr="00A06014">
        <w:rPr>
          <w:rFonts w:ascii="Times New Roman" w:hAnsi="Times New Roman" w:cs="Times New Roman"/>
          <w:sz w:val="24"/>
          <w:szCs w:val="24"/>
        </w:rPr>
        <w:t>(3) states that:</w:t>
      </w:r>
    </w:p>
    <w:p w:rsidR="005C6B19" w:rsidRPr="00A06014" w:rsidRDefault="00B31988" w:rsidP="0036053B">
      <w:pPr>
        <w:spacing w:after="0"/>
        <w:ind w:left="567"/>
        <w:jc w:val="both"/>
        <w:rPr>
          <w:rFonts w:ascii="Times New Roman" w:hAnsi="Times New Roman" w:cs="Times New Roman"/>
          <w:sz w:val="24"/>
          <w:szCs w:val="24"/>
        </w:rPr>
      </w:pPr>
      <w:r w:rsidRPr="00A06014">
        <w:rPr>
          <w:rFonts w:ascii="Times New Roman" w:hAnsi="Times New Roman" w:cs="Times New Roman"/>
          <w:sz w:val="24"/>
          <w:szCs w:val="24"/>
        </w:rPr>
        <w:t xml:space="preserve">“Every person who works has </w:t>
      </w:r>
      <w:r w:rsidR="0036053B" w:rsidRPr="00A06014">
        <w:rPr>
          <w:rFonts w:ascii="Times New Roman" w:hAnsi="Times New Roman" w:cs="Times New Roman"/>
          <w:sz w:val="24"/>
          <w:szCs w:val="24"/>
        </w:rPr>
        <w:t xml:space="preserve">a right to just and favourable </w:t>
      </w:r>
      <w:r w:rsidRPr="00A06014">
        <w:rPr>
          <w:rFonts w:ascii="Times New Roman" w:hAnsi="Times New Roman" w:cs="Times New Roman"/>
          <w:sz w:val="24"/>
          <w:szCs w:val="24"/>
        </w:rPr>
        <w:t>remuneration ensuring for himself a</w:t>
      </w:r>
      <w:r w:rsidR="0036053B" w:rsidRPr="00A06014">
        <w:rPr>
          <w:rFonts w:ascii="Times New Roman" w:hAnsi="Times New Roman" w:cs="Times New Roman"/>
          <w:sz w:val="24"/>
          <w:szCs w:val="24"/>
        </w:rPr>
        <w:t>nd herself an existence worthy</w:t>
      </w:r>
      <w:r w:rsidR="00EE5E41">
        <w:rPr>
          <w:rFonts w:ascii="Times New Roman" w:hAnsi="Times New Roman" w:cs="Times New Roman"/>
          <w:sz w:val="24"/>
          <w:szCs w:val="24"/>
        </w:rPr>
        <w:t xml:space="preserve"> of</w:t>
      </w:r>
      <w:r w:rsidR="0036053B" w:rsidRPr="00A06014">
        <w:rPr>
          <w:rFonts w:ascii="Times New Roman" w:hAnsi="Times New Roman" w:cs="Times New Roman"/>
          <w:sz w:val="24"/>
          <w:szCs w:val="24"/>
        </w:rPr>
        <w:t xml:space="preserve"> </w:t>
      </w:r>
      <w:r w:rsidRPr="00A06014">
        <w:rPr>
          <w:rFonts w:ascii="Times New Roman" w:hAnsi="Times New Roman" w:cs="Times New Roman"/>
          <w:sz w:val="24"/>
          <w:szCs w:val="24"/>
        </w:rPr>
        <w:t>human dignity</w:t>
      </w:r>
      <w:r w:rsidR="00EE5E41">
        <w:rPr>
          <w:rFonts w:ascii="Times New Roman" w:hAnsi="Times New Roman" w:cs="Times New Roman"/>
          <w:sz w:val="24"/>
          <w:szCs w:val="24"/>
        </w:rPr>
        <w:t>, and supplement if necessary by other means of social protection</w:t>
      </w:r>
      <w:r w:rsidRPr="00A06014">
        <w:rPr>
          <w:rFonts w:ascii="Times New Roman" w:hAnsi="Times New Roman" w:cs="Times New Roman"/>
          <w:sz w:val="24"/>
          <w:szCs w:val="24"/>
        </w:rPr>
        <w:t>.”</w:t>
      </w:r>
    </w:p>
    <w:p w:rsidR="0036053B" w:rsidRPr="00A06014" w:rsidRDefault="0036053B" w:rsidP="0036053B">
      <w:pPr>
        <w:spacing w:after="0"/>
        <w:ind w:left="567"/>
        <w:jc w:val="both"/>
        <w:rPr>
          <w:rFonts w:ascii="Times New Roman" w:hAnsi="Times New Roman" w:cs="Times New Roman"/>
          <w:sz w:val="24"/>
          <w:szCs w:val="24"/>
        </w:rPr>
      </w:pPr>
    </w:p>
    <w:p w:rsidR="00B31988" w:rsidRDefault="00B31988" w:rsidP="009C39C5">
      <w:pPr>
        <w:spacing w:after="0"/>
        <w:jc w:val="both"/>
        <w:rPr>
          <w:rFonts w:ascii="Times New Roman" w:hAnsi="Times New Roman" w:cs="Times New Roman"/>
          <w:sz w:val="24"/>
          <w:szCs w:val="24"/>
        </w:rPr>
      </w:pPr>
    </w:p>
    <w:p w:rsidR="00BB1857" w:rsidRPr="00BB1857" w:rsidRDefault="00BB1857" w:rsidP="009C39C5">
      <w:pPr>
        <w:spacing w:after="0"/>
        <w:jc w:val="both"/>
        <w:rPr>
          <w:rFonts w:ascii="Times New Roman" w:hAnsi="Times New Roman" w:cs="Times New Roman"/>
          <w:sz w:val="16"/>
          <w:szCs w:val="16"/>
        </w:rPr>
      </w:pPr>
    </w:p>
    <w:p w:rsidR="00B31988" w:rsidRPr="00A06014" w:rsidRDefault="00F3020B" w:rsidP="00F3020B">
      <w:pPr>
        <w:tabs>
          <w:tab w:val="left" w:pos="1134"/>
        </w:tabs>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00B31988" w:rsidRPr="00A06014">
        <w:rPr>
          <w:rFonts w:ascii="Times New Roman" w:hAnsi="Times New Roman" w:cs="Times New Roman"/>
          <w:sz w:val="24"/>
          <w:szCs w:val="24"/>
        </w:rPr>
        <w:t>Further reliance was placed on</w:t>
      </w:r>
      <w:r w:rsidR="00BC0A61" w:rsidRPr="00A06014">
        <w:rPr>
          <w:rFonts w:ascii="Times New Roman" w:hAnsi="Times New Roman" w:cs="Times New Roman"/>
          <w:sz w:val="24"/>
          <w:szCs w:val="24"/>
        </w:rPr>
        <w:t xml:space="preserve"> Article 11</w:t>
      </w:r>
      <w:r w:rsidR="00B31988" w:rsidRPr="00A06014">
        <w:rPr>
          <w:rFonts w:ascii="Times New Roman" w:hAnsi="Times New Roman" w:cs="Times New Roman"/>
          <w:sz w:val="24"/>
          <w:szCs w:val="24"/>
        </w:rPr>
        <w:t>(1) of the International Covenant on Econo</w:t>
      </w:r>
      <w:r w:rsidR="00EA26E5" w:rsidRPr="00A06014">
        <w:rPr>
          <w:rFonts w:ascii="Times New Roman" w:hAnsi="Times New Roman" w:cs="Times New Roman"/>
          <w:sz w:val="24"/>
          <w:szCs w:val="24"/>
        </w:rPr>
        <w:t xml:space="preserve">mic, Social and Cultural Rights 1966, </w:t>
      </w:r>
      <w:r w:rsidR="00B31988" w:rsidRPr="00A06014">
        <w:rPr>
          <w:rFonts w:ascii="Times New Roman" w:hAnsi="Times New Roman" w:cs="Times New Roman"/>
          <w:sz w:val="24"/>
          <w:szCs w:val="24"/>
        </w:rPr>
        <w:t>which provides that:</w:t>
      </w:r>
    </w:p>
    <w:p w:rsidR="00B31988" w:rsidRPr="00A06014" w:rsidRDefault="00B31988" w:rsidP="0036053B">
      <w:pPr>
        <w:spacing w:after="0"/>
        <w:ind w:left="567"/>
        <w:jc w:val="both"/>
        <w:rPr>
          <w:rFonts w:ascii="Times New Roman" w:hAnsi="Times New Roman" w:cs="Times New Roman"/>
          <w:sz w:val="24"/>
          <w:szCs w:val="24"/>
        </w:rPr>
      </w:pPr>
      <w:r w:rsidRPr="00A06014">
        <w:rPr>
          <w:rFonts w:ascii="Times New Roman" w:hAnsi="Times New Roman" w:cs="Times New Roman"/>
          <w:sz w:val="24"/>
          <w:szCs w:val="24"/>
        </w:rPr>
        <w:t>“</w:t>
      </w:r>
      <w:r w:rsidR="00BE337F">
        <w:rPr>
          <w:rFonts w:ascii="Times New Roman" w:hAnsi="Times New Roman" w:cs="Times New Roman"/>
          <w:sz w:val="24"/>
          <w:szCs w:val="24"/>
        </w:rPr>
        <w:t>The States Parties to the present Covenant recognise the right of everyone to an adequate standard of living for himself and his family, including adequate food, clothing and housing, and to the continuous im</w:t>
      </w:r>
      <w:r w:rsidR="00182CCC">
        <w:rPr>
          <w:rFonts w:ascii="Times New Roman" w:hAnsi="Times New Roman" w:cs="Times New Roman"/>
          <w:sz w:val="24"/>
          <w:szCs w:val="24"/>
        </w:rPr>
        <w:t>provement of living conditions.  The States Parties will take appropriate steps to ensure the realization of this right, recognizing to this effect the essential importance of international co-operation based on free consent</w:t>
      </w:r>
      <w:r w:rsidR="00907F57" w:rsidRPr="00A06014">
        <w:rPr>
          <w:rFonts w:ascii="Times New Roman" w:hAnsi="Times New Roman" w:cs="Times New Roman"/>
          <w:sz w:val="24"/>
          <w:szCs w:val="24"/>
        </w:rPr>
        <w:t>.”</w:t>
      </w:r>
    </w:p>
    <w:p w:rsidR="0036053B" w:rsidRPr="00A06014" w:rsidRDefault="0036053B" w:rsidP="0036053B">
      <w:pPr>
        <w:spacing w:after="0"/>
        <w:ind w:left="567"/>
        <w:jc w:val="both"/>
        <w:rPr>
          <w:rFonts w:ascii="Times New Roman" w:hAnsi="Times New Roman" w:cs="Times New Roman"/>
          <w:sz w:val="24"/>
          <w:szCs w:val="24"/>
        </w:rPr>
      </w:pPr>
    </w:p>
    <w:p w:rsidR="00BE12D3" w:rsidRPr="00BB1857" w:rsidRDefault="00BE12D3" w:rsidP="009C39C5">
      <w:pPr>
        <w:spacing w:after="0"/>
        <w:jc w:val="both"/>
        <w:rPr>
          <w:rFonts w:ascii="Times New Roman" w:hAnsi="Times New Roman" w:cs="Times New Roman"/>
          <w:sz w:val="16"/>
          <w:szCs w:val="16"/>
        </w:rPr>
      </w:pPr>
    </w:p>
    <w:p w:rsidR="00BB1857" w:rsidRPr="00BB1857" w:rsidRDefault="00BB1857" w:rsidP="009C39C5">
      <w:pPr>
        <w:spacing w:after="0"/>
        <w:jc w:val="both"/>
        <w:rPr>
          <w:rFonts w:ascii="Times New Roman" w:hAnsi="Times New Roman" w:cs="Times New Roman"/>
          <w:sz w:val="16"/>
          <w:szCs w:val="16"/>
        </w:rPr>
      </w:pPr>
    </w:p>
    <w:p w:rsidR="00BE12D3" w:rsidRPr="00A06014" w:rsidRDefault="005146F4" w:rsidP="005146F4">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BE12D3" w:rsidRPr="00A06014">
        <w:rPr>
          <w:rFonts w:ascii="Times New Roman" w:hAnsi="Times New Roman" w:cs="Times New Roman"/>
          <w:sz w:val="24"/>
          <w:szCs w:val="24"/>
        </w:rPr>
        <w:t>The principles set out in the two instruments are of fundamental universal importance bidding the judiciary and tribunals</w:t>
      </w:r>
      <w:r w:rsidR="00E67338" w:rsidRPr="00A06014">
        <w:rPr>
          <w:rFonts w:ascii="Times New Roman" w:hAnsi="Times New Roman" w:cs="Times New Roman"/>
          <w:sz w:val="24"/>
          <w:szCs w:val="24"/>
        </w:rPr>
        <w:t xml:space="preserve"> to uphold and preserve human integrity and the dignity of workers. </w:t>
      </w:r>
    </w:p>
    <w:p w:rsidR="00BB1857" w:rsidRPr="00A06014" w:rsidRDefault="00BB1857" w:rsidP="009C39C5">
      <w:pPr>
        <w:spacing w:after="0"/>
        <w:jc w:val="both"/>
        <w:rPr>
          <w:rFonts w:ascii="Times New Roman" w:hAnsi="Times New Roman" w:cs="Times New Roman"/>
          <w:sz w:val="24"/>
          <w:szCs w:val="24"/>
        </w:rPr>
      </w:pPr>
    </w:p>
    <w:p w:rsidR="00BB1857" w:rsidRDefault="005146F4" w:rsidP="00C1764F">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lastRenderedPageBreak/>
        <w:tab/>
      </w:r>
      <w:r w:rsidR="00907F57" w:rsidRPr="00A06014">
        <w:rPr>
          <w:rFonts w:ascii="Times New Roman" w:hAnsi="Times New Roman" w:cs="Times New Roman"/>
          <w:sz w:val="24"/>
          <w:szCs w:val="24"/>
        </w:rPr>
        <w:t>Although acknowledging that the</w:t>
      </w:r>
      <w:r w:rsidR="00EA26E5" w:rsidRPr="00A06014">
        <w:rPr>
          <w:rFonts w:ascii="Times New Roman" w:hAnsi="Times New Roman" w:cs="Times New Roman"/>
          <w:sz w:val="24"/>
          <w:szCs w:val="24"/>
        </w:rPr>
        <w:t xml:space="preserve"> respondents are entitled to</w:t>
      </w:r>
      <w:r w:rsidR="00C57AD7" w:rsidRPr="00A06014">
        <w:rPr>
          <w:rFonts w:ascii="Times New Roman" w:hAnsi="Times New Roman" w:cs="Times New Roman"/>
          <w:sz w:val="24"/>
          <w:szCs w:val="24"/>
        </w:rPr>
        <w:t xml:space="preserve"> a living wage the arbitrator found it</w:t>
      </w:r>
      <w:r w:rsidR="00907F57" w:rsidRPr="00A06014">
        <w:rPr>
          <w:rFonts w:ascii="Times New Roman" w:hAnsi="Times New Roman" w:cs="Times New Roman"/>
          <w:sz w:val="24"/>
          <w:szCs w:val="24"/>
        </w:rPr>
        <w:t xml:space="preserve"> imperative to balance the employee’s interests against the employer’s </w:t>
      </w:r>
      <w:r w:rsidR="00DF726C" w:rsidRPr="00A06014">
        <w:rPr>
          <w:rFonts w:ascii="Times New Roman" w:hAnsi="Times New Roman" w:cs="Times New Roman"/>
          <w:sz w:val="24"/>
          <w:szCs w:val="24"/>
        </w:rPr>
        <w:t>capacity to pay the increased wages.</w:t>
      </w:r>
    </w:p>
    <w:p w:rsidR="002C1A6B" w:rsidRPr="00A06014" w:rsidRDefault="002C1A6B" w:rsidP="00C1764F">
      <w:pPr>
        <w:tabs>
          <w:tab w:val="left" w:pos="1134"/>
        </w:tabs>
        <w:spacing w:after="0" w:line="480" w:lineRule="auto"/>
        <w:jc w:val="both"/>
        <w:rPr>
          <w:rFonts w:ascii="Times New Roman" w:hAnsi="Times New Roman" w:cs="Times New Roman"/>
          <w:sz w:val="24"/>
          <w:szCs w:val="24"/>
        </w:rPr>
      </w:pPr>
    </w:p>
    <w:p w:rsidR="00CF6B98" w:rsidRPr="00A06014" w:rsidRDefault="005146F4" w:rsidP="005146F4">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255975" w:rsidRPr="00A06014">
        <w:rPr>
          <w:rFonts w:ascii="Times New Roman" w:hAnsi="Times New Roman" w:cs="Times New Roman"/>
          <w:sz w:val="24"/>
          <w:szCs w:val="24"/>
        </w:rPr>
        <w:t>As alluded to elsewhere in this judgment, the arbitrator made a careful anal</w:t>
      </w:r>
      <w:r w:rsidR="00CF6B98" w:rsidRPr="00A06014">
        <w:rPr>
          <w:rFonts w:ascii="Times New Roman" w:hAnsi="Times New Roman" w:cs="Times New Roman"/>
          <w:sz w:val="24"/>
          <w:szCs w:val="24"/>
        </w:rPr>
        <w:t xml:space="preserve">ysis of the facts before him and arrived at </w:t>
      </w:r>
      <w:r w:rsidR="00255975" w:rsidRPr="00A06014">
        <w:rPr>
          <w:rFonts w:ascii="Times New Roman" w:hAnsi="Times New Roman" w:cs="Times New Roman"/>
          <w:sz w:val="24"/>
          <w:szCs w:val="24"/>
        </w:rPr>
        <w:t>a delicate balance of the</w:t>
      </w:r>
      <w:r w:rsidR="00803791" w:rsidRPr="00A06014">
        <w:rPr>
          <w:rFonts w:ascii="Times New Roman" w:hAnsi="Times New Roman" w:cs="Times New Roman"/>
          <w:sz w:val="24"/>
          <w:szCs w:val="24"/>
        </w:rPr>
        <w:t xml:space="preserve"> two</w:t>
      </w:r>
      <w:r w:rsidR="00255975" w:rsidRPr="00A06014">
        <w:rPr>
          <w:rFonts w:ascii="Times New Roman" w:hAnsi="Times New Roman" w:cs="Times New Roman"/>
          <w:sz w:val="24"/>
          <w:szCs w:val="24"/>
        </w:rPr>
        <w:t xml:space="preserve"> </w:t>
      </w:r>
      <w:r w:rsidR="00DF726C" w:rsidRPr="00A06014">
        <w:rPr>
          <w:rFonts w:ascii="Times New Roman" w:hAnsi="Times New Roman" w:cs="Times New Roman"/>
          <w:sz w:val="24"/>
          <w:szCs w:val="24"/>
        </w:rPr>
        <w:t>competing interests before him. He finally came to the conclusion that although the appellant had made a loss, its employees were entitled to a modest 11</w:t>
      </w:r>
      <w:r w:rsidR="00BC0A61" w:rsidRPr="00A06014">
        <w:rPr>
          <w:rFonts w:ascii="Times New Roman" w:hAnsi="Times New Roman" w:cs="Times New Roman"/>
          <w:sz w:val="24"/>
          <w:szCs w:val="24"/>
        </w:rPr>
        <w:t> </w:t>
      </w:r>
      <w:r w:rsidR="003A6CF0" w:rsidRPr="00A06014">
        <w:rPr>
          <w:rFonts w:ascii="Times New Roman" w:hAnsi="Times New Roman" w:cs="Times New Roman"/>
          <w:sz w:val="24"/>
          <w:szCs w:val="24"/>
        </w:rPr>
        <w:t>percent</w:t>
      </w:r>
      <w:r w:rsidR="00DF726C" w:rsidRPr="00A06014">
        <w:rPr>
          <w:rFonts w:ascii="Times New Roman" w:hAnsi="Times New Roman" w:cs="Times New Roman"/>
          <w:sz w:val="24"/>
          <w:szCs w:val="24"/>
        </w:rPr>
        <w:t xml:space="preserve"> wage increase.</w:t>
      </w:r>
      <w:r w:rsidR="0060656C" w:rsidRPr="00A06014">
        <w:rPr>
          <w:rFonts w:ascii="Times New Roman" w:hAnsi="Times New Roman" w:cs="Times New Roman"/>
          <w:sz w:val="24"/>
          <w:szCs w:val="24"/>
        </w:rPr>
        <w:t xml:space="preserve"> </w:t>
      </w:r>
      <w:r w:rsidR="00BC0A61" w:rsidRPr="00A06014">
        <w:rPr>
          <w:rFonts w:ascii="Times New Roman" w:hAnsi="Times New Roman" w:cs="Times New Roman"/>
          <w:sz w:val="24"/>
          <w:szCs w:val="24"/>
        </w:rPr>
        <w:t xml:space="preserve"> </w:t>
      </w:r>
      <w:r w:rsidR="0060656C" w:rsidRPr="00A06014">
        <w:rPr>
          <w:rFonts w:ascii="Times New Roman" w:hAnsi="Times New Roman" w:cs="Times New Roman"/>
          <w:sz w:val="24"/>
          <w:szCs w:val="24"/>
        </w:rPr>
        <w:t xml:space="preserve">Comparative evidence </w:t>
      </w:r>
      <w:r w:rsidR="00C1764F">
        <w:rPr>
          <w:rFonts w:ascii="Times New Roman" w:hAnsi="Times New Roman" w:cs="Times New Roman"/>
          <w:sz w:val="24"/>
          <w:szCs w:val="24"/>
        </w:rPr>
        <w:t>pro</w:t>
      </w:r>
      <w:r w:rsidR="00F74EFC" w:rsidRPr="00A06014">
        <w:rPr>
          <w:rFonts w:ascii="Times New Roman" w:hAnsi="Times New Roman" w:cs="Times New Roman"/>
          <w:sz w:val="24"/>
          <w:szCs w:val="24"/>
        </w:rPr>
        <w:t>ferred by the respondent shows that even after the increase its members were some of the least paid in the industry.</w:t>
      </w:r>
    </w:p>
    <w:p w:rsidR="00CF6B98" w:rsidRPr="00BB1857" w:rsidRDefault="00CF6B98" w:rsidP="009C39C5">
      <w:pPr>
        <w:spacing w:after="0"/>
        <w:jc w:val="both"/>
        <w:rPr>
          <w:rFonts w:ascii="Times New Roman" w:hAnsi="Times New Roman" w:cs="Times New Roman"/>
          <w:sz w:val="16"/>
          <w:szCs w:val="16"/>
        </w:rPr>
      </w:pPr>
    </w:p>
    <w:p w:rsidR="00BB1857" w:rsidRPr="00A06014" w:rsidRDefault="00BB1857" w:rsidP="009C39C5">
      <w:pPr>
        <w:spacing w:after="0"/>
        <w:jc w:val="both"/>
        <w:rPr>
          <w:rFonts w:ascii="Times New Roman" w:hAnsi="Times New Roman" w:cs="Times New Roman"/>
          <w:sz w:val="24"/>
          <w:szCs w:val="24"/>
        </w:rPr>
      </w:pPr>
    </w:p>
    <w:p w:rsidR="00643430" w:rsidRPr="00A06014" w:rsidRDefault="005146F4" w:rsidP="005146F4">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CF6B98" w:rsidRPr="00A06014">
        <w:rPr>
          <w:rFonts w:ascii="Times New Roman" w:hAnsi="Times New Roman" w:cs="Times New Roman"/>
          <w:sz w:val="24"/>
          <w:szCs w:val="24"/>
        </w:rPr>
        <w:t>It appears that the appellant is labouring under a serious misapprehension that an employer who makes a loss cannot be ordered to pay its employees an</w:t>
      </w:r>
      <w:r w:rsidR="0060656C" w:rsidRPr="00A06014">
        <w:rPr>
          <w:rFonts w:ascii="Times New Roman" w:hAnsi="Times New Roman" w:cs="Times New Roman"/>
          <w:sz w:val="24"/>
          <w:szCs w:val="24"/>
        </w:rPr>
        <w:t>y</w:t>
      </w:r>
      <w:r w:rsidR="00CF6B98" w:rsidRPr="00A06014">
        <w:rPr>
          <w:rFonts w:ascii="Times New Roman" w:hAnsi="Times New Roman" w:cs="Times New Roman"/>
          <w:sz w:val="24"/>
          <w:szCs w:val="24"/>
        </w:rPr>
        <w:t xml:space="preserve"> increase</w:t>
      </w:r>
      <w:r w:rsidR="0060656C" w:rsidRPr="00A06014">
        <w:rPr>
          <w:rFonts w:ascii="Times New Roman" w:hAnsi="Times New Roman" w:cs="Times New Roman"/>
          <w:sz w:val="24"/>
          <w:szCs w:val="24"/>
        </w:rPr>
        <w:t xml:space="preserve"> in wages.</w:t>
      </w:r>
      <w:r w:rsidR="00CF6B98" w:rsidRPr="00A06014">
        <w:rPr>
          <w:rFonts w:ascii="Times New Roman" w:hAnsi="Times New Roman" w:cs="Times New Roman"/>
          <w:sz w:val="24"/>
          <w:szCs w:val="24"/>
        </w:rPr>
        <w:t xml:space="preserve"> </w:t>
      </w:r>
      <w:r w:rsidR="00BC0A61" w:rsidRPr="00A06014">
        <w:rPr>
          <w:rFonts w:ascii="Times New Roman" w:hAnsi="Times New Roman" w:cs="Times New Roman"/>
          <w:sz w:val="24"/>
          <w:szCs w:val="24"/>
        </w:rPr>
        <w:t xml:space="preserve"> </w:t>
      </w:r>
      <w:r w:rsidR="00CF6B98" w:rsidRPr="00A06014">
        <w:rPr>
          <w:rFonts w:ascii="Times New Roman" w:hAnsi="Times New Roman" w:cs="Times New Roman"/>
          <w:sz w:val="24"/>
          <w:szCs w:val="24"/>
        </w:rPr>
        <w:t xml:space="preserve">The mere fact that an employer is operating at a loss is no licence for it to pay slave wages not </w:t>
      </w:r>
      <w:r w:rsidR="00E67338" w:rsidRPr="00A06014">
        <w:rPr>
          <w:rFonts w:ascii="Times New Roman" w:hAnsi="Times New Roman" w:cs="Times New Roman"/>
          <w:sz w:val="24"/>
          <w:szCs w:val="24"/>
        </w:rPr>
        <w:t>worthy</w:t>
      </w:r>
      <w:r w:rsidR="00CF6B98" w:rsidRPr="00A06014">
        <w:rPr>
          <w:rFonts w:ascii="Times New Roman" w:hAnsi="Times New Roman" w:cs="Times New Roman"/>
          <w:sz w:val="24"/>
          <w:szCs w:val="24"/>
        </w:rPr>
        <w:t xml:space="preserve"> </w:t>
      </w:r>
      <w:r w:rsidR="007046EA">
        <w:rPr>
          <w:rFonts w:ascii="Times New Roman" w:hAnsi="Times New Roman" w:cs="Times New Roman"/>
          <w:sz w:val="24"/>
          <w:szCs w:val="24"/>
        </w:rPr>
        <w:t xml:space="preserve">of </w:t>
      </w:r>
      <w:r w:rsidR="00CF6B98" w:rsidRPr="00A06014">
        <w:rPr>
          <w:rFonts w:ascii="Times New Roman" w:hAnsi="Times New Roman" w:cs="Times New Roman"/>
          <w:sz w:val="24"/>
          <w:szCs w:val="24"/>
        </w:rPr>
        <w:t>human dignity.</w:t>
      </w:r>
      <w:r w:rsidR="00BC0A61" w:rsidRPr="00A06014">
        <w:rPr>
          <w:rFonts w:ascii="Times New Roman" w:hAnsi="Times New Roman" w:cs="Times New Roman"/>
          <w:sz w:val="24"/>
          <w:szCs w:val="24"/>
        </w:rPr>
        <w:t xml:space="preserve"> </w:t>
      </w:r>
      <w:r w:rsidR="002F1867" w:rsidRPr="00A06014">
        <w:rPr>
          <w:rFonts w:ascii="Times New Roman" w:hAnsi="Times New Roman" w:cs="Times New Roman"/>
          <w:sz w:val="24"/>
          <w:szCs w:val="24"/>
        </w:rPr>
        <w:t xml:space="preserve"> We are of the considered view that an employer operating at a loss may still be ordered to pay a reasonable wage </w:t>
      </w:r>
      <w:r w:rsidR="0060656C" w:rsidRPr="00A06014">
        <w:rPr>
          <w:rFonts w:ascii="Times New Roman" w:hAnsi="Times New Roman" w:cs="Times New Roman"/>
          <w:sz w:val="24"/>
          <w:szCs w:val="24"/>
        </w:rPr>
        <w:t xml:space="preserve">increase </w:t>
      </w:r>
      <w:r w:rsidR="002F1867" w:rsidRPr="00A06014">
        <w:rPr>
          <w:rFonts w:ascii="Times New Roman" w:hAnsi="Times New Roman" w:cs="Times New Roman"/>
          <w:sz w:val="24"/>
          <w:szCs w:val="24"/>
        </w:rPr>
        <w:t xml:space="preserve">to its employees </w:t>
      </w:r>
      <w:r w:rsidR="0060656C" w:rsidRPr="00A06014">
        <w:rPr>
          <w:rFonts w:ascii="Times New Roman" w:hAnsi="Times New Roman" w:cs="Times New Roman"/>
          <w:sz w:val="24"/>
          <w:szCs w:val="24"/>
        </w:rPr>
        <w:t xml:space="preserve">to avoid them falling into destitution and loss of human dignity. </w:t>
      </w:r>
    </w:p>
    <w:p w:rsidR="00643430" w:rsidRPr="00BB1857" w:rsidRDefault="00643430" w:rsidP="009C39C5">
      <w:pPr>
        <w:spacing w:after="0"/>
        <w:jc w:val="both"/>
        <w:rPr>
          <w:rFonts w:ascii="Times New Roman" w:hAnsi="Times New Roman" w:cs="Times New Roman"/>
          <w:sz w:val="16"/>
          <w:szCs w:val="16"/>
        </w:rPr>
      </w:pPr>
    </w:p>
    <w:p w:rsidR="00F3020B" w:rsidRPr="00A06014" w:rsidRDefault="00F3020B" w:rsidP="009C39C5">
      <w:pPr>
        <w:spacing w:after="0"/>
        <w:jc w:val="both"/>
        <w:rPr>
          <w:rFonts w:ascii="Times New Roman" w:hAnsi="Times New Roman" w:cs="Times New Roman"/>
          <w:sz w:val="24"/>
          <w:szCs w:val="24"/>
        </w:rPr>
      </w:pPr>
    </w:p>
    <w:p w:rsidR="00CF6B98" w:rsidRPr="00A06014" w:rsidRDefault="005146F4" w:rsidP="005146F4">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60656C" w:rsidRPr="00A06014">
        <w:rPr>
          <w:rFonts w:ascii="Times New Roman" w:hAnsi="Times New Roman" w:cs="Times New Roman"/>
          <w:sz w:val="24"/>
          <w:szCs w:val="24"/>
        </w:rPr>
        <w:t>An employer who cannot pay decent wages pertaining to the industry has no business continuing to operate subjecting its employees to slave wages.</w:t>
      </w:r>
      <w:r w:rsidR="00BC0A61" w:rsidRPr="00A06014">
        <w:rPr>
          <w:rFonts w:ascii="Times New Roman" w:hAnsi="Times New Roman" w:cs="Times New Roman"/>
          <w:sz w:val="24"/>
          <w:szCs w:val="24"/>
        </w:rPr>
        <w:t xml:space="preserve"> </w:t>
      </w:r>
      <w:r w:rsidR="008A0463" w:rsidRPr="00A06014">
        <w:rPr>
          <w:rFonts w:ascii="Times New Roman" w:hAnsi="Times New Roman" w:cs="Times New Roman"/>
          <w:sz w:val="24"/>
          <w:szCs w:val="24"/>
        </w:rPr>
        <w:t xml:space="preserve"> </w:t>
      </w:r>
      <w:r w:rsidR="00643430" w:rsidRPr="00A06014">
        <w:rPr>
          <w:rFonts w:ascii="Times New Roman" w:hAnsi="Times New Roman" w:cs="Times New Roman"/>
          <w:sz w:val="24"/>
          <w:szCs w:val="24"/>
        </w:rPr>
        <w:t xml:space="preserve">The appellant’s plea of incapacity to pay lacks merit in circumstances where it was unable to rebut the respondent’s allegation that its management were being paid huge salaries. </w:t>
      </w:r>
      <w:r w:rsidR="00BC0A61" w:rsidRPr="00A06014">
        <w:rPr>
          <w:rFonts w:ascii="Times New Roman" w:hAnsi="Times New Roman" w:cs="Times New Roman"/>
          <w:sz w:val="24"/>
          <w:szCs w:val="24"/>
        </w:rPr>
        <w:t xml:space="preserve"> </w:t>
      </w:r>
      <w:r w:rsidR="00643430" w:rsidRPr="00A06014">
        <w:rPr>
          <w:rFonts w:ascii="Times New Roman" w:hAnsi="Times New Roman" w:cs="Times New Roman"/>
          <w:sz w:val="24"/>
          <w:szCs w:val="24"/>
        </w:rPr>
        <w:t xml:space="preserve">It also failed to rebut the evidence to the effect that it could afford </w:t>
      </w:r>
      <w:r w:rsidR="007046EA">
        <w:rPr>
          <w:rFonts w:ascii="Times New Roman" w:hAnsi="Times New Roman" w:cs="Times New Roman"/>
          <w:sz w:val="24"/>
          <w:szCs w:val="24"/>
        </w:rPr>
        <w:t>the increase if it were to shed</w:t>
      </w:r>
      <w:r w:rsidR="00643430" w:rsidRPr="00A06014">
        <w:rPr>
          <w:rFonts w:ascii="Times New Roman" w:hAnsi="Times New Roman" w:cs="Times New Roman"/>
          <w:sz w:val="24"/>
          <w:szCs w:val="24"/>
        </w:rPr>
        <w:t xml:space="preserve"> excess labour in the form of casual labour.</w:t>
      </w:r>
    </w:p>
    <w:p w:rsidR="00BB1857" w:rsidRPr="00A06014" w:rsidRDefault="00BB1857" w:rsidP="009C39C5">
      <w:pPr>
        <w:spacing w:after="0"/>
        <w:jc w:val="both"/>
        <w:rPr>
          <w:rFonts w:ascii="Times New Roman" w:hAnsi="Times New Roman" w:cs="Times New Roman"/>
          <w:sz w:val="24"/>
          <w:szCs w:val="24"/>
        </w:rPr>
      </w:pPr>
    </w:p>
    <w:p w:rsidR="00F74EFC" w:rsidRPr="00A06014" w:rsidRDefault="005146F4" w:rsidP="00BB1857">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lastRenderedPageBreak/>
        <w:tab/>
      </w:r>
      <w:r w:rsidR="00F74EFC" w:rsidRPr="00A06014">
        <w:rPr>
          <w:rFonts w:ascii="Times New Roman" w:hAnsi="Times New Roman" w:cs="Times New Roman"/>
          <w:sz w:val="24"/>
          <w:szCs w:val="24"/>
        </w:rPr>
        <w:t xml:space="preserve">It is </w:t>
      </w:r>
      <w:r w:rsidR="00C70855" w:rsidRPr="00A06014">
        <w:rPr>
          <w:rFonts w:ascii="Times New Roman" w:hAnsi="Times New Roman" w:cs="Times New Roman"/>
          <w:sz w:val="24"/>
          <w:szCs w:val="24"/>
        </w:rPr>
        <w:t xml:space="preserve">also </w:t>
      </w:r>
      <w:r w:rsidR="00F74EFC" w:rsidRPr="00A06014">
        <w:rPr>
          <w:rFonts w:ascii="Times New Roman" w:hAnsi="Times New Roman" w:cs="Times New Roman"/>
          <w:sz w:val="24"/>
          <w:szCs w:val="24"/>
        </w:rPr>
        <w:t xml:space="preserve">ironic that the appellant accuses the arbitrator of irrationality by suggesting that </w:t>
      </w:r>
      <w:r w:rsidR="00416EC0" w:rsidRPr="00A06014">
        <w:rPr>
          <w:rFonts w:ascii="Times New Roman" w:hAnsi="Times New Roman" w:cs="Times New Roman"/>
          <w:sz w:val="24"/>
          <w:szCs w:val="24"/>
        </w:rPr>
        <w:t xml:space="preserve">one of its subsidiaries Country Choice which made a profit could prop up Gold Star. </w:t>
      </w:r>
      <w:r w:rsidR="00CF0554" w:rsidRPr="00A06014">
        <w:rPr>
          <w:rFonts w:ascii="Times New Roman" w:hAnsi="Times New Roman" w:cs="Times New Roman"/>
          <w:sz w:val="24"/>
          <w:szCs w:val="24"/>
        </w:rPr>
        <w:t xml:space="preserve"> </w:t>
      </w:r>
      <w:r w:rsidR="00416EC0" w:rsidRPr="00A06014">
        <w:rPr>
          <w:rFonts w:ascii="Times New Roman" w:hAnsi="Times New Roman" w:cs="Times New Roman"/>
          <w:sz w:val="24"/>
          <w:szCs w:val="24"/>
        </w:rPr>
        <w:t>This is because Country Choice was already financially as</w:t>
      </w:r>
      <w:r w:rsidR="007046EA">
        <w:rPr>
          <w:rFonts w:ascii="Times New Roman" w:hAnsi="Times New Roman" w:cs="Times New Roman"/>
          <w:sz w:val="24"/>
          <w:szCs w:val="24"/>
        </w:rPr>
        <w:t>sisting another distressed unit</w:t>
      </w:r>
      <w:r w:rsidR="00416EC0" w:rsidRPr="00A06014">
        <w:rPr>
          <w:rFonts w:ascii="Times New Roman" w:hAnsi="Times New Roman" w:cs="Times New Roman"/>
          <w:sz w:val="24"/>
          <w:szCs w:val="24"/>
        </w:rPr>
        <w:t xml:space="preserve"> of the respondent in Bulawayo. </w:t>
      </w:r>
      <w:r w:rsidR="00CF0554" w:rsidRPr="00A06014">
        <w:rPr>
          <w:rFonts w:ascii="Times New Roman" w:hAnsi="Times New Roman" w:cs="Times New Roman"/>
          <w:sz w:val="24"/>
          <w:szCs w:val="24"/>
        </w:rPr>
        <w:t xml:space="preserve"> </w:t>
      </w:r>
      <w:r w:rsidR="00416EC0" w:rsidRPr="00A06014">
        <w:rPr>
          <w:rFonts w:ascii="Times New Roman" w:hAnsi="Times New Roman" w:cs="Times New Roman"/>
          <w:sz w:val="24"/>
          <w:szCs w:val="24"/>
        </w:rPr>
        <w:t xml:space="preserve">This prompted </w:t>
      </w:r>
      <w:r w:rsidR="00CF0554" w:rsidRPr="00A06014">
        <w:rPr>
          <w:rFonts w:ascii="Times New Roman" w:hAnsi="Times New Roman" w:cs="Times New Roman"/>
          <w:sz w:val="24"/>
          <w:szCs w:val="24"/>
        </w:rPr>
        <w:t>the A</w:t>
      </w:r>
      <w:r w:rsidR="00753C08" w:rsidRPr="00A06014">
        <w:rPr>
          <w:rFonts w:ascii="Times New Roman" w:hAnsi="Times New Roman" w:cs="Times New Roman"/>
          <w:sz w:val="24"/>
          <w:szCs w:val="24"/>
        </w:rPr>
        <w:t>rbitrator to remark at p</w:t>
      </w:r>
      <w:r w:rsidR="00416EC0" w:rsidRPr="00A06014">
        <w:rPr>
          <w:rFonts w:ascii="Times New Roman" w:hAnsi="Times New Roman" w:cs="Times New Roman"/>
          <w:sz w:val="24"/>
          <w:szCs w:val="24"/>
        </w:rPr>
        <w:t xml:space="preserve"> 149 of the record of proceedings that:</w:t>
      </w:r>
    </w:p>
    <w:p w:rsidR="00416EC0" w:rsidRPr="00BB1857" w:rsidRDefault="00416EC0" w:rsidP="00F3020B">
      <w:pPr>
        <w:spacing w:after="0"/>
        <w:jc w:val="both"/>
        <w:rPr>
          <w:rFonts w:ascii="Times New Roman" w:hAnsi="Times New Roman" w:cs="Times New Roman"/>
          <w:sz w:val="4"/>
          <w:szCs w:val="4"/>
        </w:rPr>
      </w:pPr>
    </w:p>
    <w:p w:rsidR="00416EC0" w:rsidRPr="00A06014" w:rsidRDefault="00416EC0" w:rsidP="005146F4">
      <w:pPr>
        <w:spacing w:after="0" w:line="240" w:lineRule="auto"/>
        <w:ind w:left="567"/>
        <w:jc w:val="both"/>
        <w:rPr>
          <w:rFonts w:ascii="Times New Roman" w:hAnsi="Times New Roman" w:cs="Times New Roman"/>
          <w:sz w:val="24"/>
          <w:szCs w:val="24"/>
        </w:rPr>
      </w:pPr>
      <w:r w:rsidRPr="00A06014">
        <w:rPr>
          <w:rFonts w:ascii="Times New Roman" w:hAnsi="Times New Roman" w:cs="Times New Roman"/>
          <w:sz w:val="24"/>
          <w:szCs w:val="24"/>
        </w:rPr>
        <w:t xml:space="preserve">“The respondent submitted that </w:t>
      </w:r>
      <w:r w:rsidR="00537213" w:rsidRPr="00A06014">
        <w:rPr>
          <w:rFonts w:ascii="Times New Roman" w:hAnsi="Times New Roman" w:cs="Times New Roman"/>
          <w:sz w:val="24"/>
          <w:szCs w:val="24"/>
        </w:rPr>
        <w:t xml:space="preserve">its business </w:t>
      </w:r>
      <w:r w:rsidR="00F3020B">
        <w:rPr>
          <w:rFonts w:ascii="Times New Roman" w:hAnsi="Times New Roman" w:cs="Times New Roman"/>
          <w:sz w:val="24"/>
          <w:szCs w:val="24"/>
        </w:rPr>
        <w:t xml:space="preserve">is facing viability challenges </w:t>
      </w:r>
      <w:r w:rsidR="00537213" w:rsidRPr="00A06014">
        <w:rPr>
          <w:rFonts w:ascii="Times New Roman" w:hAnsi="Times New Roman" w:cs="Times New Roman"/>
          <w:sz w:val="24"/>
          <w:szCs w:val="24"/>
        </w:rPr>
        <w:t xml:space="preserve">since the inception of the US dollar </w:t>
      </w:r>
      <w:r w:rsidR="00F3020B">
        <w:rPr>
          <w:rFonts w:ascii="Times New Roman" w:hAnsi="Times New Roman" w:cs="Times New Roman"/>
          <w:sz w:val="24"/>
          <w:szCs w:val="24"/>
        </w:rPr>
        <w:t xml:space="preserve">in 2009 to the effect that its </w:t>
      </w:r>
      <w:r w:rsidR="00537213" w:rsidRPr="00A06014">
        <w:rPr>
          <w:rFonts w:ascii="Times New Roman" w:hAnsi="Times New Roman" w:cs="Times New Roman"/>
          <w:sz w:val="24"/>
          <w:szCs w:val="24"/>
        </w:rPr>
        <w:t xml:space="preserve">Bulawayo Plant was forced to close. </w:t>
      </w:r>
      <w:r w:rsidR="002D4278" w:rsidRPr="00A06014">
        <w:rPr>
          <w:rFonts w:ascii="Times New Roman" w:hAnsi="Times New Roman" w:cs="Times New Roman"/>
          <w:b/>
          <w:sz w:val="24"/>
          <w:szCs w:val="24"/>
        </w:rPr>
        <w:t>The Bulawayo Plant’s financial </w:t>
      </w:r>
      <w:r w:rsidR="00537213" w:rsidRPr="00A06014">
        <w:rPr>
          <w:rFonts w:ascii="Times New Roman" w:hAnsi="Times New Roman" w:cs="Times New Roman"/>
          <w:b/>
          <w:sz w:val="24"/>
          <w:szCs w:val="24"/>
        </w:rPr>
        <w:t>burdens are being incurred</w:t>
      </w:r>
      <w:r w:rsidR="00537213" w:rsidRPr="00A06014">
        <w:rPr>
          <w:rFonts w:ascii="Times New Roman" w:hAnsi="Times New Roman" w:cs="Times New Roman"/>
          <w:sz w:val="24"/>
          <w:szCs w:val="24"/>
        </w:rPr>
        <w:t xml:space="preserve"> by the H</w:t>
      </w:r>
      <w:r w:rsidR="005146F4" w:rsidRPr="00A06014">
        <w:rPr>
          <w:rFonts w:ascii="Times New Roman" w:hAnsi="Times New Roman" w:cs="Times New Roman"/>
          <w:sz w:val="24"/>
          <w:szCs w:val="24"/>
        </w:rPr>
        <w:t xml:space="preserve">arare Plant and Country Choice </w:t>
      </w:r>
      <w:r w:rsidR="00537213" w:rsidRPr="00A06014">
        <w:rPr>
          <w:rFonts w:ascii="Times New Roman" w:hAnsi="Times New Roman" w:cs="Times New Roman"/>
          <w:sz w:val="24"/>
          <w:szCs w:val="24"/>
        </w:rPr>
        <w:t>Foods…”</w:t>
      </w:r>
      <w:r w:rsidR="00FB4982" w:rsidRPr="00A06014">
        <w:rPr>
          <w:rFonts w:ascii="Times New Roman" w:hAnsi="Times New Roman" w:cs="Times New Roman"/>
          <w:sz w:val="24"/>
          <w:szCs w:val="24"/>
        </w:rPr>
        <w:t xml:space="preserve"> (</w:t>
      </w:r>
      <w:r w:rsidR="00FB4982" w:rsidRPr="00A06014">
        <w:rPr>
          <w:rFonts w:ascii="Times New Roman" w:hAnsi="Times New Roman" w:cs="Times New Roman"/>
          <w:i/>
          <w:sz w:val="24"/>
          <w:szCs w:val="24"/>
        </w:rPr>
        <w:t>My emphasis</w:t>
      </w:r>
      <w:r w:rsidR="00FB4982" w:rsidRPr="00A06014">
        <w:rPr>
          <w:rFonts w:ascii="Times New Roman" w:hAnsi="Times New Roman" w:cs="Times New Roman"/>
          <w:sz w:val="24"/>
          <w:szCs w:val="24"/>
        </w:rPr>
        <w:t>).</w:t>
      </w:r>
      <w:r w:rsidR="00FB4982" w:rsidRPr="00A06014">
        <w:rPr>
          <w:rFonts w:ascii="Times New Roman" w:hAnsi="Times New Roman" w:cs="Times New Roman"/>
          <w:sz w:val="24"/>
          <w:szCs w:val="24"/>
        </w:rPr>
        <w:tab/>
      </w:r>
    </w:p>
    <w:p w:rsidR="005146F4" w:rsidRPr="00A06014" w:rsidRDefault="005146F4" w:rsidP="005146F4">
      <w:pPr>
        <w:spacing w:after="0" w:line="240" w:lineRule="auto"/>
        <w:ind w:left="567"/>
        <w:jc w:val="both"/>
        <w:rPr>
          <w:rFonts w:ascii="Times New Roman" w:hAnsi="Times New Roman" w:cs="Times New Roman"/>
          <w:sz w:val="24"/>
          <w:szCs w:val="24"/>
        </w:rPr>
      </w:pPr>
    </w:p>
    <w:p w:rsidR="00537213" w:rsidRPr="00BB1857" w:rsidRDefault="00537213" w:rsidP="009C39C5">
      <w:pPr>
        <w:spacing w:after="0"/>
        <w:jc w:val="both"/>
        <w:rPr>
          <w:rFonts w:ascii="Times New Roman" w:hAnsi="Times New Roman" w:cs="Times New Roman"/>
          <w:sz w:val="16"/>
          <w:szCs w:val="16"/>
        </w:rPr>
      </w:pPr>
    </w:p>
    <w:p w:rsidR="00F3020B" w:rsidRPr="00A06014" w:rsidRDefault="00F3020B" w:rsidP="009C39C5">
      <w:pPr>
        <w:spacing w:after="0"/>
        <w:jc w:val="both"/>
        <w:rPr>
          <w:rFonts w:ascii="Times New Roman" w:hAnsi="Times New Roman" w:cs="Times New Roman"/>
          <w:sz w:val="24"/>
          <w:szCs w:val="24"/>
        </w:rPr>
      </w:pPr>
    </w:p>
    <w:p w:rsidR="00537213" w:rsidRPr="00A06014" w:rsidRDefault="00F3020B" w:rsidP="00F3020B">
      <w:pPr>
        <w:tabs>
          <w:tab w:val="left" w:pos="1134"/>
        </w:tabs>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00537213" w:rsidRPr="00A06014">
        <w:rPr>
          <w:rFonts w:ascii="Times New Roman" w:hAnsi="Times New Roman" w:cs="Times New Roman"/>
          <w:sz w:val="24"/>
          <w:szCs w:val="24"/>
        </w:rPr>
        <w:t>There is therefore no irrationality in the suggestion that Country Choice Foods could assist its distressed sister company financial</w:t>
      </w:r>
      <w:r w:rsidR="00822699" w:rsidRPr="00A06014">
        <w:rPr>
          <w:rFonts w:ascii="Times New Roman" w:hAnsi="Times New Roman" w:cs="Times New Roman"/>
          <w:sz w:val="24"/>
          <w:szCs w:val="24"/>
        </w:rPr>
        <w:t>ly</w:t>
      </w:r>
      <w:r w:rsidR="00324825" w:rsidRPr="00A06014">
        <w:rPr>
          <w:rFonts w:ascii="Times New Roman" w:hAnsi="Times New Roman" w:cs="Times New Roman"/>
          <w:sz w:val="24"/>
          <w:szCs w:val="24"/>
        </w:rPr>
        <w:t>.</w:t>
      </w:r>
    </w:p>
    <w:p w:rsidR="00324825" w:rsidRPr="00BB1857" w:rsidRDefault="00324825" w:rsidP="009C39C5">
      <w:pPr>
        <w:spacing w:after="0"/>
        <w:jc w:val="both"/>
        <w:rPr>
          <w:rFonts w:ascii="Times New Roman" w:hAnsi="Times New Roman" w:cs="Times New Roman"/>
          <w:sz w:val="16"/>
          <w:szCs w:val="16"/>
        </w:rPr>
      </w:pPr>
    </w:p>
    <w:p w:rsidR="00F3020B" w:rsidRPr="00A06014" w:rsidRDefault="00F3020B" w:rsidP="009C39C5">
      <w:pPr>
        <w:spacing w:after="0"/>
        <w:jc w:val="both"/>
        <w:rPr>
          <w:rFonts w:ascii="Times New Roman" w:hAnsi="Times New Roman" w:cs="Times New Roman"/>
          <w:sz w:val="24"/>
          <w:szCs w:val="24"/>
        </w:rPr>
      </w:pPr>
    </w:p>
    <w:p w:rsidR="00324825" w:rsidRPr="00A06014" w:rsidRDefault="005146F4" w:rsidP="005146F4">
      <w:pPr>
        <w:tabs>
          <w:tab w:val="left" w:pos="1134"/>
        </w:tabs>
        <w:spacing w:after="0"/>
        <w:jc w:val="both"/>
        <w:rPr>
          <w:rFonts w:ascii="Times New Roman" w:hAnsi="Times New Roman" w:cs="Times New Roman"/>
          <w:b/>
          <w:sz w:val="24"/>
          <w:szCs w:val="24"/>
        </w:rPr>
      </w:pPr>
      <w:r w:rsidRPr="00A06014">
        <w:rPr>
          <w:rFonts w:ascii="Times New Roman" w:hAnsi="Times New Roman" w:cs="Times New Roman"/>
          <w:b/>
          <w:sz w:val="24"/>
          <w:szCs w:val="24"/>
        </w:rPr>
        <w:t>DISPOSITION</w:t>
      </w:r>
    </w:p>
    <w:p w:rsidR="00324825" w:rsidRPr="00A06014" w:rsidRDefault="00324825" w:rsidP="009C39C5">
      <w:pPr>
        <w:spacing w:after="0"/>
        <w:jc w:val="both"/>
        <w:rPr>
          <w:rFonts w:ascii="Times New Roman" w:hAnsi="Times New Roman" w:cs="Times New Roman"/>
          <w:sz w:val="24"/>
          <w:szCs w:val="24"/>
        </w:rPr>
      </w:pPr>
    </w:p>
    <w:p w:rsidR="00324825" w:rsidRPr="00A06014" w:rsidRDefault="005146F4" w:rsidP="005146F4">
      <w:pPr>
        <w:tabs>
          <w:tab w:val="left" w:pos="1134"/>
        </w:tabs>
        <w:spacing w:after="0" w:line="480" w:lineRule="auto"/>
        <w:jc w:val="both"/>
        <w:rPr>
          <w:rFonts w:ascii="Times New Roman" w:hAnsi="Times New Roman" w:cs="Times New Roman"/>
          <w:sz w:val="24"/>
          <w:szCs w:val="24"/>
        </w:rPr>
      </w:pPr>
      <w:r w:rsidRPr="00A06014">
        <w:rPr>
          <w:rFonts w:ascii="Times New Roman" w:hAnsi="Times New Roman" w:cs="Times New Roman"/>
          <w:sz w:val="24"/>
          <w:szCs w:val="24"/>
        </w:rPr>
        <w:tab/>
      </w:r>
      <w:r w:rsidR="00324825" w:rsidRPr="00A06014">
        <w:rPr>
          <w:rFonts w:ascii="Times New Roman" w:hAnsi="Times New Roman" w:cs="Times New Roman"/>
          <w:sz w:val="24"/>
          <w:szCs w:val="24"/>
        </w:rPr>
        <w:t>In the result we come to the conclusion that there is absolutely no merit in this appeal.</w:t>
      </w:r>
      <w:r w:rsidR="00CF0554" w:rsidRPr="00A06014">
        <w:rPr>
          <w:rFonts w:ascii="Times New Roman" w:hAnsi="Times New Roman" w:cs="Times New Roman"/>
          <w:sz w:val="24"/>
          <w:szCs w:val="24"/>
        </w:rPr>
        <w:t xml:space="preserve"> </w:t>
      </w:r>
      <w:r w:rsidR="00324825" w:rsidRPr="00A06014">
        <w:rPr>
          <w:rFonts w:ascii="Times New Roman" w:hAnsi="Times New Roman" w:cs="Times New Roman"/>
          <w:sz w:val="24"/>
          <w:szCs w:val="24"/>
        </w:rPr>
        <w:t xml:space="preserve"> Costs will follow the result. </w:t>
      </w:r>
      <w:r w:rsidR="00CF0554" w:rsidRPr="00A06014">
        <w:rPr>
          <w:rFonts w:ascii="Times New Roman" w:hAnsi="Times New Roman" w:cs="Times New Roman"/>
          <w:sz w:val="24"/>
          <w:szCs w:val="24"/>
        </w:rPr>
        <w:t xml:space="preserve"> </w:t>
      </w:r>
      <w:r w:rsidR="00324825" w:rsidRPr="00A06014">
        <w:rPr>
          <w:rFonts w:ascii="Times New Roman" w:hAnsi="Times New Roman" w:cs="Times New Roman"/>
          <w:sz w:val="24"/>
          <w:szCs w:val="24"/>
        </w:rPr>
        <w:t>It is accordingly ordered that:</w:t>
      </w:r>
    </w:p>
    <w:p w:rsidR="00324825" w:rsidRPr="00A06014" w:rsidRDefault="00324825" w:rsidP="009C39C5">
      <w:pPr>
        <w:spacing w:after="0"/>
        <w:jc w:val="both"/>
        <w:rPr>
          <w:rFonts w:ascii="Times New Roman" w:hAnsi="Times New Roman" w:cs="Times New Roman"/>
          <w:sz w:val="24"/>
          <w:szCs w:val="24"/>
        </w:rPr>
      </w:pPr>
    </w:p>
    <w:p w:rsidR="00324825" w:rsidRPr="00A06014" w:rsidRDefault="00324825" w:rsidP="00CF0554">
      <w:pPr>
        <w:tabs>
          <w:tab w:val="left" w:pos="1134"/>
          <w:tab w:val="left" w:pos="1560"/>
        </w:tabs>
        <w:spacing w:after="0"/>
        <w:ind w:left="1134"/>
        <w:jc w:val="both"/>
        <w:rPr>
          <w:rFonts w:ascii="Times New Roman" w:hAnsi="Times New Roman" w:cs="Times New Roman"/>
          <w:sz w:val="24"/>
          <w:szCs w:val="24"/>
        </w:rPr>
      </w:pPr>
      <w:r w:rsidRPr="00A06014">
        <w:rPr>
          <w:rFonts w:ascii="Times New Roman" w:hAnsi="Times New Roman" w:cs="Times New Roman"/>
          <w:sz w:val="24"/>
          <w:szCs w:val="24"/>
        </w:rPr>
        <w:t>1.</w:t>
      </w:r>
      <w:r w:rsidRPr="00A06014">
        <w:rPr>
          <w:rFonts w:ascii="Times New Roman" w:hAnsi="Times New Roman" w:cs="Times New Roman"/>
          <w:sz w:val="24"/>
          <w:szCs w:val="24"/>
        </w:rPr>
        <w:tab/>
        <w:t xml:space="preserve">The appeal be and is hereby dismissed with costs.  </w:t>
      </w:r>
    </w:p>
    <w:p w:rsidR="00324825" w:rsidRPr="00A06014" w:rsidRDefault="00324825" w:rsidP="005146F4">
      <w:pPr>
        <w:tabs>
          <w:tab w:val="left" w:pos="1134"/>
        </w:tabs>
        <w:spacing w:after="0"/>
        <w:ind w:left="1134"/>
        <w:jc w:val="both"/>
        <w:rPr>
          <w:rFonts w:ascii="Times New Roman" w:hAnsi="Times New Roman" w:cs="Times New Roman"/>
          <w:sz w:val="24"/>
          <w:szCs w:val="24"/>
        </w:rPr>
      </w:pPr>
    </w:p>
    <w:p w:rsidR="00324825" w:rsidRPr="00A06014" w:rsidRDefault="00CF0554" w:rsidP="00CF0554">
      <w:pPr>
        <w:tabs>
          <w:tab w:val="left" w:pos="1134"/>
          <w:tab w:val="left" w:pos="1560"/>
        </w:tabs>
        <w:spacing w:after="0"/>
        <w:ind w:left="1134"/>
        <w:jc w:val="both"/>
        <w:rPr>
          <w:rFonts w:ascii="Times New Roman" w:hAnsi="Times New Roman" w:cs="Times New Roman"/>
          <w:sz w:val="24"/>
          <w:szCs w:val="24"/>
        </w:rPr>
      </w:pPr>
      <w:r w:rsidRPr="00A06014">
        <w:rPr>
          <w:rFonts w:ascii="Times New Roman" w:hAnsi="Times New Roman" w:cs="Times New Roman"/>
          <w:sz w:val="24"/>
          <w:szCs w:val="24"/>
        </w:rPr>
        <w:t xml:space="preserve">2. </w:t>
      </w:r>
      <w:r w:rsidR="00F3020B">
        <w:rPr>
          <w:rFonts w:ascii="Times New Roman" w:hAnsi="Times New Roman" w:cs="Times New Roman"/>
          <w:sz w:val="24"/>
          <w:szCs w:val="24"/>
        </w:rPr>
        <w:tab/>
      </w:r>
      <w:r w:rsidRPr="00A06014">
        <w:rPr>
          <w:rFonts w:ascii="Times New Roman" w:hAnsi="Times New Roman" w:cs="Times New Roman"/>
          <w:sz w:val="24"/>
          <w:szCs w:val="24"/>
        </w:rPr>
        <w:t>The</w:t>
      </w:r>
      <w:r w:rsidR="00324825" w:rsidRPr="00A06014">
        <w:rPr>
          <w:rFonts w:ascii="Times New Roman" w:hAnsi="Times New Roman" w:cs="Times New Roman"/>
          <w:sz w:val="24"/>
          <w:szCs w:val="24"/>
        </w:rPr>
        <w:t xml:space="preserve"> appellant bears costs of the appeal.</w:t>
      </w:r>
    </w:p>
    <w:p w:rsidR="00324825" w:rsidRPr="00A06014" w:rsidRDefault="00324825" w:rsidP="009C39C5">
      <w:pPr>
        <w:spacing w:after="0"/>
        <w:jc w:val="both"/>
        <w:rPr>
          <w:rFonts w:ascii="Times New Roman" w:hAnsi="Times New Roman" w:cs="Times New Roman"/>
          <w:sz w:val="24"/>
          <w:szCs w:val="24"/>
        </w:rPr>
      </w:pPr>
    </w:p>
    <w:p w:rsidR="00324825" w:rsidRPr="00A06014" w:rsidRDefault="00324825" w:rsidP="009C39C5">
      <w:pPr>
        <w:spacing w:after="0"/>
        <w:jc w:val="both"/>
        <w:rPr>
          <w:rFonts w:ascii="Times New Roman" w:hAnsi="Times New Roman" w:cs="Times New Roman"/>
          <w:sz w:val="24"/>
          <w:szCs w:val="24"/>
        </w:rPr>
      </w:pPr>
    </w:p>
    <w:p w:rsidR="005146F4" w:rsidRPr="00A06014" w:rsidRDefault="005146F4" w:rsidP="009C39C5">
      <w:pPr>
        <w:spacing w:after="0"/>
        <w:jc w:val="both"/>
        <w:rPr>
          <w:rFonts w:ascii="Times New Roman" w:hAnsi="Times New Roman" w:cs="Times New Roman"/>
          <w:sz w:val="24"/>
          <w:szCs w:val="24"/>
        </w:rPr>
      </w:pPr>
    </w:p>
    <w:p w:rsidR="005146F4" w:rsidRPr="00A06014" w:rsidRDefault="005146F4" w:rsidP="009C39C5">
      <w:pPr>
        <w:spacing w:after="0"/>
        <w:jc w:val="both"/>
        <w:rPr>
          <w:rFonts w:ascii="Times New Roman" w:hAnsi="Times New Roman" w:cs="Times New Roman"/>
          <w:sz w:val="24"/>
          <w:szCs w:val="24"/>
        </w:rPr>
      </w:pPr>
    </w:p>
    <w:p w:rsidR="005146F4" w:rsidRPr="00A06014" w:rsidRDefault="005146F4" w:rsidP="005146F4">
      <w:pPr>
        <w:tabs>
          <w:tab w:val="left" w:pos="1134"/>
        </w:tabs>
        <w:spacing w:before="240" w:after="160" w:line="360" w:lineRule="auto"/>
        <w:jc w:val="both"/>
        <w:rPr>
          <w:rFonts w:ascii="Times New Roman" w:eastAsia="Calibri" w:hAnsi="Times New Roman" w:cs="Times New Roman"/>
          <w:sz w:val="24"/>
          <w:szCs w:val="24"/>
          <w:lang w:val="en-ZA"/>
        </w:rPr>
      </w:pPr>
      <w:r w:rsidRPr="00A06014">
        <w:rPr>
          <w:rFonts w:ascii="Times New Roman" w:eastAsia="Calibri" w:hAnsi="Times New Roman" w:cs="Times New Roman"/>
          <w:b/>
          <w:sz w:val="24"/>
          <w:szCs w:val="24"/>
          <w:lang w:val="en-ZA"/>
        </w:rPr>
        <w:tab/>
        <w:t>GWAUNZA DCJ:</w:t>
      </w:r>
      <w:r w:rsidRPr="00A06014">
        <w:rPr>
          <w:rFonts w:ascii="Times New Roman" w:eastAsia="Calibri" w:hAnsi="Times New Roman" w:cs="Times New Roman"/>
          <w:sz w:val="24"/>
          <w:szCs w:val="24"/>
          <w:lang w:val="en-ZA"/>
        </w:rPr>
        <w:tab/>
      </w:r>
      <w:r w:rsidRPr="00A06014">
        <w:rPr>
          <w:rFonts w:ascii="Times New Roman" w:eastAsia="Calibri" w:hAnsi="Times New Roman" w:cs="Times New Roman"/>
          <w:sz w:val="24"/>
          <w:szCs w:val="24"/>
          <w:lang w:val="en-ZA"/>
        </w:rPr>
        <w:tab/>
      </w:r>
      <w:r w:rsidRPr="00A06014">
        <w:rPr>
          <w:rFonts w:ascii="Times New Roman" w:eastAsia="Calibri" w:hAnsi="Times New Roman" w:cs="Times New Roman"/>
          <w:sz w:val="24"/>
          <w:szCs w:val="24"/>
          <w:lang w:val="en-ZA"/>
        </w:rPr>
        <w:tab/>
        <w:t>I agree</w:t>
      </w:r>
    </w:p>
    <w:p w:rsidR="008C18CC" w:rsidRDefault="008C18CC" w:rsidP="005146F4">
      <w:pPr>
        <w:tabs>
          <w:tab w:val="left" w:pos="1134"/>
        </w:tabs>
        <w:spacing w:before="240" w:after="160" w:line="360" w:lineRule="auto"/>
        <w:jc w:val="both"/>
        <w:rPr>
          <w:rFonts w:ascii="Times New Roman" w:eastAsia="Calibri" w:hAnsi="Times New Roman" w:cs="Times New Roman"/>
          <w:sz w:val="24"/>
          <w:szCs w:val="24"/>
          <w:lang w:val="en-ZA"/>
        </w:rPr>
      </w:pPr>
    </w:p>
    <w:p w:rsidR="00F3020B" w:rsidRPr="00BB1857" w:rsidRDefault="00F3020B" w:rsidP="005146F4">
      <w:pPr>
        <w:tabs>
          <w:tab w:val="left" w:pos="1134"/>
        </w:tabs>
        <w:spacing w:before="240" w:after="160" w:line="360" w:lineRule="auto"/>
        <w:jc w:val="both"/>
        <w:rPr>
          <w:rFonts w:ascii="Times New Roman" w:eastAsia="Calibri" w:hAnsi="Times New Roman" w:cs="Times New Roman"/>
          <w:sz w:val="16"/>
          <w:szCs w:val="16"/>
          <w:lang w:val="en-ZA"/>
        </w:rPr>
      </w:pPr>
    </w:p>
    <w:p w:rsidR="008C18CC" w:rsidRPr="00A06014" w:rsidRDefault="008C18CC" w:rsidP="008C18CC">
      <w:pPr>
        <w:tabs>
          <w:tab w:val="left" w:pos="1134"/>
        </w:tabs>
        <w:spacing w:before="240" w:after="160" w:line="360" w:lineRule="auto"/>
        <w:jc w:val="both"/>
        <w:rPr>
          <w:rFonts w:ascii="Times New Roman" w:eastAsia="Calibri" w:hAnsi="Times New Roman" w:cs="Times New Roman"/>
          <w:sz w:val="24"/>
          <w:szCs w:val="24"/>
          <w:lang w:val="en-ZA"/>
        </w:rPr>
      </w:pPr>
      <w:r w:rsidRPr="00A06014">
        <w:rPr>
          <w:rFonts w:ascii="Times New Roman" w:eastAsia="Calibri" w:hAnsi="Times New Roman" w:cs="Times New Roman"/>
          <w:sz w:val="24"/>
          <w:szCs w:val="24"/>
          <w:lang w:val="en-ZA"/>
        </w:rPr>
        <w:tab/>
      </w:r>
      <w:r w:rsidRPr="00A06014">
        <w:rPr>
          <w:rFonts w:ascii="Times New Roman" w:eastAsia="Calibri" w:hAnsi="Times New Roman" w:cs="Times New Roman"/>
          <w:b/>
          <w:sz w:val="24"/>
          <w:szCs w:val="24"/>
          <w:lang w:val="en-ZA"/>
        </w:rPr>
        <w:t>BERE JA:</w:t>
      </w:r>
      <w:r w:rsidRPr="00A06014">
        <w:rPr>
          <w:rFonts w:ascii="Times New Roman" w:eastAsia="Calibri" w:hAnsi="Times New Roman" w:cs="Times New Roman"/>
          <w:sz w:val="24"/>
          <w:szCs w:val="24"/>
          <w:lang w:val="en-ZA"/>
        </w:rPr>
        <w:tab/>
      </w:r>
      <w:r w:rsidRPr="00A06014">
        <w:rPr>
          <w:rFonts w:ascii="Times New Roman" w:eastAsia="Calibri" w:hAnsi="Times New Roman" w:cs="Times New Roman"/>
          <w:sz w:val="24"/>
          <w:szCs w:val="24"/>
          <w:lang w:val="en-ZA"/>
        </w:rPr>
        <w:tab/>
      </w:r>
      <w:r w:rsidRPr="00A06014">
        <w:rPr>
          <w:rFonts w:ascii="Times New Roman" w:eastAsia="Calibri" w:hAnsi="Times New Roman" w:cs="Times New Roman"/>
          <w:sz w:val="24"/>
          <w:szCs w:val="24"/>
          <w:lang w:val="en-ZA"/>
        </w:rPr>
        <w:tab/>
      </w:r>
      <w:r w:rsidRPr="00A06014">
        <w:rPr>
          <w:rFonts w:ascii="Times New Roman" w:eastAsia="Calibri" w:hAnsi="Times New Roman" w:cs="Times New Roman"/>
          <w:sz w:val="24"/>
          <w:szCs w:val="24"/>
          <w:lang w:val="en-ZA"/>
        </w:rPr>
        <w:tab/>
        <w:t>(No longer in office)</w:t>
      </w:r>
    </w:p>
    <w:p w:rsidR="005146F4" w:rsidRPr="00A06014" w:rsidRDefault="005146F4" w:rsidP="005146F4">
      <w:pPr>
        <w:tabs>
          <w:tab w:val="left" w:pos="1134"/>
        </w:tabs>
        <w:spacing w:after="0"/>
        <w:jc w:val="both"/>
        <w:rPr>
          <w:rFonts w:ascii="Times New Roman" w:hAnsi="Times New Roman" w:cs="Times New Roman"/>
          <w:sz w:val="24"/>
          <w:szCs w:val="24"/>
        </w:rPr>
      </w:pPr>
    </w:p>
    <w:p w:rsidR="00CF0554" w:rsidRDefault="00CF0554" w:rsidP="009C39C5">
      <w:pPr>
        <w:spacing w:after="0"/>
        <w:jc w:val="both"/>
        <w:rPr>
          <w:rFonts w:ascii="Times New Roman" w:hAnsi="Times New Roman" w:cs="Times New Roman"/>
          <w:sz w:val="24"/>
          <w:szCs w:val="24"/>
        </w:rPr>
      </w:pPr>
    </w:p>
    <w:p w:rsidR="00BB1857" w:rsidRPr="00A06014" w:rsidRDefault="00BB1857" w:rsidP="009C39C5">
      <w:pPr>
        <w:spacing w:after="0"/>
        <w:jc w:val="both"/>
        <w:rPr>
          <w:rFonts w:ascii="Times New Roman" w:hAnsi="Times New Roman" w:cs="Times New Roman"/>
          <w:sz w:val="24"/>
          <w:szCs w:val="24"/>
        </w:rPr>
      </w:pPr>
    </w:p>
    <w:p w:rsidR="00324825" w:rsidRPr="00A06014" w:rsidRDefault="00324825" w:rsidP="00BB1857">
      <w:pPr>
        <w:spacing w:after="0" w:line="240" w:lineRule="auto"/>
        <w:jc w:val="both"/>
        <w:rPr>
          <w:rFonts w:ascii="Times New Roman" w:hAnsi="Times New Roman" w:cs="Times New Roman"/>
          <w:sz w:val="24"/>
          <w:szCs w:val="24"/>
        </w:rPr>
      </w:pPr>
      <w:r w:rsidRPr="00A06014">
        <w:rPr>
          <w:rFonts w:ascii="Times New Roman" w:hAnsi="Times New Roman" w:cs="Times New Roman"/>
          <w:i/>
          <w:sz w:val="24"/>
          <w:szCs w:val="24"/>
        </w:rPr>
        <w:t xml:space="preserve">Coghlan, Welsh &amp; Guest, </w:t>
      </w:r>
      <w:r w:rsidRPr="00A06014">
        <w:rPr>
          <w:rFonts w:ascii="Times New Roman" w:hAnsi="Times New Roman" w:cs="Times New Roman"/>
          <w:sz w:val="24"/>
          <w:szCs w:val="24"/>
        </w:rPr>
        <w:t xml:space="preserve">the </w:t>
      </w:r>
      <w:r w:rsidR="005146F4" w:rsidRPr="00A06014">
        <w:rPr>
          <w:rFonts w:ascii="Times New Roman" w:hAnsi="Times New Roman" w:cs="Times New Roman"/>
          <w:sz w:val="24"/>
          <w:szCs w:val="24"/>
        </w:rPr>
        <w:t>appellant’s legal p</w:t>
      </w:r>
      <w:r w:rsidRPr="00A06014">
        <w:rPr>
          <w:rFonts w:ascii="Times New Roman" w:hAnsi="Times New Roman" w:cs="Times New Roman"/>
          <w:sz w:val="24"/>
          <w:szCs w:val="24"/>
        </w:rPr>
        <w:t>ractitioners.</w:t>
      </w:r>
    </w:p>
    <w:p w:rsidR="008C18CC" w:rsidRPr="00A06014" w:rsidRDefault="008C18CC" w:rsidP="00BB1857">
      <w:pPr>
        <w:spacing w:after="0" w:line="240" w:lineRule="auto"/>
        <w:jc w:val="both"/>
        <w:rPr>
          <w:rFonts w:ascii="Times New Roman" w:hAnsi="Times New Roman" w:cs="Times New Roman"/>
          <w:i/>
          <w:sz w:val="24"/>
          <w:szCs w:val="24"/>
        </w:rPr>
      </w:pPr>
    </w:p>
    <w:p w:rsidR="00AC3304" w:rsidRPr="00A06014" w:rsidRDefault="005146F4" w:rsidP="00BB1857">
      <w:pPr>
        <w:spacing w:after="0" w:line="240" w:lineRule="auto"/>
        <w:jc w:val="both"/>
        <w:rPr>
          <w:rFonts w:ascii="Times New Roman" w:hAnsi="Times New Roman" w:cs="Times New Roman"/>
          <w:i/>
          <w:sz w:val="24"/>
          <w:szCs w:val="24"/>
        </w:rPr>
      </w:pPr>
      <w:r w:rsidRPr="00A06014">
        <w:rPr>
          <w:rFonts w:ascii="Times New Roman" w:hAnsi="Times New Roman" w:cs="Times New Roman"/>
          <w:i/>
          <w:sz w:val="24"/>
          <w:szCs w:val="24"/>
        </w:rPr>
        <w:t>Lovemore Madhuku Lawyers,</w:t>
      </w:r>
      <w:r w:rsidRPr="00A06014">
        <w:rPr>
          <w:rFonts w:ascii="Times New Roman" w:hAnsi="Times New Roman" w:cs="Times New Roman"/>
        </w:rPr>
        <w:t> </w:t>
      </w:r>
      <w:r w:rsidR="00324825" w:rsidRPr="00A06014">
        <w:rPr>
          <w:rFonts w:ascii="Times New Roman" w:hAnsi="Times New Roman" w:cs="Times New Roman"/>
          <w:sz w:val="24"/>
          <w:szCs w:val="24"/>
        </w:rPr>
        <w:t>the</w:t>
      </w:r>
      <w:r w:rsidRPr="00A06014">
        <w:rPr>
          <w:rFonts w:ascii="Times New Roman" w:hAnsi="Times New Roman" w:cs="Times New Roman"/>
          <w:sz w:val="24"/>
          <w:szCs w:val="24"/>
        </w:rPr>
        <w:t xml:space="preserve"> respondent’s legal p</w:t>
      </w:r>
      <w:r w:rsidR="008C18CC" w:rsidRPr="00A06014">
        <w:rPr>
          <w:rFonts w:ascii="Times New Roman" w:hAnsi="Times New Roman" w:cs="Times New Roman"/>
          <w:sz w:val="24"/>
          <w:szCs w:val="24"/>
        </w:rPr>
        <w:t>ractitioners.</w:t>
      </w:r>
    </w:p>
    <w:sectPr w:rsidR="00AC3304" w:rsidRPr="00A06014">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8BB" w:rsidRDefault="004618BB" w:rsidP="00632829">
      <w:pPr>
        <w:spacing w:after="0" w:line="240" w:lineRule="auto"/>
      </w:pPr>
      <w:r>
        <w:separator/>
      </w:r>
    </w:p>
  </w:endnote>
  <w:endnote w:type="continuationSeparator" w:id="0">
    <w:p w:rsidR="004618BB" w:rsidRDefault="004618BB" w:rsidP="0063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8BB" w:rsidRDefault="004618BB" w:rsidP="00632829">
      <w:pPr>
        <w:spacing w:after="0" w:line="240" w:lineRule="auto"/>
      </w:pPr>
      <w:r>
        <w:separator/>
      </w:r>
    </w:p>
  </w:footnote>
  <w:footnote w:type="continuationSeparator" w:id="0">
    <w:p w:rsidR="004618BB" w:rsidRDefault="004618BB" w:rsidP="00632829">
      <w:pPr>
        <w:spacing w:after="0" w:line="240" w:lineRule="auto"/>
      </w:pPr>
      <w:r>
        <w:continuationSeparator/>
      </w:r>
    </w:p>
  </w:footnote>
  <w:footnote w:id="1">
    <w:p w:rsidR="00632829" w:rsidRDefault="00632829">
      <w:pPr>
        <w:pStyle w:val="FootnoteText"/>
      </w:pPr>
      <w:r>
        <w:rPr>
          <w:rStyle w:val="FootnoteReference"/>
        </w:rPr>
        <w:footnoteRef/>
      </w:r>
      <w:r>
        <w:t xml:space="preserve"> Page 4 of the record.</w:t>
      </w:r>
    </w:p>
  </w:footnote>
  <w:footnote w:id="2">
    <w:p w:rsidR="005E517E" w:rsidRDefault="005E517E">
      <w:pPr>
        <w:pStyle w:val="FootnoteText"/>
      </w:pPr>
      <w:r>
        <w:rPr>
          <w:rStyle w:val="FootnoteReference"/>
        </w:rPr>
        <w:footnoteRef/>
      </w:r>
      <w:r>
        <w:t xml:space="preserve"> 1996</w:t>
      </w:r>
      <w:r w:rsidR="004954CC">
        <w:t xml:space="preserve"> (1) ZLR 64</w:t>
      </w:r>
      <w:r>
        <w:t xml:space="preserve"> (S)</w:t>
      </w:r>
    </w:p>
  </w:footnote>
  <w:footnote w:id="3">
    <w:p w:rsidR="005E517E" w:rsidRDefault="005E517E">
      <w:pPr>
        <w:pStyle w:val="FootnoteText"/>
      </w:pPr>
      <w:r>
        <w:rPr>
          <w:rStyle w:val="FootnoteReference"/>
        </w:rPr>
        <w:footnoteRef/>
      </w:r>
      <w:r>
        <w:t xml:space="preserve"> 2010 (2</w:t>
      </w:r>
      <w:r w:rsidR="004954CC">
        <w:t>) ZLR 342 (S)</w:t>
      </w:r>
    </w:p>
  </w:footnote>
  <w:footnote w:id="4">
    <w:p w:rsidR="00346B0F" w:rsidRDefault="00346B0F">
      <w:pPr>
        <w:pStyle w:val="FootnoteText"/>
      </w:pPr>
      <w:r>
        <w:rPr>
          <w:rStyle w:val="FootnoteReference"/>
        </w:rPr>
        <w:footnoteRef/>
      </w:r>
      <w:r>
        <w:t xml:space="preserve"> [1897] AC 22 (HL)</w:t>
      </w:r>
    </w:p>
  </w:footnote>
  <w:footnote w:id="5">
    <w:p w:rsidR="0070056A" w:rsidRDefault="0070056A">
      <w:pPr>
        <w:pStyle w:val="FootnoteText"/>
      </w:pPr>
      <w:r>
        <w:rPr>
          <w:rStyle w:val="FootnoteReference"/>
        </w:rPr>
        <w:footnoteRef/>
      </w:r>
      <w:r>
        <w:t xml:space="preserve"> HH 121 – 11 </w:t>
      </w:r>
    </w:p>
  </w:footnote>
  <w:footnote w:id="6">
    <w:p w:rsidR="00443B9B" w:rsidRDefault="00443B9B">
      <w:pPr>
        <w:pStyle w:val="FootnoteText"/>
      </w:pPr>
      <w:r>
        <w:rPr>
          <w:rStyle w:val="FootnoteReference"/>
        </w:rPr>
        <w:footnoteRef/>
      </w:r>
      <w:r>
        <w:t xml:space="preserve"> [197</w:t>
      </w:r>
      <w:r w:rsidR="001F491D">
        <w:t>6</w:t>
      </w:r>
      <w:r>
        <w:t xml:space="preserve">] 3 All ER 462 (CA) at 467 </w:t>
      </w:r>
    </w:p>
  </w:footnote>
  <w:footnote w:id="7">
    <w:p w:rsidR="00C038B7" w:rsidRDefault="00C038B7">
      <w:pPr>
        <w:pStyle w:val="FootnoteText"/>
      </w:pPr>
      <w:r>
        <w:rPr>
          <w:rStyle w:val="FootnoteReference"/>
        </w:rPr>
        <w:footnoteRef/>
      </w:r>
      <w:r>
        <w:t xml:space="preserve"> 2002 (1) ZLR 21</w:t>
      </w:r>
    </w:p>
  </w:footnote>
  <w:footnote w:id="8">
    <w:p w:rsidR="00C038B7" w:rsidRDefault="00C038B7">
      <w:pPr>
        <w:pStyle w:val="FootnoteText"/>
      </w:pPr>
      <w:r>
        <w:rPr>
          <w:rStyle w:val="FootnoteReference"/>
        </w:rPr>
        <w:footnoteRef/>
      </w:r>
      <w:r>
        <w:t xml:space="preserve"> 2014 (2) ZLR 688 at p 690</w:t>
      </w:r>
    </w:p>
  </w:footnote>
  <w:footnote w:id="9">
    <w:p w:rsidR="00C038B7" w:rsidRDefault="00C038B7">
      <w:pPr>
        <w:pStyle w:val="FootnoteText"/>
      </w:pPr>
      <w:r>
        <w:rPr>
          <w:rStyle w:val="FootnoteReference"/>
        </w:rPr>
        <w:footnoteRef/>
      </w:r>
      <w:r>
        <w:t xml:space="preserve"> 1993 (2) SA 784 ©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FB" w:rsidRDefault="00AF17FB">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17FB" w:rsidRPr="00A06014" w:rsidRDefault="00AF17FB">
                          <w:pPr>
                            <w:spacing w:after="0" w:line="240" w:lineRule="auto"/>
                            <w:jc w:val="right"/>
                            <w:rPr>
                              <w:rFonts w:ascii="Times New Roman" w:hAnsi="Times New Roman" w:cs="Times New Roman"/>
                              <w:noProof/>
                              <w:sz w:val="24"/>
                              <w:szCs w:val="24"/>
                            </w:rPr>
                          </w:pPr>
                          <w:r w:rsidRPr="00A06014">
                            <w:rPr>
                              <w:rFonts w:ascii="Times New Roman" w:hAnsi="Times New Roman" w:cs="Times New Roman"/>
                              <w:noProof/>
                              <w:sz w:val="24"/>
                              <w:szCs w:val="24"/>
                            </w:rPr>
                            <w:t xml:space="preserve">Judgment No: SC </w:t>
                          </w:r>
                          <w:r w:rsidR="00E00826">
                            <w:rPr>
                              <w:rFonts w:ascii="Times New Roman" w:hAnsi="Times New Roman" w:cs="Times New Roman"/>
                              <w:noProof/>
                              <w:sz w:val="24"/>
                              <w:szCs w:val="24"/>
                            </w:rPr>
                            <w:t>65</w:t>
                          </w:r>
                          <w:r w:rsidRPr="00A06014">
                            <w:rPr>
                              <w:rFonts w:ascii="Times New Roman" w:hAnsi="Times New Roman" w:cs="Times New Roman"/>
                              <w:noProof/>
                              <w:sz w:val="24"/>
                              <w:szCs w:val="24"/>
                            </w:rPr>
                            <w:t>/21</w:t>
                          </w:r>
                        </w:p>
                        <w:p w:rsidR="00AF17FB" w:rsidRPr="00A06014" w:rsidRDefault="00F3020B">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Civil Appeal</w:t>
                          </w:r>
                          <w:r w:rsidR="00AF17FB" w:rsidRPr="00A06014">
                            <w:rPr>
                              <w:rFonts w:ascii="Times New Roman" w:hAnsi="Times New Roman" w:cs="Times New Roman"/>
                              <w:noProof/>
                              <w:sz w:val="24"/>
                              <w:szCs w:val="24"/>
                            </w:rPr>
                            <w:t xml:space="preserve"> No: SC 132/19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F17FB" w:rsidRPr="00A06014" w:rsidRDefault="00AF17FB">
                    <w:pPr>
                      <w:spacing w:after="0" w:line="240" w:lineRule="auto"/>
                      <w:jc w:val="right"/>
                      <w:rPr>
                        <w:rFonts w:ascii="Times New Roman" w:hAnsi="Times New Roman" w:cs="Times New Roman"/>
                        <w:noProof/>
                        <w:sz w:val="24"/>
                        <w:szCs w:val="24"/>
                      </w:rPr>
                    </w:pPr>
                    <w:r w:rsidRPr="00A06014">
                      <w:rPr>
                        <w:rFonts w:ascii="Times New Roman" w:hAnsi="Times New Roman" w:cs="Times New Roman"/>
                        <w:noProof/>
                        <w:sz w:val="24"/>
                        <w:szCs w:val="24"/>
                      </w:rPr>
                      <w:t xml:space="preserve">Judgment No: SC </w:t>
                    </w:r>
                    <w:r w:rsidR="00E00826">
                      <w:rPr>
                        <w:rFonts w:ascii="Times New Roman" w:hAnsi="Times New Roman" w:cs="Times New Roman"/>
                        <w:noProof/>
                        <w:sz w:val="24"/>
                        <w:szCs w:val="24"/>
                      </w:rPr>
                      <w:t>65</w:t>
                    </w:r>
                    <w:r w:rsidRPr="00A06014">
                      <w:rPr>
                        <w:rFonts w:ascii="Times New Roman" w:hAnsi="Times New Roman" w:cs="Times New Roman"/>
                        <w:noProof/>
                        <w:sz w:val="24"/>
                        <w:szCs w:val="24"/>
                      </w:rPr>
                      <w:t>/21</w:t>
                    </w:r>
                  </w:p>
                  <w:p w:rsidR="00AF17FB" w:rsidRPr="00A06014" w:rsidRDefault="00F3020B">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Civil Appeal</w:t>
                    </w:r>
                    <w:r w:rsidR="00AF17FB" w:rsidRPr="00A06014">
                      <w:rPr>
                        <w:rFonts w:ascii="Times New Roman" w:hAnsi="Times New Roman" w:cs="Times New Roman"/>
                        <w:noProof/>
                        <w:sz w:val="24"/>
                        <w:szCs w:val="24"/>
                      </w:rPr>
                      <w:t xml:space="preserve"> No: SC 132/19</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F17FB" w:rsidRDefault="00AF17FB">
                          <w:pPr>
                            <w:spacing w:after="0" w:line="240" w:lineRule="auto"/>
                            <w:rPr>
                              <w:color w:val="FFFFFF" w:themeColor="background1"/>
                            </w:rPr>
                          </w:pPr>
                          <w:r>
                            <w:fldChar w:fldCharType="begin"/>
                          </w:r>
                          <w:r>
                            <w:instrText xml:space="preserve"> PAGE   \* MERGEFORMAT </w:instrText>
                          </w:r>
                          <w:r>
                            <w:fldChar w:fldCharType="separate"/>
                          </w:r>
                          <w:r w:rsidR="005617DD" w:rsidRPr="005617D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F17FB" w:rsidRDefault="00AF17FB">
                    <w:pPr>
                      <w:spacing w:after="0" w:line="240" w:lineRule="auto"/>
                      <w:rPr>
                        <w:color w:val="FFFFFF" w:themeColor="background1"/>
                      </w:rPr>
                    </w:pPr>
                    <w:r>
                      <w:fldChar w:fldCharType="begin"/>
                    </w:r>
                    <w:r>
                      <w:instrText xml:space="preserve"> PAGE   \* MERGEFORMAT </w:instrText>
                    </w:r>
                    <w:r>
                      <w:fldChar w:fldCharType="separate"/>
                    </w:r>
                    <w:r w:rsidR="005617DD" w:rsidRPr="005617D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5241CE"/>
    <w:multiLevelType w:val="hybridMultilevel"/>
    <w:tmpl w:val="94B46A16"/>
    <w:lvl w:ilvl="0" w:tplc="92A6785A">
      <w:start w:val="1"/>
      <w:numFmt w:val="lowerLetter"/>
      <w:lvlText w:val="%1)"/>
      <w:lvlJc w:val="left"/>
      <w:pPr>
        <w:ind w:left="1437" w:hanging="450"/>
      </w:pPr>
      <w:rPr>
        <w:rFonts w:hint="default"/>
      </w:rPr>
    </w:lvl>
    <w:lvl w:ilvl="1" w:tplc="30090019" w:tentative="1">
      <w:start w:val="1"/>
      <w:numFmt w:val="lowerLetter"/>
      <w:lvlText w:val="%2."/>
      <w:lvlJc w:val="left"/>
      <w:pPr>
        <w:ind w:left="2067" w:hanging="360"/>
      </w:pPr>
    </w:lvl>
    <w:lvl w:ilvl="2" w:tplc="3009001B" w:tentative="1">
      <w:start w:val="1"/>
      <w:numFmt w:val="lowerRoman"/>
      <w:lvlText w:val="%3."/>
      <w:lvlJc w:val="right"/>
      <w:pPr>
        <w:ind w:left="2787" w:hanging="180"/>
      </w:pPr>
    </w:lvl>
    <w:lvl w:ilvl="3" w:tplc="3009000F" w:tentative="1">
      <w:start w:val="1"/>
      <w:numFmt w:val="decimal"/>
      <w:lvlText w:val="%4."/>
      <w:lvlJc w:val="left"/>
      <w:pPr>
        <w:ind w:left="3507" w:hanging="360"/>
      </w:pPr>
    </w:lvl>
    <w:lvl w:ilvl="4" w:tplc="30090019" w:tentative="1">
      <w:start w:val="1"/>
      <w:numFmt w:val="lowerLetter"/>
      <w:lvlText w:val="%5."/>
      <w:lvlJc w:val="left"/>
      <w:pPr>
        <w:ind w:left="4227" w:hanging="360"/>
      </w:pPr>
    </w:lvl>
    <w:lvl w:ilvl="5" w:tplc="3009001B" w:tentative="1">
      <w:start w:val="1"/>
      <w:numFmt w:val="lowerRoman"/>
      <w:lvlText w:val="%6."/>
      <w:lvlJc w:val="right"/>
      <w:pPr>
        <w:ind w:left="4947" w:hanging="180"/>
      </w:pPr>
    </w:lvl>
    <w:lvl w:ilvl="6" w:tplc="3009000F" w:tentative="1">
      <w:start w:val="1"/>
      <w:numFmt w:val="decimal"/>
      <w:lvlText w:val="%7."/>
      <w:lvlJc w:val="left"/>
      <w:pPr>
        <w:ind w:left="5667" w:hanging="360"/>
      </w:pPr>
    </w:lvl>
    <w:lvl w:ilvl="7" w:tplc="30090019" w:tentative="1">
      <w:start w:val="1"/>
      <w:numFmt w:val="lowerLetter"/>
      <w:lvlText w:val="%8."/>
      <w:lvlJc w:val="left"/>
      <w:pPr>
        <w:ind w:left="6387" w:hanging="360"/>
      </w:pPr>
    </w:lvl>
    <w:lvl w:ilvl="8" w:tplc="3009001B" w:tentative="1">
      <w:start w:val="1"/>
      <w:numFmt w:val="lowerRoman"/>
      <w:lvlText w:val="%9."/>
      <w:lvlJc w:val="right"/>
      <w:pPr>
        <w:ind w:left="710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1DA"/>
    <w:rsid w:val="00003F44"/>
    <w:rsid w:val="00006150"/>
    <w:rsid w:val="00010FB0"/>
    <w:rsid w:val="00031F2F"/>
    <w:rsid w:val="00054C7E"/>
    <w:rsid w:val="00077FCD"/>
    <w:rsid w:val="00086885"/>
    <w:rsid w:val="000A6D06"/>
    <w:rsid w:val="000B28AB"/>
    <w:rsid w:val="000F0055"/>
    <w:rsid w:val="000F5CEA"/>
    <w:rsid w:val="000F5E99"/>
    <w:rsid w:val="0010730F"/>
    <w:rsid w:val="00120B20"/>
    <w:rsid w:val="00122CA7"/>
    <w:rsid w:val="00150E9A"/>
    <w:rsid w:val="00164C06"/>
    <w:rsid w:val="00182CCC"/>
    <w:rsid w:val="001E10DF"/>
    <w:rsid w:val="001F34E7"/>
    <w:rsid w:val="001F491D"/>
    <w:rsid w:val="00205B72"/>
    <w:rsid w:val="002547EA"/>
    <w:rsid w:val="00255975"/>
    <w:rsid w:val="0026091B"/>
    <w:rsid w:val="0026149F"/>
    <w:rsid w:val="00263073"/>
    <w:rsid w:val="00285FB3"/>
    <w:rsid w:val="002C1A6B"/>
    <w:rsid w:val="002D4278"/>
    <w:rsid w:val="002F1867"/>
    <w:rsid w:val="003028CE"/>
    <w:rsid w:val="00324825"/>
    <w:rsid w:val="00334AD8"/>
    <w:rsid w:val="00335F1B"/>
    <w:rsid w:val="003400FF"/>
    <w:rsid w:val="00346B0F"/>
    <w:rsid w:val="0036053B"/>
    <w:rsid w:val="00365661"/>
    <w:rsid w:val="003974E1"/>
    <w:rsid w:val="003A6CF0"/>
    <w:rsid w:val="003D7968"/>
    <w:rsid w:val="003E4C40"/>
    <w:rsid w:val="00413FD0"/>
    <w:rsid w:val="00416EC0"/>
    <w:rsid w:val="00435708"/>
    <w:rsid w:val="00440763"/>
    <w:rsid w:val="00443B9B"/>
    <w:rsid w:val="00451D62"/>
    <w:rsid w:val="00454B31"/>
    <w:rsid w:val="004618BB"/>
    <w:rsid w:val="00467D63"/>
    <w:rsid w:val="00471C35"/>
    <w:rsid w:val="00473C86"/>
    <w:rsid w:val="004954CC"/>
    <w:rsid w:val="004B5346"/>
    <w:rsid w:val="004C0ACB"/>
    <w:rsid w:val="00513052"/>
    <w:rsid w:val="005146F4"/>
    <w:rsid w:val="00537213"/>
    <w:rsid w:val="005617DD"/>
    <w:rsid w:val="0058042F"/>
    <w:rsid w:val="00585D38"/>
    <w:rsid w:val="005917A5"/>
    <w:rsid w:val="005C6B19"/>
    <w:rsid w:val="005D4684"/>
    <w:rsid w:val="005E517E"/>
    <w:rsid w:val="005F40BC"/>
    <w:rsid w:val="0060656C"/>
    <w:rsid w:val="00625B23"/>
    <w:rsid w:val="006326A1"/>
    <w:rsid w:val="00632829"/>
    <w:rsid w:val="00636E10"/>
    <w:rsid w:val="00643430"/>
    <w:rsid w:val="00647FD4"/>
    <w:rsid w:val="00652CAC"/>
    <w:rsid w:val="00660B02"/>
    <w:rsid w:val="006668A5"/>
    <w:rsid w:val="006864DA"/>
    <w:rsid w:val="006C11FC"/>
    <w:rsid w:val="006E1433"/>
    <w:rsid w:val="006E6C91"/>
    <w:rsid w:val="0070056A"/>
    <w:rsid w:val="007046EA"/>
    <w:rsid w:val="00720AB9"/>
    <w:rsid w:val="007224F0"/>
    <w:rsid w:val="00730601"/>
    <w:rsid w:val="00735A27"/>
    <w:rsid w:val="00753C08"/>
    <w:rsid w:val="0075501C"/>
    <w:rsid w:val="00767621"/>
    <w:rsid w:val="00772BCB"/>
    <w:rsid w:val="007767E7"/>
    <w:rsid w:val="00793058"/>
    <w:rsid w:val="007C2A78"/>
    <w:rsid w:val="007E2027"/>
    <w:rsid w:val="007E21F5"/>
    <w:rsid w:val="007E2E7F"/>
    <w:rsid w:val="007E6A40"/>
    <w:rsid w:val="007E707E"/>
    <w:rsid w:val="00803791"/>
    <w:rsid w:val="008160D2"/>
    <w:rsid w:val="00817372"/>
    <w:rsid w:val="00822699"/>
    <w:rsid w:val="00866557"/>
    <w:rsid w:val="00866E3D"/>
    <w:rsid w:val="008834AB"/>
    <w:rsid w:val="00895CF1"/>
    <w:rsid w:val="008A0463"/>
    <w:rsid w:val="008B160F"/>
    <w:rsid w:val="008C18CC"/>
    <w:rsid w:val="008C4744"/>
    <w:rsid w:val="008F61DA"/>
    <w:rsid w:val="00902F80"/>
    <w:rsid w:val="00907F57"/>
    <w:rsid w:val="00914C2F"/>
    <w:rsid w:val="00923849"/>
    <w:rsid w:val="00955CE0"/>
    <w:rsid w:val="00982360"/>
    <w:rsid w:val="00994EBD"/>
    <w:rsid w:val="00997FB3"/>
    <w:rsid w:val="009A11C5"/>
    <w:rsid w:val="009A32F3"/>
    <w:rsid w:val="009C39C5"/>
    <w:rsid w:val="009C4BDE"/>
    <w:rsid w:val="009F7946"/>
    <w:rsid w:val="00A06014"/>
    <w:rsid w:val="00A4238D"/>
    <w:rsid w:val="00A60765"/>
    <w:rsid w:val="00A65D87"/>
    <w:rsid w:val="00A6646F"/>
    <w:rsid w:val="00A77BC4"/>
    <w:rsid w:val="00A83CA0"/>
    <w:rsid w:val="00A95C69"/>
    <w:rsid w:val="00AC3304"/>
    <w:rsid w:val="00AF17FB"/>
    <w:rsid w:val="00B0598D"/>
    <w:rsid w:val="00B20D08"/>
    <w:rsid w:val="00B31988"/>
    <w:rsid w:val="00B376D3"/>
    <w:rsid w:val="00B378DB"/>
    <w:rsid w:val="00B504D8"/>
    <w:rsid w:val="00B50FBB"/>
    <w:rsid w:val="00BB1857"/>
    <w:rsid w:val="00BC0A61"/>
    <w:rsid w:val="00BE12D3"/>
    <w:rsid w:val="00BE337F"/>
    <w:rsid w:val="00BF53C0"/>
    <w:rsid w:val="00C038B7"/>
    <w:rsid w:val="00C064A9"/>
    <w:rsid w:val="00C14286"/>
    <w:rsid w:val="00C1764F"/>
    <w:rsid w:val="00C21100"/>
    <w:rsid w:val="00C30864"/>
    <w:rsid w:val="00C4640D"/>
    <w:rsid w:val="00C57AD7"/>
    <w:rsid w:val="00C61AF5"/>
    <w:rsid w:val="00C64A8B"/>
    <w:rsid w:val="00C70855"/>
    <w:rsid w:val="00C726C7"/>
    <w:rsid w:val="00C80258"/>
    <w:rsid w:val="00C83ADC"/>
    <w:rsid w:val="00C854E2"/>
    <w:rsid w:val="00C92B56"/>
    <w:rsid w:val="00CA4FF3"/>
    <w:rsid w:val="00CB1CE5"/>
    <w:rsid w:val="00CC6906"/>
    <w:rsid w:val="00CD1624"/>
    <w:rsid w:val="00CE2E76"/>
    <w:rsid w:val="00CF0554"/>
    <w:rsid w:val="00CF6B98"/>
    <w:rsid w:val="00D03665"/>
    <w:rsid w:val="00D3343D"/>
    <w:rsid w:val="00D3712B"/>
    <w:rsid w:val="00D53B3A"/>
    <w:rsid w:val="00D62A74"/>
    <w:rsid w:val="00D66D43"/>
    <w:rsid w:val="00D93819"/>
    <w:rsid w:val="00DA0226"/>
    <w:rsid w:val="00DA3703"/>
    <w:rsid w:val="00DA7152"/>
    <w:rsid w:val="00DE1645"/>
    <w:rsid w:val="00DF6AEC"/>
    <w:rsid w:val="00DF726C"/>
    <w:rsid w:val="00E00826"/>
    <w:rsid w:val="00E15E1C"/>
    <w:rsid w:val="00E215ED"/>
    <w:rsid w:val="00E33B98"/>
    <w:rsid w:val="00E5236F"/>
    <w:rsid w:val="00E67338"/>
    <w:rsid w:val="00E90355"/>
    <w:rsid w:val="00E90B5A"/>
    <w:rsid w:val="00EA26E5"/>
    <w:rsid w:val="00ED14CE"/>
    <w:rsid w:val="00ED4217"/>
    <w:rsid w:val="00ED5C28"/>
    <w:rsid w:val="00EE5E41"/>
    <w:rsid w:val="00F10012"/>
    <w:rsid w:val="00F3020B"/>
    <w:rsid w:val="00F74EFC"/>
    <w:rsid w:val="00F769D3"/>
    <w:rsid w:val="00F87497"/>
    <w:rsid w:val="00FA5828"/>
    <w:rsid w:val="00FB4982"/>
    <w:rsid w:val="00FC7A4C"/>
    <w:rsid w:val="00FD147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2464C4-F5F5-4174-ACB2-C755B2BB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328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829"/>
    <w:rPr>
      <w:sz w:val="20"/>
      <w:szCs w:val="20"/>
    </w:rPr>
  </w:style>
  <w:style w:type="character" w:styleId="FootnoteReference">
    <w:name w:val="footnote reference"/>
    <w:basedOn w:val="DefaultParagraphFont"/>
    <w:uiPriority w:val="99"/>
    <w:semiHidden/>
    <w:unhideWhenUsed/>
    <w:rsid w:val="00632829"/>
    <w:rPr>
      <w:vertAlign w:val="superscript"/>
    </w:rPr>
  </w:style>
  <w:style w:type="paragraph" w:styleId="BalloonText">
    <w:name w:val="Balloon Text"/>
    <w:basedOn w:val="Normal"/>
    <w:link w:val="BalloonTextChar"/>
    <w:uiPriority w:val="99"/>
    <w:semiHidden/>
    <w:unhideWhenUsed/>
    <w:rsid w:val="00FD1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47A"/>
    <w:rPr>
      <w:rFonts w:ascii="Tahoma" w:hAnsi="Tahoma" w:cs="Tahoma"/>
      <w:sz w:val="16"/>
      <w:szCs w:val="16"/>
    </w:rPr>
  </w:style>
  <w:style w:type="paragraph" w:styleId="Header">
    <w:name w:val="header"/>
    <w:basedOn w:val="Normal"/>
    <w:link w:val="HeaderChar"/>
    <w:uiPriority w:val="99"/>
    <w:unhideWhenUsed/>
    <w:rsid w:val="00AF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7FB"/>
  </w:style>
  <w:style w:type="paragraph" w:styleId="Footer">
    <w:name w:val="footer"/>
    <w:basedOn w:val="Normal"/>
    <w:link w:val="FooterChar"/>
    <w:uiPriority w:val="99"/>
    <w:unhideWhenUsed/>
    <w:rsid w:val="00AF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7FB"/>
  </w:style>
  <w:style w:type="paragraph" w:styleId="ListParagraph">
    <w:name w:val="List Paragraph"/>
    <w:basedOn w:val="Normal"/>
    <w:uiPriority w:val="34"/>
    <w:qFormat/>
    <w:rsid w:val="00CF0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B0485-D293-4030-A936-5F50F3D2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Sandra</cp:lastModifiedBy>
  <cp:revision>2</cp:revision>
  <cp:lastPrinted>2021-04-26T09:01:00Z</cp:lastPrinted>
  <dcterms:created xsi:type="dcterms:W3CDTF">2021-06-08T09:00:00Z</dcterms:created>
  <dcterms:modified xsi:type="dcterms:W3CDTF">2021-06-08T09:00:00Z</dcterms:modified>
</cp:coreProperties>
</file>