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drawings/drawing1.xml" ContentType="application/vnd.openxmlformats-officedocument.drawingml.chartshap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3A45" w:rsidRPr="00497352" w:rsidRDefault="00213AD7" w:rsidP="00213AD7">
      <w:pPr>
        <w:spacing w:after="0" w:line="480" w:lineRule="auto"/>
        <w:jc w:val="both"/>
        <w:rPr>
          <w:rFonts w:ascii="Times New Roman" w:hAnsi="Times New Roman" w:cs="Times New Roman"/>
          <w:sz w:val="24"/>
          <w:szCs w:val="24"/>
        </w:rPr>
      </w:pPr>
      <w:r>
        <w:rPr>
          <w:rFonts w:ascii="Times New Roman" w:hAnsi="Times New Roman" w:cs="Times New Roman"/>
          <w:b/>
          <w:sz w:val="24"/>
          <w:szCs w:val="24"/>
          <w:u w:val="single"/>
        </w:rPr>
        <w:t>REPORTABLE</w:t>
      </w:r>
      <w:r>
        <w:rPr>
          <w:rFonts w:ascii="Times New Roman" w:hAnsi="Times New Roman" w:cs="Times New Roman"/>
          <w:b/>
          <w:sz w:val="24"/>
          <w:szCs w:val="24"/>
        </w:rPr>
        <w:tab/>
        <w:t>(10)</w:t>
      </w:r>
      <w:r w:rsidR="00DE7323" w:rsidRPr="00497352">
        <w:rPr>
          <w:rFonts w:ascii="Times New Roman" w:hAnsi="Times New Roman" w:cs="Times New Roman"/>
          <w:sz w:val="24"/>
          <w:szCs w:val="24"/>
        </w:rPr>
        <w:t xml:space="preserve"> </w:t>
      </w:r>
    </w:p>
    <w:p w:rsidR="004C3A45" w:rsidRPr="00497352" w:rsidRDefault="004C3A45" w:rsidP="00670D88">
      <w:pPr>
        <w:spacing w:after="0" w:line="480" w:lineRule="auto"/>
        <w:rPr>
          <w:rFonts w:ascii="Times New Roman" w:hAnsi="Times New Roman" w:cs="Times New Roman"/>
          <w:sz w:val="24"/>
          <w:szCs w:val="24"/>
        </w:rPr>
      </w:pPr>
    </w:p>
    <w:p w:rsidR="00D17CFE" w:rsidRPr="00497352" w:rsidRDefault="00D17CFE" w:rsidP="00911E7D">
      <w:pPr>
        <w:pStyle w:val="ListParagraph"/>
        <w:numPr>
          <w:ilvl w:val="0"/>
          <w:numId w:val="12"/>
        </w:numPr>
        <w:spacing w:after="0" w:line="240" w:lineRule="auto"/>
        <w:ind w:left="0" w:firstLine="0"/>
        <w:jc w:val="center"/>
        <w:rPr>
          <w:rFonts w:ascii="Times New Roman" w:hAnsi="Times New Roman" w:cs="Times New Roman"/>
          <w:b/>
          <w:sz w:val="24"/>
          <w:szCs w:val="24"/>
        </w:rPr>
      </w:pPr>
      <w:r w:rsidRPr="00497352">
        <w:rPr>
          <w:rFonts w:ascii="Times New Roman" w:hAnsi="Times New Roman" w:cs="Times New Roman"/>
          <w:b/>
          <w:sz w:val="24"/>
          <w:szCs w:val="24"/>
        </w:rPr>
        <w:t>TBIC</w:t>
      </w:r>
      <w:r w:rsidR="00083C13" w:rsidRPr="00497352">
        <w:rPr>
          <w:rFonts w:ascii="Times New Roman" w:hAnsi="Times New Roman" w:cs="Times New Roman"/>
          <w:b/>
          <w:sz w:val="24"/>
          <w:szCs w:val="24"/>
        </w:rPr>
        <w:t xml:space="preserve">    </w:t>
      </w:r>
      <w:r w:rsidR="00992861" w:rsidRPr="00497352">
        <w:rPr>
          <w:rFonts w:ascii="Times New Roman" w:hAnsi="Times New Roman" w:cs="Times New Roman"/>
          <w:b/>
          <w:sz w:val="24"/>
          <w:szCs w:val="24"/>
        </w:rPr>
        <w:t xml:space="preserve"> INVEST</w:t>
      </w:r>
      <w:r w:rsidRPr="00497352">
        <w:rPr>
          <w:rFonts w:ascii="Times New Roman" w:hAnsi="Times New Roman" w:cs="Times New Roman"/>
          <w:b/>
          <w:sz w:val="24"/>
          <w:szCs w:val="24"/>
        </w:rPr>
        <w:t xml:space="preserve">MENTS </w:t>
      </w:r>
      <w:r w:rsidR="00083C13" w:rsidRPr="00497352">
        <w:rPr>
          <w:rFonts w:ascii="Times New Roman" w:hAnsi="Times New Roman" w:cs="Times New Roman"/>
          <w:b/>
          <w:sz w:val="24"/>
          <w:szCs w:val="24"/>
        </w:rPr>
        <w:t xml:space="preserve"> </w:t>
      </w:r>
      <w:proofErr w:type="gramStart"/>
      <w:r w:rsidR="00083C13" w:rsidRPr="00497352">
        <w:rPr>
          <w:rFonts w:ascii="Times New Roman" w:hAnsi="Times New Roman" w:cs="Times New Roman"/>
          <w:b/>
          <w:sz w:val="24"/>
          <w:szCs w:val="24"/>
        </w:rPr>
        <w:t xml:space="preserve">   (</w:t>
      </w:r>
      <w:proofErr w:type="gramEnd"/>
      <w:r w:rsidR="00083C13" w:rsidRPr="00497352">
        <w:rPr>
          <w:rFonts w:ascii="Times New Roman" w:hAnsi="Times New Roman" w:cs="Times New Roman"/>
          <w:b/>
          <w:sz w:val="24"/>
          <w:szCs w:val="24"/>
        </w:rPr>
        <w:t>PRIVATE</w:t>
      </w:r>
      <w:r w:rsidRPr="00497352">
        <w:rPr>
          <w:rFonts w:ascii="Times New Roman" w:hAnsi="Times New Roman" w:cs="Times New Roman"/>
          <w:b/>
          <w:sz w:val="24"/>
          <w:szCs w:val="24"/>
        </w:rPr>
        <w:t xml:space="preserve">) </w:t>
      </w:r>
      <w:r w:rsidR="00083C13" w:rsidRPr="00497352">
        <w:rPr>
          <w:rFonts w:ascii="Times New Roman" w:hAnsi="Times New Roman" w:cs="Times New Roman"/>
          <w:b/>
          <w:sz w:val="24"/>
          <w:szCs w:val="24"/>
        </w:rPr>
        <w:t xml:space="preserve">    LIMITED     (2)    </w:t>
      </w:r>
      <w:r w:rsidRPr="00497352">
        <w:rPr>
          <w:rFonts w:ascii="Times New Roman" w:hAnsi="Times New Roman" w:cs="Times New Roman"/>
          <w:b/>
          <w:sz w:val="24"/>
          <w:szCs w:val="24"/>
        </w:rPr>
        <w:t xml:space="preserve">PAUL </w:t>
      </w:r>
      <w:r w:rsidR="00083C13" w:rsidRPr="00497352">
        <w:rPr>
          <w:rFonts w:ascii="Times New Roman" w:hAnsi="Times New Roman" w:cs="Times New Roman"/>
          <w:b/>
          <w:sz w:val="24"/>
          <w:szCs w:val="24"/>
        </w:rPr>
        <w:t xml:space="preserve">    </w:t>
      </w:r>
      <w:r w:rsidRPr="00497352">
        <w:rPr>
          <w:rFonts w:ascii="Times New Roman" w:hAnsi="Times New Roman" w:cs="Times New Roman"/>
          <w:b/>
          <w:sz w:val="24"/>
          <w:szCs w:val="24"/>
        </w:rPr>
        <w:t>ISAU</w:t>
      </w:r>
      <w:r w:rsidR="00083C13" w:rsidRPr="00497352">
        <w:rPr>
          <w:rFonts w:ascii="Times New Roman" w:hAnsi="Times New Roman" w:cs="Times New Roman"/>
          <w:b/>
          <w:sz w:val="24"/>
          <w:szCs w:val="24"/>
        </w:rPr>
        <w:t xml:space="preserve">    </w:t>
      </w:r>
      <w:r w:rsidRPr="00497352">
        <w:rPr>
          <w:rFonts w:ascii="Times New Roman" w:hAnsi="Times New Roman" w:cs="Times New Roman"/>
          <w:b/>
          <w:sz w:val="24"/>
          <w:szCs w:val="24"/>
        </w:rPr>
        <w:t xml:space="preserve"> UPENYU </w:t>
      </w:r>
      <w:r w:rsidR="00083C13" w:rsidRPr="00497352">
        <w:rPr>
          <w:rFonts w:ascii="Times New Roman" w:hAnsi="Times New Roman" w:cs="Times New Roman"/>
          <w:b/>
          <w:sz w:val="24"/>
          <w:szCs w:val="24"/>
        </w:rPr>
        <w:t xml:space="preserve">    </w:t>
      </w:r>
      <w:r w:rsidRPr="00497352">
        <w:rPr>
          <w:rFonts w:ascii="Times New Roman" w:hAnsi="Times New Roman" w:cs="Times New Roman"/>
          <w:b/>
          <w:sz w:val="24"/>
          <w:szCs w:val="24"/>
        </w:rPr>
        <w:t>CHIDAWANYIKA</w:t>
      </w:r>
    </w:p>
    <w:p w:rsidR="00D17CFE" w:rsidRPr="00497352" w:rsidRDefault="00083C13" w:rsidP="00911E7D">
      <w:pPr>
        <w:spacing w:after="0" w:line="240" w:lineRule="auto"/>
        <w:jc w:val="center"/>
        <w:rPr>
          <w:rFonts w:ascii="Times New Roman" w:hAnsi="Times New Roman" w:cs="Times New Roman"/>
          <w:b/>
          <w:sz w:val="24"/>
          <w:szCs w:val="24"/>
        </w:rPr>
      </w:pPr>
      <w:r w:rsidRPr="00497352">
        <w:rPr>
          <w:rFonts w:ascii="Times New Roman" w:hAnsi="Times New Roman" w:cs="Times New Roman"/>
          <w:b/>
          <w:sz w:val="24"/>
          <w:szCs w:val="24"/>
        </w:rPr>
        <w:t>v</w:t>
      </w:r>
    </w:p>
    <w:p w:rsidR="00083C13" w:rsidRPr="00497352" w:rsidRDefault="00083C13" w:rsidP="00911E7D">
      <w:pPr>
        <w:pStyle w:val="ListParagraph"/>
        <w:spacing w:after="0" w:line="240" w:lineRule="auto"/>
        <w:ind w:left="0"/>
        <w:jc w:val="center"/>
        <w:rPr>
          <w:rFonts w:ascii="Times New Roman" w:hAnsi="Times New Roman" w:cs="Times New Roman"/>
          <w:b/>
          <w:sz w:val="24"/>
          <w:szCs w:val="24"/>
        </w:rPr>
      </w:pPr>
      <w:r w:rsidRPr="00497352">
        <w:rPr>
          <w:rFonts w:ascii="Times New Roman" w:hAnsi="Times New Roman" w:cs="Times New Roman"/>
          <w:b/>
          <w:sz w:val="24"/>
          <w:szCs w:val="24"/>
        </w:rPr>
        <w:t xml:space="preserve">(1)    </w:t>
      </w:r>
      <w:r w:rsidR="004158E7" w:rsidRPr="00497352">
        <w:rPr>
          <w:rFonts w:ascii="Times New Roman" w:hAnsi="Times New Roman" w:cs="Times New Roman"/>
          <w:b/>
          <w:sz w:val="24"/>
          <w:szCs w:val="24"/>
        </w:rPr>
        <w:t xml:space="preserve">KENNEDY </w:t>
      </w:r>
      <w:r w:rsidRPr="00497352">
        <w:rPr>
          <w:rFonts w:ascii="Times New Roman" w:hAnsi="Times New Roman" w:cs="Times New Roman"/>
          <w:b/>
          <w:sz w:val="24"/>
          <w:szCs w:val="24"/>
        </w:rPr>
        <w:t xml:space="preserve">    </w:t>
      </w:r>
      <w:r w:rsidR="004158E7" w:rsidRPr="00497352">
        <w:rPr>
          <w:rFonts w:ascii="Times New Roman" w:hAnsi="Times New Roman" w:cs="Times New Roman"/>
          <w:b/>
          <w:sz w:val="24"/>
          <w:szCs w:val="24"/>
        </w:rPr>
        <w:t>MANGENJE</w:t>
      </w:r>
      <w:r w:rsidRPr="00497352">
        <w:rPr>
          <w:rFonts w:ascii="Times New Roman" w:hAnsi="Times New Roman" w:cs="Times New Roman"/>
          <w:b/>
          <w:sz w:val="24"/>
          <w:szCs w:val="24"/>
        </w:rPr>
        <w:t xml:space="preserve">  </w:t>
      </w:r>
      <w:proofErr w:type="gramStart"/>
      <w:r w:rsidRPr="00497352">
        <w:rPr>
          <w:rFonts w:ascii="Times New Roman" w:hAnsi="Times New Roman" w:cs="Times New Roman"/>
          <w:b/>
          <w:sz w:val="24"/>
          <w:szCs w:val="24"/>
        </w:rPr>
        <w:t xml:space="preserve">   (</w:t>
      </w:r>
      <w:proofErr w:type="gramEnd"/>
      <w:r w:rsidRPr="00497352">
        <w:rPr>
          <w:rFonts w:ascii="Times New Roman" w:hAnsi="Times New Roman" w:cs="Times New Roman"/>
          <w:b/>
          <w:sz w:val="24"/>
          <w:szCs w:val="24"/>
        </w:rPr>
        <w:t xml:space="preserve">2)    </w:t>
      </w:r>
      <w:r w:rsidR="00D17CFE" w:rsidRPr="00497352">
        <w:rPr>
          <w:rFonts w:ascii="Times New Roman" w:hAnsi="Times New Roman" w:cs="Times New Roman"/>
          <w:b/>
          <w:sz w:val="24"/>
          <w:szCs w:val="24"/>
        </w:rPr>
        <w:t xml:space="preserve">MINISTER </w:t>
      </w:r>
      <w:r w:rsidRPr="00497352">
        <w:rPr>
          <w:rFonts w:ascii="Times New Roman" w:hAnsi="Times New Roman" w:cs="Times New Roman"/>
          <w:b/>
          <w:sz w:val="24"/>
          <w:szCs w:val="24"/>
        </w:rPr>
        <w:t xml:space="preserve">    </w:t>
      </w:r>
      <w:r w:rsidR="00D17CFE" w:rsidRPr="00497352">
        <w:rPr>
          <w:rFonts w:ascii="Times New Roman" w:hAnsi="Times New Roman" w:cs="Times New Roman"/>
          <w:b/>
          <w:sz w:val="24"/>
          <w:szCs w:val="24"/>
        </w:rPr>
        <w:t>OF</w:t>
      </w:r>
      <w:r w:rsidRPr="00497352">
        <w:rPr>
          <w:rFonts w:ascii="Times New Roman" w:hAnsi="Times New Roman" w:cs="Times New Roman"/>
          <w:b/>
          <w:sz w:val="24"/>
          <w:szCs w:val="24"/>
        </w:rPr>
        <w:t xml:space="preserve">    </w:t>
      </w:r>
      <w:r w:rsidR="00D17CFE" w:rsidRPr="00497352">
        <w:rPr>
          <w:rFonts w:ascii="Times New Roman" w:hAnsi="Times New Roman" w:cs="Times New Roman"/>
          <w:b/>
          <w:sz w:val="24"/>
          <w:szCs w:val="24"/>
        </w:rPr>
        <w:t xml:space="preserve"> LANDS </w:t>
      </w:r>
      <w:r w:rsidRPr="00497352">
        <w:rPr>
          <w:rFonts w:ascii="Times New Roman" w:hAnsi="Times New Roman" w:cs="Times New Roman"/>
          <w:b/>
          <w:sz w:val="24"/>
          <w:szCs w:val="24"/>
        </w:rPr>
        <w:t xml:space="preserve">    (3)</w:t>
      </w:r>
      <w:r w:rsidR="00D17CFE" w:rsidRPr="00497352">
        <w:rPr>
          <w:rFonts w:ascii="Times New Roman" w:hAnsi="Times New Roman" w:cs="Times New Roman"/>
          <w:b/>
          <w:sz w:val="24"/>
          <w:szCs w:val="24"/>
        </w:rPr>
        <w:t xml:space="preserve"> </w:t>
      </w:r>
      <w:r w:rsidRPr="00497352">
        <w:rPr>
          <w:rFonts w:ascii="Times New Roman" w:hAnsi="Times New Roman" w:cs="Times New Roman"/>
          <w:b/>
          <w:sz w:val="24"/>
          <w:szCs w:val="24"/>
        </w:rPr>
        <w:t xml:space="preserve">    RURAL</w:t>
      </w:r>
    </w:p>
    <w:p w:rsidR="00D17CFE" w:rsidRPr="00497352" w:rsidRDefault="00D17CFE" w:rsidP="00911E7D">
      <w:pPr>
        <w:pStyle w:val="ListParagraph"/>
        <w:spacing w:after="0" w:line="240" w:lineRule="auto"/>
        <w:ind w:left="0"/>
        <w:jc w:val="center"/>
        <w:rPr>
          <w:rFonts w:ascii="Times New Roman" w:hAnsi="Times New Roman" w:cs="Times New Roman"/>
          <w:b/>
          <w:sz w:val="24"/>
          <w:szCs w:val="24"/>
        </w:rPr>
      </w:pPr>
      <w:r w:rsidRPr="00497352">
        <w:rPr>
          <w:rFonts w:ascii="Times New Roman" w:hAnsi="Times New Roman" w:cs="Times New Roman"/>
          <w:b/>
          <w:sz w:val="24"/>
          <w:szCs w:val="24"/>
        </w:rPr>
        <w:t>DEVELOPMENT</w:t>
      </w:r>
      <w:r w:rsidR="00083C13" w:rsidRPr="00497352">
        <w:rPr>
          <w:rFonts w:ascii="Times New Roman" w:hAnsi="Times New Roman" w:cs="Times New Roman"/>
          <w:b/>
          <w:sz w:val="24"/>
          <w:szCs w:val="24"/>
        </w:rPr>
        <w:t xml:space="preserve">  </w:t>
      </w:r>
      <w:proofErr w:type="gramStart"/>
      <w:r w:rsidR="00083C13" w:rsidRPr="00497352">
        <w:rPr>
          <w:rFonts w:ascii="Times New Roman" w:hAnsi="Times New Roman" w:cs="Times New Roman"/>
          <w:b/>
          <w:sz w:val="24"/>
          <w:szCs w:val="24"/>
        </w:rPr>
        <w:t xml:space="preserve">   (</w:t>
      </w:r>
      <w:proofErr w:type="gramEnd"/>
      <w:r w:rsidR="00083C13" w:rsidRPr="00497352">
        <w:rPr>
          <w:rFonts w:ascii="Times New Roman" w:hAnsi="Times New Roman" w:cs="Times New Roman"/>
          <w:b/>
          <w:sz w:val="24"/>
          <w:szCs w:val="24"/>
        </w:rPr>
        <w:t xml:space="preserve">4)    </w:t>
      </w:r>
      <w:r w:rsidRPr="00497352">
        <w:rPr>
          <w:rFonts w:ascii="Times New Roman" w:hAnsi="Times New Roman" w:cs="Times New Roman"/>
          <w:b/>
          <w:sz w:val="24"/>
          <w:szCs w:val="24"/>
        </w:rPr>
        <w:t>THE</w:t>
      </w:r>
      <w:r w:rsidR="00083C13" w:rsidRPr="00497352">
        <w:rPr>
          <w:rFonts w:ascii="Times New Roman" w:hAnsi="Times New Roman" w:cs="Times New Roman"/>
          <w:b/>
          <w:sz w:val="24"/>
          <w:szCs w:val="24"/>
        </w:rPr>
        <w:t xml:space="preserve">    </w:t>
      </w:r>
      <w:r w:rsidRPr="00497352">
        <w:rPr>
          <w:rFonts w:ascii="Times New Roman" w:hAnsi="Times New Roman" w:cs="Times New Roman"/>
          <w:b/>
          <w:sz w:val="24"/>
          <w:szCs w:val="24"/>
        </w:rPr>
        <w:t xml:space="preserve"> REGISTRAR </w:t>
      </w:r>
      <w:r w:rsidR="00083C13" w:rsidRPr="00497352">
        <w:rPr>
          <w:rFonts w:ascii="Times New Roman" w:hAnsi="Times New Roman" w:cs="Times New Roman"/>
          <w:b/>
          <w:sz w:val="24"/>
          <w:szCs w:val="24"/>
        </w:rPr>
        <w:t xml:space="preserve">    </w:t>
      </w:r>
      <w:r w:rsidRPr="00497352">
        <w:rPr>
          <w:rFonts w:ascii="Times New Roman" w:hAnsi="Times New Roman" w:cs="Times New Roman"/>
          <w:b/>
          <w:sz w:val="24"/>
          <w:szCs w:val="24"/>
        </w:rPr>
        <w:t xml:space="preserve">OF </w:t>
      </w:r>
      <w:r w:rsidR="00083C13" w:rsidRPr="00497352">
        <w:rPr>
          <w:rFonts w:ascii="Times New Roman" w:hAnsi="Times New Roman" w:cs="Times New Roman"/>
          <w:b/>
          <w:sz w:val="24"/>
          <w:szCs w:val="24"/>
        </w:rPr>
        <w:t xml:space="preserve">    </w:t>
      </w:r>
      <w:r w:rsidRPr="00497352">
        <w:rPr>
          <w:rFonts w:ascii="Times New Roman" w:hAnsi="Times New Roman" w:cs="Times New Roman"/>
          <w:b/>
          <w:sz w:val="24"/>
          <w:szCs w:val="24"/>
        </w:rPr>
        <w:t>DEEDS</w:t>
      </w:r>
      <w:r w:rsidR="00083C13" w:rsidRPr="00497352">
        <w:rPr>
          <w:rFonts w:ascii="Times New Roman" w:hAnsi="Times New Roman" w:cs="Times New Roman"/>
          <w:b/>
          <w:sz w:val="24"/>
          <w:szCs w:val="24"/>
        </w:rPr>
        <w:t xml:space="preserve">     (5)     ATTORN</w:t>
      </w:r>
      <w:r w:rsidRPr="00497352">
        <w:rPr>
          <w:rFonts w:ascii="Times New Roman" w:hAnsi="Times New Roman" w:cs="Times New Roman"/>
          <w:b/>
          <w:sz w:val="24"/>
          <w:szCs w:val="24"/>
        </w:rPr>
        <w:t>EY</w:t>
      </w:r>
      <w:r w:rsidR="00083C13" w:rsidRPr="00497352">
        <w:rPr>
          <w:rFonts w:ascii="Times New Roman" w:hAnsi="Times New Roman" w:cs="Times New Roman"/>
          <w:b/>
          <w:sz w:val="24"/>
          <w:szCs w:val="24"/>
        </w:rPr>
        <w:t xml:space="preserve">    </w:t>
      </w:r>
      <w:r w:rsidRPr="00497352">
        <w:rPr>
          <w:rFonts w:ascii="Times New Roman" w:hAnsi="Times New Roman" w:cs="Times New Roman"/>
          <w:b/>
          <w:sz w:val="24"/>
          <w:szCs w:val="24"/>
        </w:rPr>
        <w:t xml:space="preserve"> GENERAL</w:t>
      </w:r>
      <w:r w:rsidR="00083C13" w:rsidRPr="00497352">
        <w:rPr>
          <w:rFonts w:ascii="Times New Roman" w:hAnsi="Times New Roman" w:cs="Times New Roman"/>
          <w:b/>
          <w:sz w:val="24"/>
          <w:szCs w:val="24"/>
        </w:rPr>
        <w:t xml:space="preserve">    </w:t>
      </w:r>
      <w:r w:rsidRPr="00497352">
        <w:rPr>
          <w:rFonts w:ascii="Times New Roman" w:hAnsi="Times New Roman" w:cs="Times New Roman"/>
          <w:b/>
          <w:sz w:val="24"/>
          <w:szCs w:val="24"/>
        </w:rPr>
        <w:t xml:space="preserve"> OF </w:t>
      </w:r>
      <w:r w:rsidR="00083C13" w:rsidRPr="00497352">
        <w:rPr>
          <w:rFonts w:ascii="Times New Roman" w:hAnsi="Times New Roman" w:cs="Times New Roman"/>
          <w:b/>
          <w:sz w:val="24"/>
          <w:szCs w:val="24"/>
        </w:rPr>
        <w:t xml:space="preserve">    </w:t>
      </w:r>
      <w:r w:rsidRPr="00497352">
        <w:rPr>
          <w:rFonts w:ascii="Times New Roman" w:hAnsi="Times New Roman" w:cs="Times New Roman"/>
          <w:b/>
          <w:sz w:val="24"/>
          <w:szCs w:val="24"/>
        </w:rPr>
        <w:t>ZIMBABWE</w:t>
      </w:r>
      <w:r w:rsidR="00083C13" w:rsidRPr="00497352">
        <w:rPr>
          <w:rFonts w:ascii="Times New Roman" w:hAnsi="Times New Roman" w:cs="Times New Roman"/>
          <w:b/>
          <w:sz w:val="24"/>
          <w:szCs w:val="24"/>
        </w:rPr>
        <w:t xml:space="preserve">     (6)     </w:t>
      </w:r>
      <w:r w:rsidRPr="00497352">
        <w:rPr>
          <w:rFonts w:ascii="Times New Roman" w:hAnsi="Times New Roman" w:cs="Times New Roman"/>
          <w:b/>
          <w:sz w:val="24"/>
          <w:szCs w:val="24"/>
        </w:rPr>
        <w:t>THE</w:t>
      </w:r>
      <w:r w:rsidR="00083C13" w:rsidRPr="00497352">
        <w:rPr>
          <w:rFonts w:ascii="Times New Roman" w:hAnsi="Times New Roman" w:cs="Times New Roman"/>
          <w:b/>
          <w:sz w:val="24"/>
          <w:szCs w:val="24"/>
        </w:rPr>
        <w:t xml:space="preserve">    </w:t>
      </w:r>
      <w:r w:rsidRPr="00497352">
        <w:rPr>
          <w:rFonts w:ascii="Times New Roman" w:hAnsi="Times New Roman" w:cs="Times New Roman"/>
          <w:b/>
          <w:sz w:val="24"/>
          <w:szCs w:val="24"/>
        </w:rPr>
        <w:t xml:space="preserve"> COMMISSIONER</w:t>
      </w:r>
      <w:r w:rsidR="00083C13" w:rsidRPr="00497352">
        <w:rPr>
          <w:rFonts w:ascii="Times New Roman" w:hAnsi="Times New Roman" w:cs="Times New Roman"/>
          <w:b/>
          <w:sz w:val="24"/>
          <w:szCs w:val="24"/>
        </w:rPr>
        <w:t xml:space="preserve">    </w:t>
      </w:r>
      <w:r w:rsidRPr="00497352">
        <w:rPr>
          <w:rFonts w:ascii="Times New Roman" w:hAnsi="Times New Roman" w:cs="Times New Roman"/>
          <w:b/>
          <w:sz w:val="24"/>
          <w:szCs w:val="24"/>
        </w:rPr>
        <w:t xml:space="preserve"> OF</w:t>
      </w:r>
      <w:r w:rsidR="00083C13" w:rsidRPr="00497352">
        <w:rPr>
          <w:rFonts w:ascii="Times New Roman" w:hAnsi="Times New Roman" w:cs="Times New Roman"/>
          <w:b/>
          <w:sz w:val="24"/>
          <w:szCs w:val="24"/>
        </w:rPr>
        <w:t xml:space="preserve">    </w:t>
      </w:r>
      <w:r w:rsidR="00670D88" w:rsidRPr="00497352">
        <w:rPr>
          <w:rFonts w:ascii="Times New Roman" w:hAnsi="Times New Roman" w:cs="Times New Roman"/>
          <w:b/>
          <w:sz w:val="24"/>
          <w:szCs w:val="24"/>
        </w:rPr>
        <w:t xml:space="preserve"> POLICE</w:t>
      </w:r>
    </w:p>
    <w:p w:rsidR="00D17CFE" w:rsidRPr="00497352" w:rsidRDefault="00D17CFE" w:rsidP="00670D88">
      <w:pPr>
        <w:spacing w:after="0" w:line="480" w:lineRule="auto"/>
        <w:rPr>
          <w:rFonts w:ascii="Times New Roman" w:hAnsi="Times New Roman" w:cs="Times New Roman"/>
          <w:sz w:val="24"/>
          <w:szCs w:val="24"/>
        </w:rPr>
      </w:pPr>
      <w:bookmarkStart w:id="0" w:name="_GoBack"/>
      <w:bookmarkEnd w:id="0"/>
    </w:p>
    <w:p w:rsidR="00083C13" w:rsidRPr="00497352" w:rsidRDefault="00083C13" w:rsidP="00497352">
      <w:pPr>
        <w:spacing w:after="0" w:line="240" w:lineRule="auto"/>
        <w:rPr>
          <w:rFonts w:ascii="Times New Roman" w:hAnsi="Times New Roman" w:cs="Times New Roman"/>
          <w:sz w:val="24"/>
          <w:szCs w:val="24"/>
        </w:rPr>
      </w:pPr>
    </w:p>
    <w:p w:rsidR="00D17CFE" w:rsidRPr="00497352" w:rsidRDefault="00D17CFE" w:rsidP="00670D88">
      <w:pPr>
        <w:spacing w:after="0" w:line="240" w:lineRule="auto"/>
        <w:rPr>
          <w:rFonts w:ascii="Times New Roman" w:hAnsi="Times New Roman" w:cs="Times New Roman"/>
          <w:b/>
          <w:sz w:val="24"/>
          <w:szCs w:val="24"/>
        </w:rPr>
      </w:pPr>
      <w:r w:rsidRPr="00497352">
        <w:rPr>
          <w:rFonts w:ascii="Times New Roman" w:hAnsi="Times New Roman" w:cs="Times New Roman"/>
          <w:b/>
          <w:sz w:val="24"/>
          <w:szCs w:val="24"/>
        </w:rPr>
        <w:t>SUPREME COURT OF ZIMBABWE</w:t>
      </w:r>
    </w:p>
    <w:p w:rsidR="00D17CFE" w:rsidRPr="00497352" w:rsidRDefault="004B6E5F" w:rsidP="00670D88">
      <w:pPr>
        <w:spacing w:after="0" w:line="240" w:lineRule="auto"/>
        <w:rPr>
          <w:rFonts w:ascii="Times New Roman" w:hAnsi="Times New Roman" w:cs="Times New Roman"/>
          <w:b/>
          <w:sz w:val="24"/>
          <w:szCs w:val="24"/>
        </w:rPr>
      </w:pPr>
      <w:r w:rsidRPr="00497352">
        <w:rPr>
          <w:rFonts w:ascii="Times New Roman" w:hAnsi="Times New Roman" w:cs="Times New Roman"/>
          <w:b/>
          <w:sz w:val="24"/>
          <w:szCs w:val="24"/>
        </w:rPr>
        <w:t>GWAUNZ</w:t>
      </w:r>
      <w:r w:rsidR="00966CB1" w:rsidRPr="00497352">
        <w:rPr>
          <w:rFonts w:ascii="Times New Roman" w:hAnsi="Times New Roman" w:cs="Times New Roman"/>
          <w:b/>
          <w:sz w:val="24"/>
          <w:szCs w:val="24"/>
        </w:rPr>
        <w:t>A JA</w:t>
      </w:r>
      <w:r w:rsidR="005578CE" w:rsidRPr="00497352">
        <w:rPr>
          <w:rFonts w:ascii="Times New Roman" w:hAnsi="Times New Roman" w:cs="Times New Roman"/>
          <w:b/>
          <w:sz w:val="24"/>
          <w:szCs w:val="24"/>
        </w:rPr>
        <w:t>,</w:t>
      </w:r>
      <w:r w:rsidR="00966CB1" w:rsidRPr="00497352">
        <w:rPr>
          <w:rFonts w:ascii="Times New Roman" w:hAnsi="Times New Roman" w:cs="Times New Roman"/>
          <w:b/>
          <w:sz w:val="24"/>
          <w:szCs w:val="24"/>
        </w:rPr>
        <w:t xml:space="preserve"> </w:t>
      </w:r>
      <w:r w:rsidR="005578CE" w:rsidRPr="00497352">
        <w:rPr>
          <w:rFonts w:ascii="Times New Roman" w:hAnsi="Times New Roman" w:cs="Times New Roman"/>
          <w:b/>
          <w:sz w:val="24"/>
          <w:szCs w:val="24"/>
        </w:rPr>
        <w:t>GOWORA JA &amp;</w:t>
      </w:r>
      <w:r w:rsidR="00966CB1" w:rsidRPr="00497352">
        <w:rPr>
          <w:rFonts w:ascii="Times New Roman" w:hAnsi="Times New Roman" w:cs="Times New Roman"/>
          <w:b/>
          <w:sz w:val="24"/>
          <w:szCs w:val="24"/>
        </w:rPr>
        <w:t xml:space="preserve"> BHUNU JA.</w:t>
      </w:r>
    </w:p>
    <w:p w:rsidR="00311E32" w:rsidRPr="00497352" w:rsidRDefault="005578CE" w:rsidP="00670D88">
      <w:pPr>
        <w:spacing w:after="0" w:line="480" w:lineRule="auto"/>
        <w:rPr>
          <w:rFonts w:ascii="Times New Roman" w:hAnsi="Times New Roman" w:cs="Times New Roman"/>
          <w:sz w:val="24"/>
          <w:szCs w:val="24"/>
        </w:rPr>
      </w:pPr>
      <w:r w:rsidRPr="00497352">
        <w:rPr>
          <w:rFonts w:ascii="Times New Roman" w:hAnsi="Times New Roman" w:cs="Times New Roman"/>
          <w:b/>
          <w:sz w:val="24"/>
          <w:szCs w:val="24"/>
        </w:rPr>
        <w:t xml:space="preserve">HARARE, 31 JANUARY 2017 &amp; </w:t>
      </w:r>
      <w:r w:rsidR="00497352" w:rsidRPr="00497352">
        <w:rPr>
          <w:rFonts w:ascii="Times New Roman" w:hAnsi="Times New Roman" w:cs="Times New Roman"/>
          <w:b/>
          <w:sz w:val="24"/>
          <w:szCs w:val="24"/>
        </w:rPr>
        <w:t>MARCH 1</w:t>
      </w:r>
      <w:r w:rsidRPr="00497352">
        <w:rPr>
          <w:rFonts w:ascii="Times New Roman" w:hAnsi="Times New Roman" w:cs="Times New Roman"/>
          <w:b/>
          <w:sz w:val="24"/>
          <w:szCs w:val="24"/>
        </w:rPr>
        <w:t>, 2018</w:t>
      </w:r>
    </w:p>
    <w:p w:rsidR="004B6E5F" w:rsidRPr="00497352" w:rsidRDefault="004B6E5F" w:rsidP="00670D88">
      <w:pPr>
        <w:spacing w:after="0" w:line="480" w:lineRule="auto"/>
        <w:rPr>
          <w:rFonts w:ascii="Times New Roman" w:hAnsi="Times New Roman" w:cs="Times New Roman"/>
          <w:sz w:val="24"/>
          <w:szCs w:val="24"/>
        </w:rPr>
      </w:pPr>
    </w:p>
    <w:p w:rsidR="00B76FA9" w:rsidRPr="00497352" w:rsidRDefault="00FB314D" w:rsidP="00670D88">
      <w:pPr>
        <w:spacing w:after="0" w:line="480" w:lineRule="auto"/>
        <w:rPr>
          <w:rFonts w:ascii="Times New Roman" w:hAnsi="Times New Roman" w:cs="Times New Roman"/>
          <w:i/>
          <w:sz w:val="24"/>
          <w:szCs w:val="24"/>
        </w:rPr>
      </w:pPr>
      <w:r w:rsidRPr="00497352">
        <w:rPr>
          <w:rFonts w:ascii="Times New Roman" w:hAnsi="Times New Roman" w:cs="Times New Roman"/>
          <w:i/>
          <w:sz w:val="24"/>
          <w:szCs w:val="24"/>
        </w:rPr>
        <w:t>T</w:t>
      </w:r>
      <w:r w:rsidR="005578CE" w:rsidRPr="00497352">
        <w:rPr>
          <w:rFonts w:ascii="Times New Roman" w:hAnsi="Times New Roman" w:cs="Times New Roman"/>
          <w:i/>
          <w:sz w:val="24"/>
          <w:szCs w:val="24"/>
        </w:rPr>
        <w:t xml:space="preserve">. </w:t>
      </w:r>
      <w:proofErr w:type="spellStart"/>
      <w:r w:rsidR="005578CE" w:rsidRPr="00497352">
        <w:rPr>
          <w:rFonts w:ascii="Times New Roman" w:hAnsi="Times New Roman" w:cs="Times New Roman"/>
          <w:i/>
          <w:sz w:val="24"/>
          <w:szCs w:val="24"/>
        </w:rPr>
        <w:t>Mpofu</w:t>
      </w:r>
      <w:proofErr w:type="spellEnd"/>
      <w:r w:rsidR="005578CE" w:rsidRPr="00497352">
        <w:rPr>
          <w:rFonts w:ascii="Times New Roman" w:hAnsi="Times New Roman" w:cs="Times New Roman"/>
          <w:i/>
          <w:sz w:val="24"/>
          <w:szCs w:val="24"/>
        </w:rPr>
        <w:t xml:space="preserve">, </w:t>
      </w:r>
      <w:r w:rsidR="005578CE" w:rsidRPr="00497352">
        <w:rPr>
          <w:rFonts w:ascii="Times New Roman" w:hAnsi="Times New Roman" w:cs="Times New Roman"/>
          <w:sz w:val="24"/>
          <w:szCs w:val="24"/>
        </w:rPr>
        <w:t>for the a</w:t>
      </w:r>
      <w:r w:rsidRPr="00497352">
        <w:rPr>
          <w:rFonts w:ascii="Times New Roman" w:hAnsi="Times New Roman" w:cs="Times New Roman"/>
          <w:sz w:val="24"/>
          <w:szCs w:val="24"/>
        </w:rPr>
        <w:t>ppellants</w:t>
      </w:r>
    </w:p>
    <w:p w:rsidR="00D17CFE" w:rsidRPr="00497352" w:rsidRDefault="005578CE" w:rsidP="00670D88">
      <w:pPr>
        <w:spacing w:after="0" w:line="480" w:lineRule="auto"/>
        <w:rPr>
          <w:rFonts w:ascii="Times New Roman" w:hAnsi="Times New Roman" w:cs="Times New Roman"/>
          <w:i/>
          <w:sz w:val="24"/>
          <w:szCs w:val="24"/>
        </w:rPr>
      </w:pPr>
      <w:r w:rsidRPr="00497352">
        <w:rPr>
          <w:rFonts w:ascii="Times New Roman" w:hAnsi="Times New Roman" w:cs="Times New Roman"/>
          <w:i/>
          <w:sz w:val="24"/>
          <w:szCs w:val="24"/>
        </w:rPr>
        <w:t xml:space="preserve">S.M. </w:t>
      </w:r>
      <w:proofErr w:type="spellStart"/>
      <w:r w:rsidRPr="00497352">
        <w:rPr>
          <w:rFonts w:ascii="Times New Roman" w:hAnsi="Times New Roman" w:cs="Times New Roman"/>
          <w:i/>
          <w:sz w:val="24"/>
          <w:szCs w:val="24"/>
        </w:rPr>
        <w:t>Hashiti</w:t>
      </w:r>
      <w:proofErr w:type="spellEnd"/>
      <w:r w:rsidRPr="00497352">
        <w:rPr>
          <w:rFonts w:ascii="Times New Roman" w:hAnsi="Times New Roman" w:cs="Times New Roman"/>
          <w:i/>
          <w:sz w:val="24"/>
          <w:szCs w:val="24"/>
        </w:rPr>
        <w:t xml:space="preserve">, </w:t>
      </w:r>
      <w:r w:rsidRPr="00497352">
        <w:rPr>
          <w:rFonts w:ascii="Times New Roman" w:hAnsi="Times New Roman" w:cs="Times New Roman"/>
          <w:sz w:val="24"/>
          <w:szCs w:val="24"/>
        </w:rPr>
        <w:t>for the first r</w:t>
      </w:r>
      <w:r w:rsidR="00FB314D" w:rsidRPr="00497352">
        <w:rPr>
          <w:rFonts w:ascii="Times New Roman" w:hAnsi="Times New Roman" w:cs="Times New Roman"/>
          <w:sz w:val="24"/>
          <w:szCs w:val="24"/>
        </w:rPr>
        <w:t>espondent</w:t>
      </w:r>
    </w:p>
    <w:p w:rsidR="00FB314D" w:rsidRPr="00497352" w:rsidRDefault="00FB314D" w:rsidP="00670D88">
      <w:pPr>
        <w:spacing w:after="0" w:line="480" w:lineRule="auto"/>
        <w:rPr>
          <w:rFonts w:ascii="Times New Roman" w:hAnsi="Times New Roman" w:cs="Times New Roman"/>
          <w:i/>
          <w:sz w:val="24"/>
          <w:szCs w:val="24"/>
        </w:rPr>
      </w:pPr>
      <w:r w:rsidRPr="00497352">
        <w:rPr>
          <w:rFonts w:ascii="Times New Roman" w:hAnsi="Times New Roman" w:cs="Times New Roman"/>
          <w:i/>
          <w:sz w:val="24"/>
          <w:szCs w:val="24"/>
        </w:rPr>
        <w:t>E</w:t>
      </w:r>
      <w:r w:rsidR="005578CE" w:rsidRPr="00497352">
        <w:rPr>
          <w:rFonts w:ascii="Times New Roman" w:hAnsi="Times New Roman" w:cs="Times New Roman"/>
          <w:i/>
          <w:sz w:val="24"/>
          <w:szCs w:val="24"/>
        </w:rPr>
        <w:t>.</w:t>
      </w:r>
      <w:r w:rsidRPr="00497352">
        <w:rPr>
          <w:rFonts w:ascii="Times New Roman" w:hAnsi="Times New Roman" w:cs="Times New Roman"/>
          <w:i/>
          <w:sz w:val="24"/>
          <w:szCs w:val="24"/>
        </w:rPr>
        <w:t xml:space="preserve"> T</w:t>
      </w:r>
      <w:r w:rsidR="005578CE" w:rsidRPr="00497352">
        <w:rPr>
          <w:rFonts w:ascii="Times New Roman" w:hAnsi="Times New Roman" w:cs="Times New Roman"/>
          <w:i/>
          <w:sz w:val="24"/>
          <w:szCs w:val="24"/>
        </w:rPr>
        <w:t>.</w:t>
      </w:r>
      <w:r w:rsidRPr="00497352">
        <w:rPr>
          <w:rFonts w:ascii="Times New Roman" w:hAnsi="Times New Roman" w:cs="Times New Roman"/>
          <w:i/>
          <w:sz w:val="24"/>
          <w:szCs w:val="24"/>
        </w:rPr>
        <w:t xml:space="preserve"> </w:t>
      </w:r>
      <w:proofErr w:type="spellStart"/>
      <w:r w:rsidRPr="00497352">
        <w:rPr>
          <w:rFonts w:ascii="Times New Roman" w:hAnsi="Times New Roman" w:cs="Times New Roman"/>
          <w:i/>
          <w:sz w:val="24"/>
          <w:szCs w:val="24"/>
        </w:rPr>
        <w:t>Matinenga</w:t>
      </w:r>
      <w:proofErr w:type="spellEnd"/>
      <w:r w:rsidR="005578CE" w:rsidRPr="00497352">
        <w:rPr>
          <w:rFonts w:ascii="Times New Roman" w:hAnsi="Times New Roman" w:cs="Times New Roman"/>
          <w:i/>
          <w:sz w:val="24"/>
          <w:szCs w:val="24"/>
        </w:rPr>
        <w:t xml:space="preserve">, </w:t>
      </w:r>
      <w:r w:rsidR="005578CE" w:rsidRPr="00497352">
        <w:rPr>
          <w:rFonts w:ascii="Times New Roman" w:hAnsi="Times New Roman" w:cs="Times New Roman"/>
          <w:sz w:val="24"/>
          <w:szCs w:val="24"/>
        </w:rPr>
        <w:t>for the second</w:t>
      </w:r>
      <w:r w:rsidRPr="00497352">
        <w:rPr>
          <w:rFonts w:ascii="Times New Roman" w:hAnsi="Times New Roman" w:cs="Times New Roman"/>
          <w:sz w:val="24"/>
          <w:szCs w:val="24"/>
        </w:rPr>
        <w:t xml:space="preserve"> </w:t>
      </w:r>
      <w:r w:rsidR="005578CE" w:rsidRPr="00497352">
        <w:rPr>
          <w:rFonts w:ascii="Times New Roman" w:hAnsi="Times New Roman" w:cs="Times New Roman"/>
          <w:sz w:val="24"/>
          <w:szCs w:val="24"/>
        </w:rPr>
        <w:t>r</w:t>
      </w:r>
      <w:r w:rsidRPr="00497352">
        <w:rPr>
          <w:rFonts w:ascii="Times New Roman" w:hAnsi="Times New Roman" w:cs="Times New Roman"/>
          <w:sz w:val="24"/>
          <w:szCs w:val="24"/>
        </w:rPr>
        <w:t>espondent</w:t>
      </w:r>
    </w:p>
    <w:p w:rsidR="005578CE" w:rsidRPr="00497352" w:rsidRDefault="005578CE" w:rsidP="00497352">
      <w:pPr>
        <w:spacing w:after="0" w:line="240" w:lineRule="auto"/>
        <w:rPr>
          <w:rFonts w:ascii="Times New Roman" w:hAnsi="Times New Roman" w:cs="Times New Roman"/>
          <w:i/>
          <w:sz w:val="24"/>
          <w:szCs w:val="24"/>
        </w:rPr>
      </w:pPr>
    </w:p>
    <w:p w:rsidR="00FB314D" w:rsidRPr="00497352" w:rsidRDefault="00FB314D" w:rsidP="00497352">
      <w:pPr>
        <w:spacing w:after="0" w:line="240" w:lineRule="auto"/>
        <w:jc w:val="both"/>
        <w:rPr>
          <w:rFonts w:ascii="Times New Roman" w:hAnsi="Times New Roman" w:cs="Times New Roman"/>
          <w:i/>
          <w:sz w:val="24"/>
          <w:szCs w:val="24"/>
        </w:rPr>
      </w:pPr>
    </w:p>
    <w:p w:rsidR="00FB314D" w:rsidRPr="00497352" w:rsidRDefault="005578CE" w:rsidP="00670D88">
      <w:pPr>
        <w:spacing w:after="0" w:line="480" w:lineRule="auto"/>
        <w:ind w:firstLine="1134"/>
        <w:jc w:val="both"/>
        <w:rPr>
          <w:rFonts w:ascii="Times New Roman" w:hAnsi="Times New Roman" w:cs="Times New Roman"/>
          <w:sz w:val="24"/>
          <w:szCs w:val="24"/>
        </w:rPr>
      </w:pPr>
      <w:r w:rsidRPr="00497352">
        <w:rPr>
          <w:rFonts w:ascii="Times New Roman" w:hAnsi="Times New Roman" w:cs="Times New Roman"/>
          <w:b/>
          <w:sz w:val="24"/>
          <w:szCs w:val="24"/>
        </w:rPr>
        <w:t>BHUNU JA:</w:t>
      </w:r>
      <w:r w:rsidRPr="00497352">
        <w:rPr>
          <w:rFonts w:ascii="Times New Roman" w:hAnsi="Times New Roman" w:cs="Times New Roman"/>
          <w:sz w:val="24"/>
          <w:szCs w:val="24"/>
        </w:rPr>
        <w:tab/>
      </w:r>
      <w:r w:rsidR="00FB314D" w:rsidRPr="00497352">
        <w:rPr>
          <w:rFonts w:ascii="Times New Roman" w:hAnsi="Times New Roman" w:cs="Times New Roman"/>
          <w:sz w:val="24"/>
          <w:szCs w:val="24"/>
        </w:rPr>
        <w:t>This is a hotly contested appeal against the whole judgment of the High Court sit</w:t>
      </w:r>
      <w:r w:rsidR="00845163" w:rsidRPr="00497352">
        <w:rPr>
          <w:rFonts w:ascii="Times New Roman" w:hAnsi="Times New Roman" w:cs="Times New Roman"/>
          <w:sz w:val="24"/>
          <w:szCs w:val="24"/>
        </w:rPr>
        <w:t>t</w:t>
      </w:r>
      <w:r w:rsidR="00FB314D" w:rsidRPr="00497352">
        <w:rPr>
          <w:rFonts w:ascii="Times New Roman" w:hAnsi="Times New Roman" w:cs="Times New Roman"/>
          <w:sz w:val="24"/>
          <w:szCs w:val="24"/>
        </w:rPr>
        <w:t xml:space="preserve">ing at </w:t>
      </w:r>
      <w:proofErr w:type="gramStart"/>
      <w:r w:rsidR="00FB314D" w:rsidRPr="00497352">
        <w:rPr>
          <w:rFonts w:ascii="Times New Roman" w:hAnsi="Times New Roman" w:cs="Times New Roman"/>
          <w:sz w:val="24"/>
          <w:szCs w:val="24"/>
        </w:rPr>
        <w:t>Harare</w:t>
      </w:r>
      <w:r w:rsidR="001F51F5" w:rsidRPr="00497352">
        <w:rPr>
          <w:rFonts w:ascii="Times New Roman" w:hAnsi="Times New Roman" w:cs="Times New Roman"/>
          <w:sz w:val="24"/>
          <w:szCs w:val="24"/>
        </w:rPr>
        <w:t>, and</w:t>
      </w:r>
      <w:proofErr w:type="gramEnd"/>
      <w:r w:rsidR="00FB314D" w:rsidRPr="00497352">
        <w:rPr>
          <w:rFonts w:ascii="Times New Roman" w:hAnsi="Times New Roman" w:cs="Times New Roman"/>
          <w:sz w:val="24"/>
          <w:szCs w:val="24"/>
        </w:rPr>
        <w:t xml:space="preserve"> delivered on 30 October 2013. </w:t>
      </w:r>
      <w:r w:rsidR="00C264AD" w:rsidRPr="00497352">
        <w:rPr>
          <w:rFonts w:ascii="Times New Roman" w:hAnsi="Times New Roman" w:cs="Times New Roman"/>
          <w:sz w:val="24"/>
          <w:szCs w:val="24"/>
        </w:rPr>
        <w:t xml:space="preserve">The epicentre of the dispute is a certain piece of land in the </w:t>
      </w:r>
      <w:proofErr w:type="spellStart"/>
      <w:r w:rsidR="00C264AD" w:rsidRPr="00497352">
        <w:rPr>
          <w:rFonts w:ascii="Times New Roman" w:hAnsi="Times New Roman" w:cs="Times New Roman"/>
          <w:sz w:val="24"/>
          <w:szCs w:val="24"/>
        </w:rPr>
        <w:t>Goromonzi</w:t>
      </w:r>
      <w:proofErr w:type="spellEnd"/>
      <w:r w:rsidR="00C264AD" w:rsidRPr="00497352">
        <w:rPr>
          <w:rFonts w:ascii="Times New Roman" w:hAnsi="Times New Roman" w:cs="Times New Roman"/>
          <w:sz w:val="24"/>
          <w:szCs w:val="24"/>
        </w:rPr>
        <w:t xml:space="preserve"> District known as the Remaining Extent of </w:t>
      </w:r>
      <w:proofErr w:type="spellStart"/>
      <w:r w:rsidR="00C264AD" w:rsidRPr="00497352">
        <w:rPr>
          <w:rFonts w:ascii="Times New Roman" w:hAnsi="Times New Roman" w:cs="Times New Roman"/>
          <w:sz w:val="24"/>
          <w:szCs w:val="24"/>
        </w:rPr>
        <w:t>Stuhm</w:t>
      </w:r>
      <w:proofErr w:type="spellEnd"/>
      <w:r w:rsidR="00C264AD" w:rsidRPr="00497352">
        <w:rPr>
          <w:rFonts w:ascii="Times New Roman" w:hAnsi="Times New Roman" w:cs="Times New Roman"/>
          <w:sz w:val="24"/>
          <w:szCs w:val="24"/>
        </w:rPr>
        <w:t xml:space="preserve"> measuring 583, 1360 hectares in extent registered in the name</w:t>
      </w:r>
      <w:r w:rsidR="00845163" w:rsidRPr="00497352">
        <w:rPr>
          <w:rFonts w:ascii="Times New Roman" w:hAnsi="Times New Roman" w:cs="Times New Roman"/>
          <w:sz w:val="24"/>
          <w:szCs w:val="24"/>
        </w:rPr>
        <w:t xml:space="preserve"> of TIBIC INVESTMENTS</w:t>
      </w:r>
      <w:r w:rsidR="00C264AD" w:rsidRPr="00497352">
        <w:rPr>
          <w:rFonts w:ascii="Times New Roman" w:hAnsi="Times New Roman" w:cs="Times New Roman"/>
          <w:sz w:val="24"/>
          <w:szCs w:val="24"/>
        </w:rPr>
        <w:t xml:space="preserve"> </w:t>
      </w:r>
      <w:r w:rsidR="00845163" w:rsidRPr="00497352">
        <w:rPr>
          <w:rFonts w:ascii="Times New Roman" w:hAnsi="Times New Roman" w:cs="Times New Roman"/>
          <w:sz w:val="24"/>
          <w:szCs w:val="24"/>
        </w:rPr>
        <w:t xml:space="preserve">(PVT) LTD </w:t>
      </w:r>
      <w:r w:rsidR="00C264AD" w:rsidRPr="00497352">
        <w:rPr>
          <w:rFonts w:ascii="Times New Roman" w:hAnsi="Times New Roman" w:cs="Times New Roman"/>
          <w:sz w:val="24"/>
          <w:szCs w:val="24"/>
        </w:rPr>
        <w:t>under Deed of Transfer 1724/2009.</w:t>
      </w:r>
      <w:r w:rsidR="009072DB" w:rsidRPr="00497352">
        <w:rPr>
          <w:rFonts w:ascii="Times New Roman" w:hAnsi="Times New Roman" w:cs="Times New Roman"/>
          <w:sz w:val="24"/>
          <w:szCs w:val="24"/>
        </w:rPr>
        <w:t xml:space="preserve"> TIBIC INVESTIMENTS (PVT) LTD is an indigenous company in the sense that its shareholders and directors are indigenous citizens of this country. </w:t>
      </w:r>
      <w:r w:rsidR="00FB314D" w:rsidRPr="00497352">
        <w:rPr>
          <w:rFonts w:ascii="Times New Roman" w:hAnsi="Times New Roman" w:cs="Times New Roman"/>
          <w:sz w:val="24"/>
          <w:szCs w:val="24"/>
        </w:rPr>
        <w:t xml:space="preserve">The historical background </w:t>
      </w:r>
      <w:r w:rsidR="00845163" w:rsidRPr="00497352">
        <w:rPr>
          <w:rFonts w:ascii="Times New Roman" w:hAnsi="Times New Roman" w:cs="Times New Roman"/>
          <w:sz w:val="24"/>
          <w:szCs w:val="24"/>
        </w:rPr>
        <w:t xml:space="preserve">and </w:t>
      </w:r>
      <w:r w:rsidR="00415215" w:rsidRPr="00497352">
        <w:rPr>
          <w:rFonts w:ascii="Times New Roman" w:hAnsi="Times New Roman" w:cs="Times New Roman"/>
          <w:sz w:val="24"/>
          <w:szCs w:val="24"/>
        </w:rPr>
        <w:t xml:space="preserve">factual </w:t>
      </w:r>
      <w:r w:rsidR="006C3520" w:rsidRPr="00497352">
        <w:rPr>
          <w:rFonts w:ascii="Times New Roman" w:hAnsi="Times New Roman" w:cs="Times New Roman"/>
          <w:sz w:val="24"/>
          <w:szCs w:val="24"/>
        </w:rPr>
        <w:t>basis of the case is</w:t>
      </w:r>
      <w:r w:rsidR="00415215" w:rsidRPr="00497352">
        <w:rPr>
          <w:rFonts w:ascii="Times New Roman" w:hAnsi="Times New Roman" w:cs="Times New Roman"/>
          <w:sz w:val="24"/>
          <w:szCs w:val="24"/>
        </w:rPr>
        <w:t xml:space="preserve"> by and large common cause.</w:t>
      </w:r>
      <w:r w:rsidR="006C3520" w:rsidRPr="00497352">
        <w:rPr>
          <w:rFonts w:ascii="Times New Roman" w:hAnsi="Times New Roman" w:cs="Times New Roman"/>
          <w:sz w:val="24"/>
          <w:szCs w:val="24"/>
        </w:rPr>
        <w:t xml:space="preserve"> </w:t>
      </w:r>
    </w:p>
    <w:p w:rsidR="00415215" w:rsidRPr="00497352" w:rsidRDefault="00415215" w:rsidP="00670D88">
      <w:pPr>
        <w:spacing w:after="0" w:line="480" w:lineRule="auto"/>
        <w:rPr>
          <w:rFonts w:ascii="Times New Roman" w:hAnsi="Times New Roman" w:cs="Times New Roman"/>
          <w:sz w:val="24"/>
          <w:szCs w:val="24"/>
        </w:rPr>
      </w:pPr>
    </w:p>
    <w:p w:rsidR="001533DC" w:rsidRPr="00497352" w:rsidRDefault="00415215" w:rsidP="00670D88">
      <w:pPr>
        <w:spacing w:after="0" w:line="480" w:lineRule="auto"/>
        <w:ind w:firstLine="1134"/>
        <w:jc w:val="both"/>
        <w:rPr>
          <w:rFonts w:ascii="Times New Roman" w:hAnsi="Times New Roman" w:cs="Times New Roman"/>
          <w:sz w:val="24"/>
          <w:szCs w:val="24"/>
        </w:rPr>
      </w:pPr>
      <w:r w:rsidRPr="00497352">
        <w:rPr>
          <w:rFonts w:ascii="Times New Roman" w:hAnsi="Times New Roman" w:cs="Times New Roman"/>
          <w:sz w:val="24"/>
          <w:szCs w:val="24"/>
        </w:rPr>
        <w:t>The</w:t>
      </w:r>
      <w:r w:rsidR="00C264AD" w:rsidRPr="00497352">
        <w:rPr>
          <w:rFonts w:ascii="Times New Roman" w:hAnsi="Times New Roman" w:cs="Times New Roman"/>
          <w:sz w:val="24"/>
          <w:szCs w:val="24"/>
        </w:rPr>
        <w:t xml:space="preserve"> genesis</w:t>
      </w:r>
      <w:r w:rsidR="00845163" w:rsidRPr="00497352">
        <w:rPr>
          <w:rFonts w:ascii="Times New Roman" w:hAnsi="Times New Roman" w:cs="Times New Roman"/>
          <w:sz w:val="24"/>
          <w:szCs w:val="24"/>
        </w:rPr>
        <w:t xml:space="preserve"> of the dispute</w:t>
      </w:r>
      <w:r w:rsidR="006C3520" w:rsidRPr="00497352">
        <w:rPr>
          <w:rFonts w:ascii="Times New Roman" w:hAnsi="Times New Roman" w:cs="Times New Roman"/>
          <w:sz w:val="24"/>
          <w:szCs w:val="24"/>
        </w:rPr>
        <w:t xml:space="preserve"> is that</w:t>
      </w:r>
      <w:r w:rsidR="008254E6" w:rsidRPr="00497352">
        <w:rPr>
          <w:rFonts w:ascii="Times New Roman" w:hAnsi="Times New Roman" w:cs="Times New Roman"/>
          <w:sz w:val="24"/>
          <w:szCs w:val="24"/>
        </w:rPr>
        <w:t xml:space="preserve"> in 1970</w:t>
      </w:r>
      <w:r w:rsidR="006C3520" w:rsidRPr="00497352">
        <w:rPr>
          <w:rFonts w:ascii="Times New Roman" w:hAnsi="Times New Roman" w:cs="Times New Roman"/>
          <w:sz w:val="24"/>
          <w:szCs w:val="24"/>
        </w:rPr>
        <w:t xml:space="preserve"> the late Paul Michael Henry Reimer obtained ownership of a certain piece of land in the District of </w:t>
      </w:r>
      <w:proofErr w:type="spellStart"/>
      <w:r w:rsidR="006C3520" w:rsidRPr="00497352">
        <w:rPr>
          <w:rFonts w:ascii="Times New Roman" w:hAnsi="Times New Roman" w:cs="Times New Roman"/>
          <w:sz w:val="24"/>
          <w:szCs w:val="24"/>
        </w:rPr>
        <w:t>Goromonzi</w:t>
      </w:r>
      <w:proofErr w:type="spellEnd"/>
      <w:r w:rsidR="006C3520" w:rsidRPr="00497352">
        <w:rPr>
          <w:rFonts w:ascii="Times New Roman" w:hAnsi="Times New Roman" w:cs="Times New Roman"/>
          <w:sz w:val="24"/>
          <w:szCs w:val="24"/>
        </w:rPr>
        <w:t xml:space="preserve"> known as the Remaining </w:t>
      </w:r>
      <w:r w:rsidR="008254E6" w:rsidRPr="00497352">
        <w:rPr>
          <w:rFonts w:ascii="Times New Roman" w:hAnsi="Times New Roman" w:cs="Times New Roman"/>
          <w:sz w:val="24"/>
          <w:szCs w:val="24"/>
        </w:rPr>
        <w:t xml:space="preserve">extent of </w:t>
      </w:r>
      <w:proofErr w:type="spellStart"/>
      <w:r w:rsidR="008254E6" w:rsidRPr="00497352">
        <w:rPr>
          <w:rFonts w:ascii="Times New Roman" w:hAnsi="Times New Roman" w:cs="Times New Roman"/>
          <w:sz w:val="24"/>
          <w:szCs w:val="24"/>
        </w:rPr>
        <w:t>Stuhm</w:t>
      </w:r>
      <w:proofErr w:type="spellEnd"/>
      <w:r w:rsidR="008254E6" w:rsidRPr="00497352">
        <w:rPr>
          <w:rFonts w:ascii="Times New Roman" w:hAnsi="Times New Roman" w:cs="Times New Roman"/>
          <w:sz w:val="24"/>
          <w:szCs w:val="24"/>
        </w:rPr>
        <w:t xml:space="preserve"> measuring 1</w:t>
      </w:r>
      <w:r w:rsidR="00564BB4" w:rsidRPr="00497352">
        <w:rPr>
          <w:rFonts w:ascii="Times New Roman" w:hAnsi="Times New Roman" w:cs="Times New Roman"/>
          <w:sz w:val="24"/>
          <w:szCs w:val="24"/>
        </w:rPr>
        <w:t xml:space="preserve"> </w:t>
      </w:r>
      <w:r w:rsidR="008254E6" w:rsidRPr="00497352">
        <w:rPr>
          <w:rFonts w:ascii="Times New Roman" w:hAnsi="Times New Roman" w:cs="Times New Roman"/>
          <w:sz w:val="24"/>
          <w:szCs w:val="24"/>
        </w:rPr>
        <w:t>074.</w:t>
      </w:r>
      <w:r w:rsidR="006C3520" w:rsidRPr="00497352">
        <w:rPr>
          <w:rFonts w:ascii="Times New Roman" w:hAnsi="Times New Roman" w:cs="Times New Roman"/>
          <w:sz w:val="24"/>
          <w:szCs w:val="24"/>
        </w:rPr>
        <w:t>7410 hectares in extent</w:t>
      </w:r>
      <w:r w:rsidR="008254E6" w:rsidRPr="00497352">
        <w:rPr>
          <w:rFonts w:ascii="Times New Roman" w:hAnsi="Times New Roman" w:cs="Times New Roman"/>
          <w:sz w:val="24"/>
          <w:szCs w:val="24"/>
        </w:rPr>
        <w:t>,</w:t>
      </w:r>
      <w:r w:rsidR="006C3520" w:rsidRPr="00497352">
        <w:rPr>
          <w:rFonts w:ascii="Times New Roman" w:hAnsi="Times New Roman" w:cs="Times New Roman"/>
          <w:sz w:val="24"/>
          <w:szCs w:val="24"/>
        </w:rPr>
        <w:t xml:space="preserve"> </w:t>
      </w:r>
      <w:r w:rsidR="00E373D4" w:rsidRPr="00497352">
        <w:rPr>
          <w:rFonts w:ascii="Times New Roman" w:hAnsi="Times New Roman" w:cs="Times New Roman"/>
          <w:sz w:val="24"/>
          <w:szCs w:val="24"/>
        </w:rPr>
        <w:t>under</w:t>
      </w:r>
      <w:r w:rsidR="008254E6" w:rsidRPr="00497352">
        <w:rPr>
          <w:rFonts w:ascii="Times New Roman" w:hAnsi="Times New Roman" w:cs="Times New Roman"/>
          <w:sz w:val="24"/>
          <w:szCs w:val="24"/>
        </w:rPr>
        <w:t xml:space="preserve"> deed of grant</w:t>
      </w:r>
      <w:r w:rsidR="00BF19E1" w:rsidRPr="00497352">
        <w:rPr>
          <w:rFonts w:ascii="Times New Roman" w:hAnsi="Times New Roman" w:cs="Times New Roman"/>
          <w:sz w:val="24"/>
          <w:szCs w:val="24"/>
        </w:rPr>
        <w:t xml:space="preserve"> </w:t>
      </w:r>
      <w:r w:rsidR="00BF19E1" w:rsidRPr="00497352">
        <w:rPr>
          <w:rFonts w:ascii="Times New Roman" w:hAnsi="Times New Roman" w:cs="Times New Roman"/>
          <w:sz w:val="24"/>
          <w:szCs w:val="24"/>
        </w:rPr>
        <w:lastRenderedPageBreak/>
        <w:t>1262/70</w:t>
      </w:r>
      <w:r w:rsidR="008254E6" w:rsidRPr="00497352">
        <w:rPr>
          <w:rFonts w:ascii="Times New Roman" w:hAnsi="Times New Roman" w:cs="Times New Roman"/>
          <w:sz w:val="24"/>
          <w:szCs w:val="24"/>
        </w:rPr>
        <w:t xml:space="preserve">. </w:t>
      </w:r>
      <w:r w:rsidR="00E373D4" w:rsidRPr="00497352">
        <w:rPr>
          <w:rFonts w:ascii="Times New Roman" w:hAnsi="Times New Roman" w:cs="Times New Roman"/>
          <w:sz w:val="24"/>
          <w:szCs w:val="24"/>
        </w:rPr>
        <w:t>Paul Reimer does not appear to have bought the land as there is no mention of any money having exchanged hands.</w:t>
      </w:r>
      <w:r w:rsidR="008254E6" w:rsidRPr="00497352">
        <w:rPr>
          <w:rFonts w:ascii="Times New Roman" w:hAnsi="Times New Roman" w:cs="Times New Roman"/>
          <w:sz w:val="24"/>
          <w:szCs w:val="24"/>
        </w:rPr>
        <w:t xml:space="preserve"> His son </w:t>
      </w:r>
      <w:r w:rsidR="00F93C65" w:rsidRPr="00497352">
        <w:rPr>
          <w:rFonts w:ascii="Times New Roman" w:hAnsi="Times New Roman" w:cs="Times New Roman"/>
          <w:sz w:val="24"/>
          <w:szCs w:val="24"/>
        </w:rPr>
        <w:t xml:space="preserve">Cecil </w:t>
      </w:r>
      <w:r w:rsidR="00963FAB" w:rsidRPr="00497352">
        <w:rPr>
          <w:rFonts w:ascii="Times New Roman" w:hAnsi="Times New Roman" w:cs="Times New Roman"/>
          <w:sz w:val="24"/>
          <w:szCs w:val="24"/>
        </w:rPr>
        <w:t>Michael Reimer</w:t>
      </w:r>
      <w:r w:rsidR="00F93C65" w:rsidRPr="00497352">
        <w:rPr>
          <w:rFonts w:ascii="Times New Roman" w:hAnsi="Times New Roman" w:cs="Times New Roman"/>
          <w:sz w:val="24"/>
          <w:szCs w:val="24"/>
        </w:rPr>
        <w:t xml:space="preserve"> </w:t>
      </w:r>
      <w:r w:rsidR="001533DC" w:rsidRPr="00497352">
        <w:rPr>
          <w:rFonts w:ascii="Times New Roman" w:hAnsi="Times New Roman" w:cs="Times New Roman"/>
          <w:sz w:val="24"/>
          <w:szCs w:val="24"/>
        </w:rPr>
        <w:t xml:space="preserve">in due course </w:t>
      </w:r>
      <w:r w:rsidR="00F93C65" w:rsidRPr="00497352">
        <w:rPr>
          <w:rFonts w:ascii="Times New Roman" w:hAnsi="Times New Roman" w:cs="Times New Roman"/>
          <w:sz w:val="24"/>
          <w:szCs w:val="24"/>
        </w:rPr>
        <w:t xml:space="preserve">inherited </w:t>
      </w:r>
      <w:r w:rsidR="008254E6" w:rsidRPr="00497352">
        <w:rPr>
          <w:rFonts w:ascii="Times New Roman" w:hAnsi="Times New Roman" w:cs="Times New Roman"/>
          <w:sz w:val="24"/>
          <w:szCs w:val="24"/>
        </w:rPr>
        <w:t xml:space="preserve">the said piece of land </w:t>
      </w:r>
      <w:r w:rsidR="00F93C65" w:rsidRPr="00497352">
        <w:rPr>
          <w:rFonts w:ascii="Times New Roman" w:hAnsi="Times New Roman" w:cs="Times New Roman"/>
          <w:sz w:val="24"/>
          <w:szCs w:val="24"/>
        </w:rPr>
        <w:t>from his late father</w:t>
      </w:r>
      <w:r w:rsidR="008254E6" w:rsidRPr="00497352">
        <w:rPr>
          <w:rFonts w:ascii="Times New Roman" w:hAnsi="Times New Roman" w:cs="Times New Roman"/>
          <w:sz w:val="24"/>
          <w:szCs w:val="24"/>
        </w:rPr>
        <w:t xml:space="preserve"> under </w:t>
      </w:r>
      <w:r w:rsidR="00845163" w:rsidRPr="00497352">
        <w:rPr>
          <w:rFonts w:ascii="Times New Roman" w:hAnsi="Times New Roman" w:cs="Times New Roman"/>
          <w:sz w:val="24"/>
          <w:szCs w:val="24"/>
        </w:rPr>
        <w:t>deed of T</w:t>
      </w:r>
      <w:r w:rsidR="001533DC" w:rsidRPr="00497352">
        <w:rPr>
          <w:rFonts w:ascii="Times New Roman" w:hAnsi="Times New Roman" w:cs="Times New Roman"/>
          <w:sz w:val="24"/>
          <w:szCs w:val="24"/>
        </w:rPr>
        <w:t>ransfer 3032/87.</w:t>
      </w:r>
    </w:p>
    <w:p w:rsidR="00DF1FBB" w:rsidRPr="00497352" w:rsidRDefault="00DF1FBB" w:rsidP="00670D88">
      <w:pPr>
        <w:spacing w:after="0" w:line="480" w:lineRule="auto"/>
        <w:jc w:val="both"/>
        <w:rPr>
          <w:rFonts w:ascii="Times New Roman" w:hAnsi="Times New Roman" w:cs="Times New Roman"/>
          <w:sz w:val="24"/>
          <w:szCs w:val="24"/>
        </w:rPr>
      </w:pPr>
    </w:p>
    <w:p w:rsidR="00600648" w:rsidRPr="00497352" w:rsidRDefault="00DF1FBB" w:rsidP="00670D88">
      <w:pPr>
        <w:spacing w:after="0" w:line="480" w:lineRule="auto"/>
        <w:ind w:firstLine="1134"/>
        <w:jc w:val="both"/>
        <w:rPr>
          <w:rFonts w:ascii="Times New Roman" w:hAnsi="Times New Roman" w:cs="Times New Roman"/>
          <w:sz w:val="24"/>
          <w:szCs w:val="24"/>
        </w:rPr>
      </w:pPr>
      <w:r w:rsidRPr="00497352">
        <w:rPr>
          <w:rFonts w:ascii="Times New Roman" w:hAnsi="Times New Roman" w:cs="Times New Roman"/>
          <w:sz w:val="24"/>
          <w:szCs w:val="24"/>
        </w:rPr>
        <w:t>Starting from 1997</w:t>
      </w:r>
      <w:r w:rsidR="001A27CC" w:rsidRPr="00497352">
        <w:rPr>
          <w:rFonts w:ascii="Times New Roman" w:hAnsi="Times New Roman" w:cs="Times New Roman"/>
          <w:sz w:val="24"/>
          <w:szCs w:val="24"/>
        </w:rPr>
        <w:t xml:space="preserve"> to 2009</w:t>
      </w:r>
      <w:r w:rsidRPr="00497352">
        <w:rPr>
          <w:rFonts w:ascii="Times New Roman" w:hAnsi="Times New Roman" w:cs="Times New Roman"/>
          <w:sz w:val="24"/>
          <w:szCs w:val="24"/>
        </w:rPr>
        <w:t xml:space="preserve"> Cecil</w:t>
      </w:r>
      <w:r w:rsidR="001F51F5" w:rsidRPr="00497352">
        <w:rPr>
          <w:rFonts w:ascii="Times New Roman" w:hAnsi="Times New Roman" w:cs="Times New Roman"/>
          <w:sz w:val="24"/>
          <w:szCs w:val="24"/>
        </w:rPr>
        <w:t xml:space="preserve"> Michael</w:t>
      </w:r>
      <w:r w:rsidRPr="00497352">
        <w:rPr>
          <w:rFonts w:ascii="Times New Roman" w:hAnsi="Times New Roman" w:cs="Times New Roman"/>
          <w:sz w:val="24"/>
          <w:szCs w:val="24"/>
        </w:rPr>
        <w:t xml:space="preserve"> Reimer began to subdivide the main block of the remaining extent of </w:t>
      </w:r>
      <w:proofErr w:type="spellStart"/>
      <w:r w:rsidRPr="00497352">
        <w:rPr>
          <w:rFonts w:ascii="Times New Roman" w:hAnsi="Times New Roman" w:cs="Times New Roman"/>
          <w:sz w:val="24"/>
          <w:szCs w:val="24"/>
        </w:rPr>
        <w:t>Stuhm</w:t>
      </w:r>
      <w:proofErr w:type="spellEnd"/>
      <w:r w:rsidRPr="00497352">
        <w:rPr>
          <w:rFonts w:ascii="Times New Roman" w:hAnsi="Times New Roman" w:cs="Times New Roman"/>
          <w:sz w:val="24"/>
          <w:szCs w:val="24"/>
        </w:rPr>
        <w:t xml:space="preserve"> measuring 1074. 7410 </w:t>
      </w:r>
      <w:r w:rsidR="00600648" w:rsidRPr="00497352">
        <w:rPr>
          <w:rFonts w:ascii="Times New Roman" w:hAnsi="Times New Roman" w:cs="Times New Roman"/>
          <w:sz w:val="24"/>
          <w:szCs w:val="24"/>
        </w:rPr>
        <w:t xml:space="preserve">hectares in extent </w:t>
      </w:r>
      <w:r w:rsidR="004A3E33" w:rsidRPr="00497352">
        <w:rPr>
          <w:rFonts w:ascii="Times New Roman" w:hAnsi="Times New Roman" w:cs="Times New Roman"/>
          <w:sz w:val="24"/>
          <w:szCs w:val="24"/>
        </w:rPr>
        <w:t xml:space="preserve">into </w:t>
      </w:r>
      <w:r w:rsidR="00A835E1" w:rsidRPr="00497352">
        <w:rPr>
          <w:rFonts w:ascii="Times New Roman" w:hAnsi="Times New Roman" w:cs="Times New Roman"/>
          <w:sz w:val="24"/>
          <w:szCs w:val="24"/>
        </w:rPr>
        <w:t xml:space="preserve">3 </w:t>
      </w:r>
      <w:r w:rsidR="004A3E33" w:rsidRPr="00497352">
        <w:rPr>
          <w:rFonts w:ascii="Times New Roman" w:hAnsi="Times New Roman" w:cs="Times New Roman"/>
          <w:sz w:val="24"/>
          <w:szCs w:val="24"/>
        </w:rPr>
        <w:t xml:space="preserve">lots which he sold </w:t>
      </w:r>
      <w:r w:rsidR="00600648" w:rsidRPr="00497352">
        <w:rPr>
          <w:rFonts w:ascii="Times New Roman" w:hAnsi="Times New Roman" w:cs="Times New Roman"/>
          <w:sz w:val="24"/>
          <w:szCs w:val="24"/>
        </w:rPr>
        <w:t>as follows:</w:t>
      </w:r>
    </w:p>
    <w:p w:rsidR="00DF1FBB" w:rsidRPr="00497352" w:rsidRDefault="00600648" w:rsidP="00670D88">
      <w:pPr>
        <w:spacing w:after="0" w:line="480" w:lineRule="auto"/>
        <w:jc w:val="both"/>
        <w:rPr>
          <w:rFonts w:ascii="Times New Roman" w:hAnsi="Times New Roman" w:cs="Times New Roman"/>
          <w:b/>
          <w:sz w:val="24"/>
          <w:szCs w:val="24"/>
        </w:rPr>
      </w:pPr>
      <w:r w:rsidRPr="00497352">
        <w:rPr>
          <w:rFonts w:ascii="Times New Roman" w:hAnsi="Times New Roman" w:cs="Times New Roman"/>
          <w:b/>
          <w:sz w:val="20"/>
          <w:szCs w:val="20"/>
        </w:rPr>
        <w:t>DATE</w:t>
      </w:r>
      <w:r w:rsidRPr="00497352">
        <w:rPr>
          <w:rFonts w:ascii="Times New Roman" w:hAnsi="Times New Roman" w:cs="Times New Roman"/>
          <w:b/>
          <w:sz w:val="20"/>
          <w:szCs w:val="20"/>
        </w:rPr>
        <w:tab/>
      </w:r>
      <w:r w:rsidR="001A1374" w:rsidRPr="00497352">
        <w:rPr>
          <w:rFonts w:ascii="Times New Roman" w:hAnsi="Times New Roman" w:cs="Times New Roman"/>
          <w:sz w:val="20"/>
          <w:szCs w:val="20"/>
        </w:rPr>
        <w:t xml:space="preserve"> </w:t>
      </w:r>
      <w:r w:rsidR="003771B5">
        <w:rPr>
          <w:rFonts w:ascii="Times New Roman" w:hAnsi="Times New Roman" w:cs="Times New Roman"/>
          <w:sz w:val="20"/>
          <w:szCs w:val="20"/>
        </w:rPr>
        <w:t xml:space="preserve">       </w:t>
      </w:r>
      <w:r w:rsidR="004A3E33" w:rsidRPr="00497352">
        <w:rPr>
          <w:rFonts w:ascii="Times New Roman" w:hAnsi="Times New Roman" w:cs="Times New Roman"/>
          <w:b/>
          <w:sz w:val="20"/>
          <w:szCs w:val="20"/>
        </w:rPr>
        <w:t>LOT SOLD</w:t>
      </w:r>
      <w:r w:rsidR="00886684" w:rsidRPr="00497352">
        <w:rPr>
          <w:rFonts w:ascii="Times New Roman" w:hAnsi="Times New Roman" w:cs="Times New Roman"/>
          <w:sz w:val="20"/>
          <w:szCs w:val="20"/>
        </w:rPr>
        <w:tab/>
      </w:r>
      <w:r w:rsidR="003771B5">
        <w:rPr>
          <w:rFonts w:ascii="Times New Roman" w:hAnsi="Times New Roman" w:cs="Times New Roman"/>
          <w:sz w:val="20"/>
          <w:szCs w:val="20"/>
        </w:rPr>
        <w:tab/>
      </w:r>
      <w:r w:rsidR="00886684" w:rsidRPr="00497352">
        <w:rPr>
          <w:rFonts w:ascii="Times New Roman" w:hAnsi="Times New Roman" w:cs="Times New Roman"/>
          <w:b/>
          <w:sz w:val="20"/>
          <w:szCs w:val="20"/>
        </w:rPr>
        <w:t>BUYER</w:t>
      </w:r>
      <w:r w:rsidR="00A35656" w:rsidRPr="00497352">
        <w:rPr>
          <w:rFonts w:ascii="Times New Roman" w:hAnsi="Times New Roman" w:cs="Times New Roman"/>
          <w:b/>
          <w:sz w:val="20"/>
          <w:szCs w:val="20"/>
        </w:rPr>
        <w:t xml:space="preserve">   </w:t>
      </w:r>
      <w:r w:rsidR="00670D88" w:rsidRPr="00497352">
        <w:rPr>
          <w:rFonts w:ascii="Times New Roman" w:hAnsi="Times New Roman" w:cs="Times New Roman"/>
          <w:b/>
          <w:sz w:val="20"/>
          <w:szCs w:val="20"/>
        </w:rPr>
        <w:tab/>
      </w:r>
      <w:r w:rsidR="00670D88" w:rsidRPr="00497352">
        <w:rPr>
          <w:rFonts w:ascii="Times New Roman" w:hAnsi="Times New Roman" w:cs="Times New Roman"/>
          <w:b/>
          <w:sz w:val="20"/>
          <w:szCs w:val="20"/>
        </w:rPr>
        <w:tab/>
      </w:r>
      <w:r w:rsidRPr="00497352">
        <w:rPr>
          <w:rFonts w:ascii="Times New Roman" w:hAnsi="Times New Roman" w:cs="Times New Roman"/>
          <w:b/>
          <w:sz w:val="20"/>
          <w:szCs w:val="20"/>
        </w:rPr>
        <w:t>HECTERAGE</w:t>
      </w:r>
      <w:r w:rsidRPr="00497352">
        <w:rPr>
          <w:rFonts w:ascii="Times New Roman" w:hAnsi="Times New Roman" w:cs="Times New Roman"/>
          <w:b/>
          <w:sz w:val="24"/>
          <w:szCs w:val="24"/>
        </w:rPr>
        <w:t xml:space="preserve"> </w:t>
      </w:r>
      <w:r w:rsidR="00011778" w:rsidRPr="00497352">
        <w:rPr>
          <w:rFonts w:ascii="Times New Roman" w:hAnsi="Times New Roman" w:cs="Times New Roman"/>
          <w:b/>
          <w:sz w:val="24"/>
          <w:szCs w:val="24"/>
        </w:rPr>
        <w:t xml:space="preserve"> </w:t>
      </w:r>
      <w:r w:rsidR="00AD4698" w:rsidRPr="00497352">
        <w:rPr>
          <w:rFonts w:ascii="Times New Roman" w:hAnsi="Times New Roman" w:cs="Times New Roman"/>
          <w:b/>
          <w:sz w:val="24"/>
          <w:szCs w:val="24"/>
        </w:rPr>
        <w:t xml:space="preserve"> </w:t>
      </w:r>
      <w:r w:rsidR="00497352">
        <w:rPr>
          <w:rFonts w:ascii="Times New Roman" w:hAnsi="Times New Roman" w:cs="Times New Roman"/>
          <w:b/>
          <w:sz w:val="24"/>
          <w:szCs w:val="24"/>
        </w:rPr>
        <w:t xml:space="preserve">     </w:t>
      </w:r>
      <w:r w:rsidR="00886684" w:rsidRPr="00497352">
        <w:rPr>
          <w:rFonts w:ascii="Times New Roman" w:hAnsi="Times New Roman" w:cs="Times New Roman"/>
          <w:b/>
          <w:sz w:val="20"/>
          <w:szCs w:val="20"/>
        </w:rPr>
        <w:t>DEED</w:t>
      </w:r>
      <w:r w:rsidR="00670D88" w:rsidRPr="00497352">
        <w:rPr>
          <w:rFonts w:ascii="Times New Roman" w:hAnsi="Times New Roman" w:cs="Times New Roman"/>
          <w:b/>
          <w:sz w:val="20"/>
          <w:szCs w:val="20"/>
        </w:rPr>
        <w:t xml:space="preserve"> </w:t>
      </w:r>
      <w:r w:rsidR="00886684" w:rsidRPr="00497352">
        <w:rPr>
          <w:rFonts w:ascii="Times New Roman" w:hAnsi="Times New Roman" w:cs="Times New Roman"/>
          <w:b/>
          <w:sz w:val="20"/>
          <w:szCs w:val="20"/>
        </w:rPr>
        <w:t>OF</w:t>
      </w:r>
      <w:r w:rsidR="00A35656" w:rsidRPr="00497352">
        <w:rPr>
          <w:rFonts w:ascii="Times New Roman" w:hAnsi="Times New Roman" w:cs="Times New Roman"/>
          <w:b/>
          <w:sz w:val="20"/>
          <w:szCs w:val="20"/>
        </w:rPr>
        <w:t xml:space="preserve"> </w:t>
      </w:r>
      <w:r w:rsidR="004A3E33" w:rsidRPr="00497352">
        <w:rPr>
          <w:rFonts w:ascii="Times New Roman" w:hAnsi="Times New Roman" w:cs="Times New Roman"/>
          <w:b/>
          <w:sz w:val="20"/>
          <w:szCs w:val="20"/>
        </w:rPr>
        <w:t>TRANSFER</w:t>
      </w:r>
    </w:p>
    <w:p w:rsidR="001A1374" w:rsidRPr="00497352" w:rsidRDefault="00AD4698" w:rsidP="00670D88">
      <w:pPr>
        <w:spacing w:after="0" w:line="480" w:lineRule="auto"/>
        <w:jc w:val="both"/>
        <w:rPr>
          <w:rFonts w:ascii="Times New Roman" w:hAnsi="Times New Roman" w:cs="Times New Roman"/>
          <w:sz w:val="20"/>
          <w:szCs w:val="20"/>
        </w:rPr>
      </w:pPr>
      <w:r w:rsidRPr="00497352">
        <w:rPr>
          <w:rFonts w:ascii="Times New Roman" w:hAnsi="Times New Roman" w:cs="Times New Roman"/>
          <w:sz w:val="20"/>
          <w:szCs w:val="20"/>
        </w:rPr>
        <w:t>1997</w:t>
      </w:r>
      <w:r w:rsidRPr="00497352">
        <w:rPr>
          <w:rFonts w:ascii="Times New Roman" w:hAnsi="Times New Roman" w:cs="Times New Roman"/>
          <w:sz w:val="20"/>
          <w:szCs w:val="20"/>
        </w:rPr>
        <w:tab/>
      </w:r>
      <w:r w:rsidR="00670D88" w:rsidRPr="00497352">
        <w:rPr>
          <w:rFonts w:ascii="Times New Roman" w:hAnsi="Times New Roman" w:cs="Times New Roman"/>
          <w:sz w:val="20"/>
          <w:szCs w:val="20"/>
        </w:rPr>
        <w:tab/>
      </w:r>
      <w:r w:rsidR="00497352" w:rsidRPr="00497352">
        <w:rPr>
          <w:rFonts w:ascii="Times New Roman" w:hAnsi="Times New Roman" w:cs="Times New Roman"/>
          <w:sz w:val="20"/>
          <w:szCs w:val="20"/>
        </w:rPr>
        <w:t xml:space="preserve">    </w:t>
      </w:r>
      <w:r w:rsidRPr="00497352">
        <w:rPr>
          <w:rFonts w:ascii="Times New Roman" w:hAnsi="Times New Roman" w:cs="Times New Roman"/>
          <w:sz w:val="20"/>
          <w:szCs w:val="20"/>
        </w:rPr>
        <w:t xml:space="preserve">2    </w:t>
      </w:r>
      <w:r w:rsidR="00497352" w:rsidRPr="00497352">
        <w:rPr>
          <w:rFonts w:ascii="Times New Roman" w:hAnsi="Times New Roman" w:cs="Times New Roman"/>
          <w:sz w:val="20"/>
          <w:szCs w:val="20"/>
        </w:rPr>
        <w:tab/>
      </w:r>
      <w:r w:rsidR="00497352" w:rsidRPr="00497352">
        <w:rPr>
          <w:rFonts w:ascii="Times New Roman" w:hAnsi="Times New Roman" w:cs="Times New Roman"/>
          <w:sz w:val="20"/>
          <w:szCs w:val="20"/>
        </w:rPr>
        <w:tab/>
      </w:r>
      <w:r w:rsidR="001A1374" w:rsidRPr="00497352">
        <w:rPr>
          <w:rFonts w:ascii="Times New Roman" w:hAnsi="Times New Roman" w:cs="Times New Roman"/>
          <w:sz w:val="20"/>
          <w:szCs w:val="20"/>
        </w:rPr>
        <w:t>Darnall Investments</w:t>
      </w:r>
      <w:r w:rsidR="00497352" w:rsidRPr="00497352">
        <w:rPr>
          <w:rFonts w:ascii="Times New Roman" w:hAnsi="Times New Roman" w:cs="Times New Roman"/>
          <w:sz w:val="20"/>
          <w:szCs w:val="20"/>
        </w:rPr>
        <w:tab/>
      </w:r>
      <w:r w:rsidR="00125D0A" w:rsidRPr="00497352">
        <w:rPr>
          <w:rFonts w:ascii="Times New Roman" w:hAnsi="Times New Roman" w:cs="Times New Roman"/>
          <w:sz w:val="20"/>
          <w:szCs w:val="20"/>
        </w:rPr>
        <w:t>412.1091</w:t>
      </w:r>
      <w:r w:rsidR="00125D0A" w:rsidRPr="00497352">
        <w:rPr>
          <w:rFonts w:ascii="Times New Roman" w:hAnsi="Times New Roman" w:cs="Times New Roman"/>
          <w:sz w:val="20"/>
          <w:szCs w:val="20"/>
        </w:rPr>
        <w:tab/>
      </w:r>
      <w:r w:rsidR="00011778" w:rsidRPr="00497352">
        <w:rPr>
          <w:rFonts w:ascii="Times New Roman" w:hAnsi="Times New Roman" w:cs="Times New Roman"/>
          <w:sz w:val="20"/>
          <w:szCs w:val="20"/>
        </w:rPr>
        <w:t xml:space="preserve"> </w:t>
      </w:r>
      <w:r w:rsidR="00497352" w:rsidRPr="00497352">
        <w:rPr>
          <w:rFonts w:ascii="Times New Roman" w:hAnsi="Times New Roman" w:cs="Times New Roman"/>
          <w:sz w:val="20"/>
          <w:szCs w:val="20"/>
        </w:rPr>
        <w:tab/>
      </w:r>
      <w:r w:rsidR="001A1374" w:rsidRPr="00497352">
        <w:rPr>
          <w:rFonts w:ascii="Times New Roman" w:hAnsi="Times New Roman" w:cs="Times New Roman"/>
          <w:sz w:val="20"/>
          <w:szCs w:val="20"/>
        </w:rPr>
        <w:t>497/97</w:t>
      </w:r>
    </w:p>
    <w:p w:rsidR="00D17CFE" w:rsidRPr="00497352" w:rsidRDefault="00AD4698" w:rsidP="00670D88">
      <w:pPr>
        <w:spacing w:after="0" w:line="480" w:lineRule="auto"/>
        <w:rPr>
          <w:rFonts w:ascii="Times New Roman" w:hAnsi="Times New Roman" w:cs="Times New Roman"/>
          <w:sz w:val="20"/>
          <w:szCs w:val="20"/>
        </w:rPr>
      </w:pPr>
      <w:r w:rsidRPr="00497352">
        <w:rPr>
          <w:rFonts w:ascii="Times New Roman" w:hAnsi="Times New Roman" w:cs="Times New Roman"/>
          <w:sz w:val="20"/>
          <w:szCs w:val="20"/>
        </w:rPr>
        <w:t>1998</w:t>
      </w:r>
      <w:r w:rsidRPr="00497352">
        <w:rPr>
          <w:rFonts w:ascii="Times New Roman" w:hAnsi="Times New Roman" w:cs="Times New Roman"/>
          <w:sz w:val="20"/>
          <w:szCs w:val="20"/>
        </w:rPr>
        <w:tab/>
      </w:r>
      <w:r w:rsidRPr="00497352">
        <w:rPr>
          <w:rFonts w:ascii="Times New Roman" w:hAnsi="Times New Roman" w:cs="Times New Roman"/>
          <w:sz w:val="20"/>
          <w:szCs w:val="20"/>
        </w:rPr>
        <w:tab/>
      </w:r>
      <w:r w:rsidR="00497352" w:rsidRPr="00497352">
        <w:rPr>
          <w:rFonts w:ascii="Times New Roman" w:hAnsi="Times New Roman" w:cs="Times New Roman"/>
          <w:sz w:val="20"/>
          <w:szCs w:val="20"/>
        </w:rPr>
        <w:t xml:space="preserve">    </w:t>
      </w:r>
      <w:r w:rsidRPr="00497352">
        <w:rPr>
          <w:rFonts w:ascii="Times New Roman" w:hAnsi="Times New Roman" w:cs="Times New Roman"/>
          <w:sz w:val="20"/>
          <w:szCs w:val="20"/>
        </w:rPr>
        <w:t xml:space="preserve">3     </w:t>
      </w:r>
      <w:r w:rsidR="00497352" w:rsidRPr="00497352">
        <w:rPr>
          <w:rFonts w:ascii="Times New Roman" w:hAnsi="Times New Roman" w:cs="Times New Roman"/>
          <w:sz w:val="20"/>
          <w:szCs w:val="20"/>
        </w:rPr>
        <w:tab/>
      </w:r>
      <w:r w:rsidR="00497352" w:rsidRPr="00497352">
        <w:rPr>
          <w:rFonts w:ascii="Times New Roman" w:hAnsi="Times New Roman" w:cs="Times New Roman"/>
          <w:sz w:val="20"/>
          <w:szCs w:val="20"/>
        </w:rPr>
        <w:tab/>
      </w:r>
      <w:proofErr w:type="spellStart"/>
      <w:r w:rsidR="001A1374" w:rsidRPr="00497352">
        <w:rPr>
          <w:rFonts w:ascii="Times New Roman" w:hAnsi="Times New Roman" w:cs="Times New Roman"/>
          <w:sz w:val="20"/>
          <w:szCs w:val="20"/>
        </w:rPr>
        <w:t>Douglasdale</w:t>
      </w:r>
      <w:proofErr w:type="spellEnd"/>
      <w:r w:rsidR="001A1374" w:rsidRPr="00497352">
        <w:rPr>
          <w:rFonts w:ascii="Times New Roman" w:hAnsi="Times New Roman" w:cs="Times New Roman"/>
          <w:sz w:val="20"/>
          <w:szCs w:val="20"/>
        </w:rPr>
        <w:t xml:space="preserve"> (Pvt) Ltd</w:t>
      </w:r>
      <w:r w:rsidR="00011778" w:rsidRPr="00497352">
        <w:rPr>
          <w:rFonts w:ascii="Times New Roman" w:hAnsi="Times New Roman" w:cs="Times New Roman"/>
          <w:sz w:val="20"/>
          <w:szCs w:val="20"/>
        </w:rPr>
        <w:t xml:space="preserve"> </w:t>
      </w:r>
      <w:r w:rsidR="00125D0A" w:rsidRPr="00497352">
        <w:rPr>
          <w:rFonts w:ascii="Times New Roman" w:hAnsi="Times New Roman" w:cs="Times New Roman"/>
          <w:sz w:val="20"/>
          <w:szCs w:val="20"/>
        </w:rPr>
        <w:t xml:space="preserve">  </w:t>
      </w:r>
      <w:r w:rsidR="00497352" w:rsidRPr="00497352">
        <w:rPr>
          <w:rFonts w:ascii="Times New Roman" w:hAnsi="Times New Roman" w:cs="Times New Roman"/>
          <w:sz w:val="20"/>
          <w:szCs w:val="20"/>
        </w:rPr>
        <w:tab/>
      </w:r>
      <w:r w:rsidR="001A1374" w:rsidRPr="00497352">
        <w:rPr>
          <w:rFonts w:ascii="Times New Roman" w:hAnsi="Times New Roman" w:cs="Times New Roman"/>
          <w:sz w:val="20"/>
          <w:szCs w:val="20"/>
        </w:rPr>
        <w:t>7</w:t>
      </w:r>
      <w:r w:rsidR="00125D0A" w:rsidRPr="00497352">
        <w:rPr>
          <w:rFonts w:ascii="Times New Roman" w:hAnsi="Times New Roman" w:cs="Times New Roman"/>
          <w:sz w:val="20"/>
          <w:szCs w:val="20"/>
        </w:rPr>
        <w:t>9.4959</w:t>
      </w:r>
      <w:r w:rsidR="00125D0A" w:rsidRPr="00497352">
        <w:rPr>
          <w:rFonts w:ascii="Times New Roman" w:hAnsi="Times New Roman" w:cs="Times New Roman"/>
          <w:sz w:val="20"/>
          <w:szCs w:val="20"/>
        </w:rPr>
        <w:tab/>
      </w:r>
      <w:r w:rsidR="00497352" w:rsidRPr="00497352">
        <w:rPr>
          <w:rFonts w:ascii="Times New Roman" w:hAnsi="Times New Roman" w:cs="Times New Roman"/>
          <w:sz w:val="20"/>
          <w:szCs w:val="20"/>
        </w:rPr>
        <w:tab/>
      </w:r>
      <w:r w:rsidR="003771B5">
        <w:rPr>
          <w:rFonts w:ascii="Times New Roman" w:hAnsi="Times New Roman" w:cs="Times New Roman"/>
          <w:sz w:val="20"/>
          <w:szCs w:val="20"/>
        </w:rPr>
        <w:tab/>
      </w:r>
      <w:r w:rsidR="00A942A4" w:rsidRPr="00497352">
        <w:rPr>
          <w:rFonts w:ascii="Times New Roman" w:hAnsi="Times New Roman" w:cs="Times New Roman"/>
          <w:sz w:val="20"/>
          <w:szCs w:val="20"/>
        </w:rPr>
        <w:t>9247/98</w:t>
      </w:r>
    </w:p>
    <w:p w:rsidR="00670D88" w:rsidRPr="00497352" w:rsidRDefault="00AD4698" w:rsidP="00670D88">
      <w:pPr>
        <w:spacing w:after="0" w:line="480" w:lineRule="auto"/>
        <w:rPr>
          <w:rFonts w:ascii="Times New Roman" w:hAnsi="Times New Roman" w:cs="Times New Roman"/>
          <w:b/>
          <w:sz w:val="20"/>
          <w:szCs w:val="20"/>
        </w:rPr>
      </w:pPr>
      <w:r w:rsidRPr="00497352">
        <w:rPr>
          <w:rFonts w:ascii="Times New Roman" w:hAnsi="Times New Roman" w:cs="Times New Roman"/>
          <w:b/>
          <w:sz w:val="20"/>
          <w:szCs w:val="20"/>
        </w:rPr>
        <w:t>2009</w:t>
      </w:r>
      <w:r w:rsidRPr="00497352">
        <w:rPr>
          <w:rFonts w:ascii="Times New Roman" w:hAnsi="Times New Roman" w:cs="Times New Roman"/>
          <w:b/>
          <w:sz w:val="20"/>
          <w:szCs w:val="20"/>
        </w:rPr>
        <w:tab/>
      </w:r>
      <w:r w:rsidRPr="00497352">
        <w:rPr>
          <w:rFonts w:ascii="Times New Roman" w:hAnsi="Times New Roman" w:cs="Times New Roman"/>
          <w:b/>
          <w:sz w:val="20"/>
          <w:szCs w:val="20"/>
        </w:rPr>
        <w:tab/>
      </w:r>
      <w:r w:rsidR="00497352" w:rsidRPr="00497352">
        <w:rPr>
          <w:rFonts w:ascii="Times New Roman" w:hAnsi="Times New Roman" w:cs="Times New Roman"/>
          <w:b/>
          <w:sz w:val="20"/>
          <w:szCs w:val="20"/>
        </w:rPr>
        <w:t xml:space="preserve">    </w:t>
      </w:r>
      <w:r w:rsidRPr="00497352">
        <w:rPr>
          <w:rFonts w:ascii="Times New Roman" w:hAnsi="Times New Roman" w:cs="Times New Roman"/>
          <w:b/>
          <w:sz w:val="20"/>
          <w:szCs w:val="20"/>
        </w:rPr>
        <w:t xml:space="preserve">1    </w:t>
      </w:r>
      <w:r w:rsidR="00125D0A" w:rsidRPr="00497352">
        <w:rPr>
          <w:rFonts w:ascii="Times New Roman" w:hAnsi="Times New Roman" w:cs="Times New Roman"/>
          <w:b/>
          <w:sz w:val="20"/>
          <w:szCs w:val="20"/>
        </w:rPr>
        <w:t xml:space="preserve"> </w:t>
      </w:r>
      <w:r w:rsidR="00497352" w:rsidRPr="00497352">
        <w:rPr>
          <w:rFonts w:ascii="Times New Roman" w:hAnsi="Times New Roman" w:cs="Times New Roman"/>
          <w:b/>
          <w:sz w:val="20"/>
          <w:szCs w:val="20"/>
        </w:rPr>
        <w:tab/>
        <w:t xml:space="preserve">    </w:t>
      </w:r>
      <w:r w:rsidR="00A942A4" w:rsidRPr="00497352">
        <w:rPr>
          <w:rFonts w:ascii="Times New Roman" w:hAnsi="Times New Roman" w:cs="Times New Roman"/>
          <w:b/>
          <w:sz w:val="20"/>
          <w:szCs w:val="20"/>
        </w:rPr>
        <w:t xml:space="preserve">TIBIC Investments (Pvt) </w:t>
      </w:r>
      <w:proofErr w:type="gramStart"/>
      <w:r w:rsidRPr="00497352">
        <w:rPr>
          <w:rFonts w:ascii="Times New Roman" w:hAnsi="Times New Roman" w:cs="Times New Roman"/>
          <w:b/>
          <w:sz w:val="20"/>
          <w:szCs w:val="20"/>
        </w:rPr>
        <w:t xml:space="preserve">Ltd  </w:t>
      </w:r>
      <w:r w:rsidR="003771B5">
        <w:rPr>
          <w:rFonts w:ascii="Times New Roman" w:hAnsi="Times New Roman" w:cs="Times New Roman"/>
          <w:b/>
          <w:sz w:val="20"/>
          <w:szCs w:val="20"/>
        </w:rPr>
        <w:tab/>
      </w:r>
      <w:proofErr w:type="gramEnd"/>
      <w:r w:rsidRPr="00497352">
        <w:rPr>
          <w:rFonts w:ascii="Times New Roman" w:hAnsi="Times New Roman" w:cs="Times New Roman"/>
          <w:b/>
          <w:sz w:val="20"/>
          <w:szCs w:val="20"/>
        </w:rPr>
        <w:t>583.1360</w:t>
      </w:r>
      <w:r w:rsidR="00011778" w:rsidRPr="00497352">
        <w:rPr>
          <w:rFonts w:ascii="Times New Roman" w:hAnsi="Times New Roman" w:cs="Times New Roman"/>
          <w:b/>
          <w:sz w:val="20"/>
          <w:szCs w:val="20"/>
        </w:rPr>
        <w:t xml:space="preserve"> </w:t>
      </w:r>
      <w:r w:rsidR="00497352" w:rsidRPr="00497352">
        <w:rPr>
          <w:rFonts w:ascii="Times New Roman" w:hAnsi="Times New Roman" w:cs="Times New Roman"/>
          <w:b/>
          <w:sz w:val="20"/>
          <w:szCs w:val="20"/>
        </w:rPr>
        <w:tab/>
      </w:r>
      <w:r w:rsidR="00497352" w:rsidRPr="00497352">
        <w:rPr>
          <w:rFonts w:ascii="Times New Roman" w:hAnsi="Times New Roman" w:cs="Times New Roman"/>
          <w:b/>
          <w:sz w:val="20"/>
          <w:szCs w:val="20"/>
        </w:rPr>
        <w:tab/>
      </w:r>
      <w:r w:rsidR="00125D0A" w:rsidRPr="00497352">
        <w:rPr>
          <w:rFonts w:ascii="Times New Roman" w:hAnsi="Times New Roman" w:cs="Times New Roman"/>
          <w:b/>
          <w:sz w:val="20"/>
          <w:szCs w:val="20"/>
        </w:rPr>
        <w:t>1724/09</w:t>
      </w:r>
    </w:p>
    <w:p w:rsidR="00125D0A" w:rsidRPr="00497352" w:rsidRDefault="00670D88" w:rsidP="00670D88">
      <w:pPr>
        <w:spacing w:after="0" w:line="480" w:lineRule="auto"/>
        <w:ind w:left="2160"/>
        <w:rPr>
          <w:rFonts w:ascii="Times New Roman" w:hAnsi="Times New Roman" w:cs="Times New Roman"/>
          <w:b/>
          <w:sz w:val="20"/>
          <w:szCs w:val="20"/>
        </w:rPr>
      </w:pPr>
      <w:r w:rsidRPr="00497352">
        <w:rPr>
          <w:rFonts w:ascii="Times New Roman" w:hAnsi="Times New Roman" w:cs="Times New Roman"/>
          <w:b/>
          <w:sz w:val="20"/>
          <w:szCs w:val="20"/>
        </w:rPr>
        <w:t xml:space="preserve"> </w:t>
      </w:r>
      <w:r w:rsidR="00497352" w:rsidRPr="00497352">
        <w:rPr>
          <w:rFonts w:ascii="Times New Roman" w:hAnsi="Times New Roman" w:cs="Times New Roman"/>
          <w:b/>
          <w:sz w:val="20"/>
          <w:szCs w:val="20"/>
        </w:rPr>
        <w:tab/>
      </w:r>
      <w:r w:rsidR="00DF2622" w:rsidRPr="00497352">
        <w:rPr>
          <w:rFonts w:ascii="Times New Roman" w:hAnsi="Times New Roman" w:cs="Times New Roman"/>
          <w:b/>
          <w:sz w:val="20"/>
          <w:szCs w:val="20"/>
        </w:rPr>
        <w:t xml:space="preserve">       </w:t>
      </w:r>
      <w:r w:rsidR="00497352" w:rsidRPr="00497352">
        <w:rPr>
          <w:rFonts w:ascii="Times New Roman" w:hAnsi="Times New Roman" w:cs="Times New Roman"/>
          <w:b/>
          <w:sz w:val="20"/>
          <w:szCs w:val="20"/>
        </w:rPr>
        <w:t xml:space="preserve">                    </w:t>
      </w:r>
      <w:r w:rsidR="003771B5">
        <w:rPr>
          <w:rFonts w:ascii="Times New Roman" w:hAnsi="Times New Roman" w:cs="Times New Roman"/>
          <w:b/>
          <w:sz w:val="20"/>
          <w:szCs w:val="20"/>
        </w:rPr>
        <w:tab/>
      </w:r>
      <w:r w:rsidR="003771B5">
        <w:rPr>
          <w:rFonts w:ascii="Times New Roman" w:hAnsi="Times New Roman" w:cs="Times New Roman"/>
          <w:b/>
          <w:sz w:val="20"/>
          <w:szCs w:val="20"/>
        </w:rPr>
        <w:tab/>
      </w:r>
      <w:r w:rsidR="00497352" w:rsidRPr="00497352">
        <w:rPr>
          <w:rFonts w:ascii="Times New Roman" w:hAnsi="Times New Roman" w:cs="Times New Roman"/>
          <w:b/>
          <w:sz w:val="20"/>
          <w:szCs w:val="20"/>
        </w:rPr>
        <w:t>1,074.741</w:t>
      </w:r>
    </w:p>
    <w:p w:rsidR="00125D0A" w:rsidRPr="00497352" w:rsidRDefault="00125D0A" w:rsidP="00497352">
      <w:pPr>
        <w:spacing w:after="0" w:line="480" w:lineRule="auto"/>
        <w:rPr>
          <w:rFonts w:ascii="Times New Roman" w:hAnsi="Times New Roman" w:cs="Times New Roman"/>
          <w:b/>
          <w:sz w:val="20"/>
          <w:szCs w:val="20"/>
        </w:rPr>
      </w:pPr>
      <w:r w:rsidRPr="00497352">
        <w:rPr>
          <w:rFonts w:ascii="Times New Roman" w:hAnsi="Times New Roman" w:cs="Times New Roman"/>
          <w:b/>
          <w:sz w:val="20"/>
          <w:szCs w:val="20"/>
          <w:u w:val="single"/>
        </w:rPr>
        <w:t>Total</w:t>
      </w:r>
      <w:r w:rsidRPr="00497352">
        <w:rPr>
          <w:rFonts w:ascii="Times New Roman" w:hAnsi="Times New Roman" w:cs="Times New Roman"/>
          <w:b/>
          <w:sz w:val="20"/>
          <w:szCs w:val="20"/>
        </w:rPr>
        <w:t>.</w:t>
      </w:r>
      <w:r w:rsidR="00DF2622" w:rsidRPr="00497352">
        <w:rPr>
          <w:rFonts w:ascii="Times New Roman" w:hAnsi="Times New Roman" w:cs="Times New Roman"/>
          <w:b/>
          <w:sz w:val="20"/>
          <w:szCs w:val="20"/>
        </w:rPr>
        <w:t xml:space="preserve">        </w:t>
      </w:r>
      <w:r w:rsidR="00497352" w:rsidRPr="00497352">
        <w:rPr>
          <w:rFonts w:ascii="Times New Roman" w:hAnsi="Times New Roman" w:cs="Times New Roman"/>
          <w:b/>
          <w:sz w:val="20"/>
          <w:szCs w:val="20"/>
        </w:rPr>
        <w:tab/>
      </w:r>
      <w:r w:rsidR="00DF2622" w:rsidRPr="00497352">
        <w:rPr>
          <w:rFonts w:ascii="Times New Roman" w:hAnsi="Times New Roman" w:cs="Times New Roman"/>
          <w:b/>
          <w:sz w:val="20"/>
          <w:szCs w:val="20"/>
        </w:rPr>
        <w:t>3</w:t>
      </w:r>
      <w:r w:rsidR="00497352" w:rsidRPr="00497352">
        <w:rPr>
          <w:rFonts w:ascii="Times New Roman" w:hAnsi="Times New Roman" w:cs="Times New Roman"/>
          <w:b/>
          <w:sz w:val="20"/>
          <w:szCs w:val="20"/>
        </w:rPr>
        <w:t xml:space="preserve"> Lots</w:t>
      </w:r>
      <w:r w:rsidR="00DF2622" w:rsidRPr="00497352">
        <w:rPr>
          <w:rFonts w:ascii="Times New Roman" w:hAnsi="Times New Roman" w:cs="Times New Roman"/>
          <w:b/>
          <w:sz w:val="20"/>
          <w:szCs w:val="20"/>
        </w:rPr>
        <w:tab/>
      </w:r>
      <w:r w:rsidR="00DF2622" w:rsidRPr="00497352">
        <w:rPr>
          <w:rFonts w:ascii="Times New Roman" w:hAnsi="Times New Roman" w:cs="Times New Roman"/>
          <w:b/>
          <w:sz w:val="20"/>
          <w:szCs w:val="20"/>
        </w:rPr>
        <w:tab/>
      </w:r>
      <w:r w:rsidR="00DF2622" w:rsidRPr="00497352">
        <w:rPr>
          <w:rFonts w:ascii="Times New Roman" w:hAnsi="Times New Roman" w:cs="Times New Roman"/>
          <w:b/>
          <w:sz w:val="20"/>
          <w:szCs w:val="20"/>
        </w:rPr>
        <w:tab/>
      </w:r>
      <w:r w:rsidR="00DF2622" w:rsidRPr="00497352">
        <w:rPr>
          <w:rFonts w:ascii="Times New Roman" w:hAnsi="Times New Roman" w:cs="Times New Roman"/>
          <w:b/>
          <w:sz w:val="20"/>
          <w:szCs w:val="20"/>
        </w:rPr>
        <w:tab/>
      </w:r>
      <w:r w:rsidR="00670D88" w:rsidRPr="00497352">
        <w:rPr>
          <w:rFonts w:ascii="Times New Roman" w:hAnsi="Times New Roman" w:cs="Times New Roman"/>
          <w:b/>
          <w:sz w:val="20"/>
          <w:szCs w:val="20"/>
        </w:rPr>
        <w:tab/>
      </w:r>
      <w:r w:rsidR="00DF2622" w:rsidRPr="00497352">
        <w:rPr>
          <w:rFonts w:ascii="Times New Roman" w:hAnsi="Times New Roman" w:cs="Times New Roman"/>
          <w:b/>
          <w:sz w:val="20"/>
          <w:szCs w:val="20"/>
        </w:rPr>
        <w:tab/>
      </w:r>
    </w:p>
    <w:p w:rsidR="005578CE" w:rsidRPr="00497352" w:rsidRDefault="005578CE" w:rsidP="00670D88">
      <w:pPr>
        <w:spacing w:after="0" w:line="480" w:lineRule="auto"/>
        <w:jc w:val="both"/>
        <w:rPr>
          <w:rFonts w:ascii="Times New Roman" w:hAnsi="Times New Roman" w:cs="Times New Roman"/>
          <w:sz w:val="20"/>
          <w:szCs w:val="20"/>
        </w:rPr>
      </w:pPr>
    </w:p>
    <w:p w:rsidR="00DF2622" w:rsidRPr="00497352" w:rsidRDefault="001A27CC" w:rsidP="00670D88">
      <w:pPr>
        <w:spacing w:after="0" w:line="480" w:lineRule="auto"/>
        <w:ind w:firstLine="1134"/>
        <w:jc w:val="both"/>
        <w:rPr>
          <w:rFonts w:ascii="Times New Roman" w:hAnsi="Times New Roman" w:cs="Times New Roman"/>
          <w:sz w:val="24"/>
          <w:szCs w:val="24"/>
        </w:rPr>
      </w:pPr>
      <w:r w:rsidRPr="00497352">
        <w:rPr>
          <w:rFonts w:ascii="Times New Roman" w:hAnsi="Times New Roman" w:cs="Times New Roman"/>
          <w:sz w:val="24"/>
          <w:szCs w:val="24"/>
        </w:rPr>
        <w:t>He</w:t>
      </w:r>
      <w:r w:rsidR="001A11C2" w:rsidRPr="00497352">
        <w:rPr>
          <w:rFonts w:ascii="Times New Roman" w:hAnsi="Times New Roman" w:cs="Times New Roman"/>
          <w:sz w:val="24"/>
          <w:szCs w:val="24"/>
        </w:rPr>
        <w:t xml:space="preserve"> however</w:t>
      </w:r>
      <w:r w:rsidR="009564CB" w:rsidRPr="00497352">
        <w:rPr>
          <w:rFonts w:ascii="Times New Roman" w:hAnsi="Times New Roman" w:cs="Times New Roman"/>
          <w:sz w:val="24"/>
          <w:szCs w:val="24"/>
        </w:rPr>
        <w:t xml:space="preserve"> sold the disputed</w:t>
      </w:r>
      <w:r w:rsidR="0089392F" w:rsidRPr="00497352">
        <w:rPr>
          <w:rFonts w:ascii="Times New Roman" w:hAnsi="Times New Roman" w:cs="Times New Roman"/>
          <w:sz w:val="24"/>
          <w:szCs w:val="24"/>
        </w:rPr>
        <w:t xml:space="preserve"> lot one </w:t>
      </w:r>
      <w:r w:rsidR="004C3A45" w:rsidRPr="00497352">
        <w:rPr>
          <w:rFonts w:ascii="Times New Roman" w:hAnsi="Times New Roman" w:cs="Times New Roman"/>
          <w:sz w:val="24"/>
          <w:szCs w:val="24"/>
        </w:rPr>
        <w:t>in 2009 in circumstances where G</w:t>
      </w:r>
      <w:r w:rsidR="0089392F" w:rsidRPr="00497352">
        <w:rPr>
          <w:rFonts w:ascii="Times New Roman" w:hAnsi="Times New Roman" w:cs="Times New Roman"/>
          <w:sz w:val="24"/>
          <w:szCs w:val="24"/>
        </w:rPr>
        <w:t xml:space="preserve">overnment had </w:t>
      </w:r>
      <w:r w:rsidR="009564CB" w:rsidRPr="00497352">
        <w:rPr>
          <w:rFonts w:ascii="Times New Roman" w:hAnsi="Times New Roman" w:cs="Times New Roman"/>
          <w:sz w:val="24"/>
          <w:szCs w:val="24"/>
        </w:rPr>
        <w:t xml:space="preserve">already </w:t>
      </w:r>
      <w:r w:rsidR="0089392F" w:rsidRPr="00497352">
        <w:rPr>
          <w:rFonts w:ascii="Times New Roman" w:hAnsi="Times New Roman" w:cs="Times New Roman"/>
          <w:sz w:val="24"/>
          <w:szCs w:val="24"/>
        </w:rPr>
        <w:t xml:space="preserve">issued a preliminary notice to compulsorily acquire the disputed land under </w:t>
      </w:r>
      <w:r w:rsidR="00BF438E" w:rsidRPr="00497352">
        <w:rPr>
          <w:rFonts w:ascii="Times New Roman" w:hAnsi="Times New Roman" w:cs="Times New Roman"/>
          <w:b/>
          <w:sz w:val="24"/>
          <w:szCs w:val="24"/>
        </w:rPr>
        <w:t>General Notice 405A of 2000</w:t>
      </w:r>
      <w:r w:rsidR="00BF438E" w:rsidRPr="00497352">
        <w:rPr>
          <w:rFonts w:ascii="Times New Roman" w:hAnsi="Times New Roman" w:cs="Times New Roman"/>
          <w:sz w:val="24"/>
          <w:szCs w:val="24"/>
        </w:rPr>
        <w:t xml:space="preserve"> published in the </w:t>
      </w:r>
      <w:r w:rsidR="00BF438E" w:rsidRPr="00497352">
        <w:rPr>
          <w:rFonts w:ascii="Times New Roman" w:hAnsi="Times New Roman" w:cs="Times New Roman"/>
          <w:b/>
          <w:sz w:val="24"/>
          <w:szCs w:val="24"/>
        </w:rPr>
        <w:t>Extraor</w:t>
      </w:r>
      <w:r w:rsidR="003771B5">
        <w:rPr>
          <w:rFonts w:ascii="Times New Roman" w:hAnsi="Times New Roman" w:cs="Times New Roman"/>
          <w:b/>
          <w:sz w:val="24"/>
          <w:szCs w:val="24"/>
        </w:rPr>
        <w:t>dinary Government Gazette of 25 </w:t>
      </w:r>
      <w:proofErr w:type="gramStart"/>
      <w:r w:rsidR="00565780" w:rsidRPr="00497352">
        <w:rPr>
          <w:rFonts w:ascii="Times New Roman" w:hAnsi="Times New Roman" w:cs="Times New Roman"/>
          <w:b/>
          <w:sz w:val="24"/>
          <w:szCs w:val="24"/>
        </w:rPr>
        <w:t>August,</w:t>
      </w:r>
      <w:proofErr w:type="gramEnd"/>
      <w:r w:rsidR="00BF438E" w:rsidRPr="00497352">
        <w:rPr>
          <w:rFonts w:ascii="Times New Roman" w:hAnsi="Times New Roman" w:cs="Times New Roman"/>
          <w:b/>
          <w:sz w:val="24"/>
          <w:szCs w:val="24"/>
        </w:rPr>
        <w:t xml:space="preserve"> 2000</w:t>
      </w:r>
      <w:r w:rsidR="00BF438E" w:rsidRPr="00497352">
        <w:rPr>
          <w:rFonts w:ascii="Times New Roman" w:hAnsi="Times New Roman" w:cs="Times New Roman"/>
          <w:sz w:val="24"/>
          <w:szCs w:val="24"/>
        </w:rPr>
        <w:t>.</w:t>
      </w:r>
    </w:p>
    <w:p w:rsidR="005578CE" w:rsidRPr="00497352" w:rsidRDefault="005578CE" w:rsidP="00762D44">
      <w:pPr>
        <w:spacing w:after="0" w:line="240" w:lineRule="auto"/>
        <w:ind w:firstLine="1134"/>
        <w:jc w:val="both"/>
        <w:rPr>
          <w:rFonts w:ascii="Times New Roman" w:hAnsi="Times New Roman" w:cs="Times New Roman"/>
          <w:sz w:val="24"/>
          <w:szCs w:val="24"/>
        </w:rPr>
      </w:pPr>
    </w:p>
    <w:p w:rsidR="00BF438E" w:rsidRPr="00497352" w:rsidRDefault="00BF438E" w:rsidP="00762D44">
      <w:pPr>
        <w:spacing w:after="0" w:line="480" w:lineRule="auto"/>
        <w:ind w:firstLine="1134"/>
        <w:jc w:val="both"/>
        <w:rPr>
          <w:rFonts w:ascii="Times New Roman" w:hAnsi="Times New Roman" w:cs="Times New Roman"/>
          <w:sz w:val="24"/>
          <w:szCs w:val="24"/>
        </w:rPr>
      </w:pPr>
      <w:r w:rsidRPr="00497352">
        <w:rPr>
          <w:rFonts w:ascii="Times New Roman" w:hAnsi="Times New Roman" w:cs="Times New Roman"/>
          <w:sz w:val="24"/>
          <w:szCs w:val="24"/>
        </w:rPr>
        <w:t>The preliminary notice reads:</w:t>
      </w:r>
    </w:p>
    <w:p w:rsidR="00BF438E" w:rsidRPr="00497352" w:rsidRDefault="00BF438E" w:rsidP="00762D44">
      <w:pPr>
        <w:spacing w:after="0" w:line="240" w:lineRule="auto"/>
        <w:ind w:left="720"/>
        <w:jc w:val="both"/>
        <w:rPr>
          <w:rFonts w:ascii="Times New Roman" w:hAnsi="Times New Roman" w:cs="Times New Roman"/>
          <w:sz w:val="24"/>
          <w:szCs w:val="24"/>
        </w:rPr>
      </w:pPr>
      <w:r w:rsidRPr="00497352">
        <w:rPr>
          <w:rFonts w:ascii="Times New Roman" w:hAnsi="Times New Roman" w:cs="Times New Roman"/>
          <w:sz w:val="24"/>
          <w:szCs w:val="24"/>
        </w:rPr>
        <w:t xml:space="preserve">“NOTICE is hereby given, in terms of subsection (1) of section 5 of the </w:t>
      </w:r>
      <w:r w:rsidR="00565780" w:rsidRPr="00497352">
        <w:rPr>
          <w:rFonts w:ascii="Times New Roman" w:hAnsi="Times New Roman" w:cs="Times New Roman"/>
          <w:sz w:val="24"/>
          <w:szCs w:val="24"/>
        </w:rPr>
        <w:t>Land Acquisition Act [C</w:t>
      </w:r>
      <w:r w:rsidRPr="00497352">
        <w:rPr>
          <w:rFonts w:ascii="Times New Roman" w:hAnsi="Times New Roman" w:cs="Times New Roman"/>
          <w:sz w:val="24"/>
          <w:szCs w:val="24"/>
        </w:rPr>
        <w:t>hapter 20:10</w:t>
      </w:r>
      <w:r w:rsidR="00565780" w:rsidRPr="00497352">
        <w:rPr>
          <w:rFonts w:ascii="Times New Roman" w:hAnsi="Times New Roman" w:cs="Times New Roman"/>
          <w:sz w:val="24"/>
          <w:szCs w:val="24"/>
        </w:rPr>
        <w:t>]</w:t>
      </w:r>
      <w:r w:rsidRPr="00497352">
        <w:rPr>
          <w:rFonts w:ascii="Times New Roman" w:hAnsi="Times New Roman" w:cs="Times New Roman"/>
          <w:sz w:val="24"/>
          <w:szCs w:val="24"/>
        </w:rPr>
        <w:t>, that the president</w:t>
      </w:r>
      <w:r w:rsidR="00565780" w:rsidRPr="00497352">
        <w:rPr>
          <w:rFonts w:ascii="Times New Roman" w:hAnsi="Times New Roman" w:cs="Times New Roman"/>
          <w:sz w:val="24"/>
          <w:szCs w:val="24"/>
        </w:rPr>
        <w:t xml:space="preserve"> intends</w:t>
      </w:r>
      <w:r w:rsidRPr="00497352">
        <w:rPr>
          <w:rFonts w:ascii="Times New Roman" w:hAnsi="Times New Roman" w:cs="Times New Roman"/>
          <w:sz w:val="24"/>
          <w:szCs w:val="24"/>
        </w:rPr>
        <w:t xml:space="preserve"> to acquire compulsorily the land described in the schedule for resettlement purposes.</w:t>
      </w:r>
      <w:r w:rsidR="002F4072" w:rsidRPr="00497352">
        <w:rPr>
          <w:rFonts w:ascii="Times New Roman" w:hAnsi="Times New Roman" w:cs="Times New Roman"/>
          <w:sz w:val="24"/>
          <w:szCs w:val="24"/>
        </w:rPr>
        <w:t xml:space="preserve"> </w:t>
      </w:r>
    </w:p>
    <w:p w:rsidR="002F4072" w:rsidRPr="00497352" w:rsidRDefault="002F4072" w:rsidP="00762D44">
      <w:pPr>
        <w:spacing w:after="0" w:line="240" w:lineRule="auto"/>
        <w:ind w:left="720"/>
        <w:jc w:val="both"/>
        <w:rPr>
          <w:rFonts w:ascii="Times New Roman" w:hAnsi="Times New Roman" w:cs="Times New Roman"/>
          <w:sz w:val="24"/>
          <w:szCs w:val="24"/>
        </w:rPr>
      </w:pPr>
      <w:r w:rsidRPr="00497352">
        <w:rPr>
          <w:rFonts w:ascii="Times New Roman" w:hAnsi="Times New Roman" w:cs="Times New Roman"/>
          <w:sz w:val="24"/>
          <w:szCs w:val="24"/>
        </w:rPr>
        <w:t>A plan of the land is available for inspection at the following offices of the Ministry of Lands, Agriculture and Rural Resettlement between 8 a.m. and 4 p.m. from Monday to Friday other than on a pub</w:t>
      </w:r>
      <w:r w:rsidR="00565780" w:rsidRPr="00497352">
        <w:rPr>
          <w:rFonts w:ascii="Times New Roman" w:hAnsi="Times New Roman" w:cs="Times New Roman"/>
          <w:sz w:val="24"/>
          <w:szCs w:val="24"/>
        </w:rPr>
        <w:t xml:space="preserve">lic holiday on or before the </w:t>
      </w:r>
      <w:r w:rsidR="00270DB4" w:rsidRPr="00497352">
        <w:rPr>
          <w:rFonts w:ascii="Times New Roman" w:hAnsi="Times New Roman" w:cs="Times New Roman"/>
          <w:sz w:val="24"/>
          <w:szCs w:val="24"/>
        </w:rPr>
        <w:t>24</w:t>
      </w:r>
      <w:r w:rsidR="00270DB4" w:rsidRPr="00497352">
        <w:rPr>
          <w:rFonts w:ascii="Times New Roman" w:hAnsi="Times New Roman" w:cs="Times New Roman"/>
          <w:sz w:val="24"/>
          <w:szCs w:val="24"/>
          <w:vertAlign w:val="superscript"/>
        </w:rPr>
        <w:t>th</w:t>
      </w:r>
      <w:r w:rsidR="00270DB4" w:rsidRPr="00497352">
        <w:rPr>
          <w:rFonts w:ascii="Times New Roman" w:hAnsi="Times New Roman" w:cs="Times New Roman"/>
          <w:sz w:val="24"/>
          <w:szCs w:val="24"/>
        </w:rPr>
        <w:t xml:space="preserve"> of</w:t>
      </w:r>
      <w:r w:rsidRPr="00497352">
        <w:rPr>
          <w:rFonts w:ascii="Times New Roman" w:hAnsi="Times New Roman" w:cs="Times New Roman"/>
          <w:sz w:val="24"/>
          <w:szCs w:val="24"/>
        </w:rPr>
        <w:t xml:space="preserve"> </w:t>
      </w:r>
      <w:proofErr w:type="gramStart"/>
      <w:r w:rsidRPr="00497352">
        <w:rPr>
          <w:rFonts w:ascii="Times New Roman" w:hAnsi="Times New Roman" w:cs="Times New Roman"/>
          <w:sz w:val="24"/>
          <w:szCs w:val="24"/>
        </w:rPr>
        <w:t>September,</w:t>
      </w:r>
      <w:proofErr w:type="gramEnd"/>
      <w:r w:rsidRPr="00497352">
        <w:rPr>
          <w:rFonts w:ascii="Times New Roman" w:hAnsi="Times New Roman" w:cs="Times New Roman"/>
          <w:sz w:val="24"/>
          <w:szCs w:val="24"/>
        </w:rPr>
        <w:t xml:space="preserve"> 2009 – </w:t>
      </w:r>
    </w:p>
    <w:p w:rsidR="002F4072" w:rsidRPr="00497352" w:rsidRDefault="002F4072" w:rsidP="00762D44">
      <w:pPr>
        <w:spacing w:after="0" w:line="240" w:lineRule="auto"/>
        <w:ind w:left="720"/>
        <w:jc w:val="both"/>
        <w:rPr>
          <w:rFonts w:ascii="Times New Roman" w:hAnsi="Times New Roman" w:cs="Times New Roman"/>
          <w:sz w:val="24"/>
          <w:szCs w:val="24"/>
        </w:rPr>
      </w:pPr>
    </w:p>
    <w:p w:rsidR="002F4072" w:rsidRPr="00497352" w:rsidRDefault="00762D44" w:rsidP="00762D44">
      <w:pPr>
        <w:spacing w:after="0" w:line="240" w:lineRule="auto"/>
        <w:ind w:left="1418" w:hanging="698"/>
        <w:jc w:val="both"/>
        <w:rPr>
          <w:rFonts w:ascii="Times New Roman" w:hAnsi="Times New Roman" w:cs="Times New Roman"/>
          <w:sz w:val="24"/>
          <w:szCs w:val="24"/>
        </w:rPr>
      </w:pPr>
      <w:r w:rsidRPr="00497352">
        <w:rPr>
          <w:rFonts w:ascii="Times New Roman" w:hAnsi="Times New Roman" w:cs="Times New Roman"/>
          <w:sz w:val="24"/>
          <w:szCs w:val="24"/>
        </w:rPr>
        <w:t>140.</w:t>
      </w:r>
      <w:r w:rsidR="002F4072" w:rsidRPr="00497352">
        <w:rPr>
          <w:rFonts w:ascii="Times New Roman" w:hAnsi="Times New Roman" w:cs="Times New Roman"/>
          <w:sz w:val="24"/>
          <w:szCs w:val="24"/>
        </w:rPr>
        <w:t xml:space="preserve"> Deed of transfer 3032/87, registered in t</w:t>
      </w:r>
      <w:r w:rsidR="000C3F4A" w:rsidRPr="00497352">
        <w:rPr>
          <w:rFonts w:ascii="Times New Roman" w:hAnsi="Times New Roman" w:cs="Times New Roman"/>
          <w:sz w:val="24"/>
          <w:szCs w:val="24"/>
        </w:rPr>
        <w:t>he name of Cecil Michael</w:t>
      </w:r>
      <w:r w:rsidRPr="00497352">
        <w:rPr>
          <w:rFonts w:ascii="Times New Roman" w:hAnsi="Times New Roman" w:cs="Times New Roman"/>
          <w:sz w:val="24"/>
          <w:szCs w:val="24"/>
        </w:rPr>
        <w:t xml:space="preserve"> </w:t>
      </w:r>
      <w:proofErr w:type="gramStart"/>
      <w:r w:rsidR="000C3F4A" w:rsidRPr="00497352">
        <w:rPr>
          <w:rFonts w:ascii="Times New Roman" w:hAnsi="Times New Roman" w:cs="Times New Roman"/>
          <w:sz w:val="24"/>
          <w:szCs w:val="24"/>
          <w:u w:val="single"/>
        </w:rPr>
        <w:t>Reiner</w:t>
      </w:r>
      <w:r w:rsidR="002F4072" w:rsidRPr="00497352">
        <w:rPr>
          <w:rFonts w:ascii="Times New Roman" w:hAnsi="Times New Roman" w:cs="Times New Roman"/>
          <w:sz w:val="24"/>
          <w:szCs w:val="24"/>
        </w:rPr>
        <w:t xml:space="preserve"> </w:t>
      </w:r>
      <w:r w:rsidR="000C3F4A" w:rsidRPr="00497352">
        <w:rPr>
          <w:rFonts w:ascii="Times New Roman" w:hAnsi="Times New Roman" w:cs="Times New Roman"/>
          <w:sz w:val="24"/>
          <w:szCs w:val="24"/>
        </w:rPr>
        <w:t>,</w:t>
      </w:r>
      <w:proofErr w:type="gramEnd"/>
      <w:r w:rsidR="000C3F4A" w:rsidRPr="00497352">
        <w:rPr>
          <w:rFonts w:ascii="Times New Roman" w:hAnsi="Times New Roman" w:cs="Times New Roman"/>
          <w:sz w:val="24"/>
          <w:szCs w:val="24"/>
        </w:rPr>
        <w:t xml:space="preserve"> in respect of certain</w:t>
      </w:r>
      <w:r w:rsidRPr="00497352">
        <w:rPr>
          <w:rFonts w:ascii="Times New Roman" w:hAnsi="Times New Roman" w:cs="Times New Roman"/>
          <w:sz w:val="24"/>
          <w:szCs w:val="24"/>
        </w:rPr>
        <w:t xml:space="preserve"> </w:t>
      </w:r>
      <w:r w:rsidR="000C3F4A" w:rsidRPr="00497352">
        <w:rPr>
          <w:rFonts w:ascii="Times New Roman" w:hAnsi="Times New Roman" w:cs="Times New Roman"/>
          <w:sz w:val="24"/>
          <w:szCs w:val="24"/>
        </w:rPr>
        <w:t xml:space="preserve">piece of land situate in the district of </w:t>
      </w:r>
      <w:proofErr w:type="spellStart"/>
      <w:r w:rsidR="000C3F4A" w:rsidRPr="00497352">
        <w:rPr>
          <w:rFonts w:ascii="Times New Roman" w:hAnsi="Times New Roman" w:cs="Times New Roman"/>
          <w:sz w:val="24"/>
          <w:szCs w:val="24"/>
        </w:rPr>
        <w:t>Goromonzi</w:t>
      </w:r>
      <w:proofErr w:type="spellEnd"/>
      <w:r w:rsidR="000C3F4A" w:rsidRPr="00497352">
        <w:rPr>
          <w:rFonts w:ascii="Times New Roman" w:hAnsi="Times New Roman" w:cs="Times New Roman"/>
          <w:sz w:val="24"/>
          <w:szCs w:val="24"/>
        </w:rPr>
        <w:t xml:space="preserve"> , being the remaining extent of </w:t>
      </w:r>
      <w:proofErr w:type="spellStart"/>
      <w:r w:rsidR="000C3F4A" w:rsidRPr="00497352">
        <w:rPr>
          <w:rFonts w:ascii="Times New Roman" w:hAnsi="Times New Roman" w:cs="Times New Roman"/>
          <w:sz w:val="24"/>
          <w:szCs w:val="24"/>
        </w:rPr>
        <w:t>Stuhm</w:t>
      </w:r>
      <w:proofErr w:type="spellEnd"/>
      <w:r w:rsidR="000C3F4A" w:rsidRPr="00497352">
        <w:rPr>
          <w:rFonts w:ascii="Times New Roman" w:hAnsi="Times New Roman" w:cs="Times New Roman"/>
          <w:sz w:val="24"/>
          <w:szCs w:val="24"/>
        </w:rPr>
        <w:t>, measuring one thousand and seventy- four, comma seven four one zero. (1</w:t>
      </w:r>
      <w:r w:rsidR="00564BB4" w:rsidRPr="00497352">
        <w:rPr>
          <w:rFonts w:ascii="Times New Roman" w:hAnsi="Times New Roman" w:cs="Times New Roman"/>
          <w:sz w:val="24"/>
          <w:szCs w:val="24"/>
        </w:rPr>
        <w:t xml:space="preserve"> </w:t>
      </w:r>
      <w:r w:rsidR="000C3F4A" w:rsidRPr="00497352">
        <w:rPr>
          <w:rFonts w:ascii="Times New Roman" w:hAnsi="Times New Roman" w:cs="Times New Roman"/>
          <w:sz w:val="24"/>
          <w:szCs w:val="24"/>
        </w:rPr>
        <w:t>074, 741</w:t>
      </w:r>
      <w:r w:rsidR="00565780" w:rsidRPr="00497352">
        <w:rPr>
          <w:rFonts w:ascii="Times New Roman" w:hAnsi="Times New Roman" w:cs="Times New Roman"/>
          <w:sz w:val="24"/>
          <w:szCs w:val="24"/>
        </w:rPr>
        <w:t>0</w:t>
      </w:r>
      <w:r w:rsidR="000C3F4A" w:rsidRPr="00497352">
        <w:rPr>
          <w:rFonts w:ascii="Times New Roman" w:hAnsi="Times New Roman" w:cs="Times New Roman"/>
          <w:sz w:val="24"/>
          <w:szCs w:val="24"/>
        </w:rPr>
        <w:t>)</w:t>
      </w:r>
      <w:r w:rsidR="00565780" w:rsidRPr="00497352">
        <w:rPr>
          <w:rFonts w:ascii="Times New Roman" w:hAnsi="Times New Roman" w:cs="Times New Roman"/>
          <w:sz w:val="24"/>
          <w:szCs w:val="24"/>
        </w:rPr>
        <w:t xml:space="preserve"> hectares.”</w:t>
      </w:r>
    </w:p>
    <w:p w:rsidR="005578CE" w:rsidRPr="00497352" w:rsidRDefault="005578CE" w:rsidP="00762D44">
      <w:pPr>
        <w:spacing w:after="0" w:line="480" w:lineRule="auto"/>
        <w:jc w:val="both"/>
        <w:rPr>
          <w:rFonts w:ascii="Times New Roman" w:hAnsi="Times New Roman" w:cs="Times New Roman"/>
          <w:sz w:val="24"/>
          <w:szCs w:val="24"/>
        </w:rPr>
      </w:pPr>
    </w:p>
    <w:p w:rsidR="00FB31D0" w:rsidRDefault="00E00ED8" w:rsidP="00762D44">
      <w:pPr>
        <w:spacing w:after="0" w:line="480" w:lineRule="auto"/>
        <w:ind w:firstLine="1134"/>
        <w:jc w:val="both"/>
        <w:rPr>
          <w:rFonts w:ascii="Times New Roman" w:hAnsi="Times New Roman" w:cs="Times New Roman"/>
          <w:sz w:val="24"/>
          <w:szCs w:val="24"/>
        </w:rPr>
      </w:pPr>
      <w:r w:rsidRPr="00497352">
        <w:rPr>
          <w:rFonts w:ascii="Times New Roman" w:hAnsi="Times New Roman" w:cs="Times New Roman"/>
          <w:sz w:val="24"/>
          <w:szCs w:val="24"/>
        </w:rPr>
        <w:lastRenderedPageBreak/>
        <w:t>The same notice was re-gazetted under General notice</w:t>
      </w:r>
      <w:r w:rsidR="004C3A45" w:rsidRPr="00497352">
        <w:rPr>
          <w:rFonts w:ascii="Times New Roman" w:hAnsi="Times New Roman" w:cs="Times New Roman"/>
          <w:sz w:val="24"/>
          <w:szCs w:val="24"/>
        </w:rPr>
        <w:t>s</w:t>
      </w:r>
      <w:r w:rsidRPr="00497352">
        <w:rPr>
          <w:rFonts w:ascii="Times New Roman" w:hAnsi="Times New Roman" w:cs="Times New Roman"/>
          <w:sz w:val="24"/>
          <w:szCs w:val="24"/>
        </w:rPr>
        <w:t xml:space="preserve"> 298A of 2003</w:t>
      </w:r>
      <w:r w:rsidR="00FB31D0" w:rsidRPr="00497352">
        <w:rPr>
          <w:rFonts w:ascii="Times New Roman" w:hAnsi="Times New Roman" w:cs="Times New Roman"/>
          <w:sz w:val="24"/>
          <w:szCs w:val="24"/>
        </w:rPr>
        <w:t xml:space="preserve"> and 323 of 2003</w:t>
      </w:r>
      <w:r w:rsidRPr="00497352">
        <w:rPr>
          <w:rFonts w:ascii="Times New Roman" w:hAnsi="Times New Roman" w:cs="Times New Roman"/>
          <w:sz w:val="24"/>
          <w:szCs w:val="24"/>
        </w:rPr>
        <w:t xml:space="preserve">. </w:t>
      </w:r>
      <w:r w:rsidR="00FB31D0" w:rsidRPr="00497352">
        <w:rPr>
          <w:rFonts w:ascii="Times New Roman" w:hAnsi="Times New Roman" w:cs="Times New Roman"/>
          <w:sz w:val="24"/>
          <w:szCs w:val="24"/>
        </w:rPr>
        <w:t>In all the 3 notices the extent of the land earmarked for acquisition was given as 1</w:t>
      </w:r>
      <w:r w:rsidR="00762D44" w:rsidRPr="00497352">
        <w:rPr>
          <w:rFonts w:ascii="Times New Roman" w:hAnsi="Times New Roman" w:cs="Times New Roman"/>
          <w:sz w:val="24"/>
          <w:szCs w:val="24"/>
        </w:rPr>
        <w:t xml:space="preserve"> </w:t>
      </w:r>
      <w:r w:rsidR="00FB31D0" w:rsidRPr="00497352">
        <w:rPr>
          <w:rFonts w:ascii="Times New Roman" w:hAnsi="Times New Roman" w:cs="Times New Roman"/>
          <w:sz w:val="24"/>
          <w:szCs w:val="24"/>
        </w:rPr>
        <w:t>074.741 hectares.</w:t>
      </w:r>
      <w:r w:rsidR="004A51CF" w:rsidRPr="00497352">
        <w:rPr>
          <w:rFonts w:ascii="Times New Roman" w:hAnsi="Times New Roman" w:cs="Times New Roman"/>
          <w:sz w:val="24"/>
          <w:szCs w:val="24"/>
        </w:rPr>
        <w:t xml:space="preserve"> The gazetted land had however bee</w:t>
      </w:r>
      <w:r w:rsidR="0027751D" w:rsidRPr="00497352">
        <w:rPr>
          <w:rFonts w:ascii="Times New Roman" w:hAnsi="Times New Roman" w:cs="Times New Roman"/>
          <w:sz w:val="24"/>
          <w:szCs w:val="24"/>
        </w:rPr>
        <w:t>n subdivided into 3 lots. Considering that it had acquired the whole land</w:t>
      </w:r>
      <w:r w:rsidR="004223C4" w:rsidRPr="00497352">
        <w:rPr>
          <w:rFonts w:ascii="Times New Roman" w:hAnsi="Times New Roman" w:cs="Times New Roman"/>
          <w:sz w:val="24"/>
          <w:szCs w:val="24"/>
        </w:rPr>
        <w:t>,</w:t>
      </w:r>
      <w:r w:rsidR="0027751D" w:rsidRPr="00497352">
        <w:rPr>
          <w:rFonts w:ascii="Times New Roman" w:hAnsi="Times New Roman" w:cs="Times New Roman"/>
          <w:sz w:val="24"/>
          <w:szCs w:val="24"/>
        </w:rPr>
        <w:t xml:space="preserve"> the acquiring </w:t>
      </w:r>
      <w:r w:rsidR="005578CE" w:rsidRPr="00497352">
        <w:rPr>
          <w:rFonts w:ascii="Times New Roman" w:hAnsi="Times New Roman" w:cs="Times New Roman"/>
          <w:sz w:val="24"/>
          <w:szCs w:val="24"/>
        </w:rPr>
        <w:t>Authority offered lot 1 to the first</w:t>
      </w:r>
      <w:r w:rsidR="0027751D" w:rsidRPr="00497352">
        <w:rPr>
          <w:rFonts w:ascii="Times New Roman" w:hAnsi="Times New Roman" w:cs="Times New Roman"/>
          <w:sz w:val="24"/>
          <w:szCs w:val="24"/>
        </w:rPr>
        <w:t xml:space="preserve"> respondent</w:t>
      </w:r>
      <w:r w:rsidR="0002240A" w:rsidRPr="00497352">
        <w:rPr>
          <w:rFonts w:ascii="Times New Roman" w:hAnsi="Times New Roman" w:cs="Times New Roman"/>
          <w:sz w:val="24"/>
          <w:szCs w:val="24"/>
        </w:rPr>
        <w:t xml:space="preserve"> Kennedy </w:t>
      </w:r>
      <w:proofErr w:type="spellStart"/>
      <w:r w:rsidR="0002240A" w:rsidRPr="00497352">
        <w:rPr>
          <w:rFonts w:ascii="Times New Roman" w:hAnsi="Times New Roman" w:cs="Times New Roman"/>
          <w:sz w:val="24"/>
          <w:szCs w:val="24"/>
        </w:rPr>
        <w:t>Mangenje</w:t>
      </w:r>
      <w:proofErr w:type="spellEnd"/>
      <w:r w:rsidR="0002240A" w:rsidRPr="00497352">
        <w:rPr>
          <w:rFonts w:ascii="Times New Roman" w:hAnsi="Times New Roman" w:cs="Times New Roman"/>
          <w:sz w:val="24"/>
          <w:szCs w:val="24"/>
        </w:rPr>
        <w:t xml:space="preserve"> </w:t>
      </w:r>
      <w:r w:rsidR="0027751D" w:rsidRPr="00497352">
        <w:rPr>
          <w:rFonts w:ascii="Times New Roman" w:hAnsi="Times New Roman" w:cs="Times New Roman"/>
          <w:sz w:val="24"/>
          <w:szCs w:val="24"/>
        </w:rPr>
        <w:t>as compensation for his farm which</w:t>
      </w:r>
      <w:r w:rsidR="004223C4" w:rsidRPr="00497352">
        <w:rPr>
          <w:rFonts w:ascii="Times New Roman" w:hAnsi="Times New Roman" w:cs="Times New Roman"/>
          <w:sz w:val="24"/>
          <w:szCs w:val="24"/>
        </w:rPr>
        <w:t xml:space="preserve"> </w:t>
      </w:r>
      <w:r w:rsidR="00C81386" w:rsidRPr="00497352">
        <w:rPr>
          <w:rFonts w:ascii="Times New Roman" w:hAnsi="Times New Roman" w:cs="Times New Roman"/>
          <w:sz w:val="24"/>
          <w:szCs w:val="24"/>
        </w:rPr>
        <w:t>it</w:t>
      </w:r>
      <w:r w:rsidR="0027751D" w:rsidRPr="00497352">
        <w:rPr>
          <w:rFonts w:ascii="Times New Roman" w:hAnsi="Times New Roman" w:cs="Times New Roman"/>
          <w:sz w:val="24"/>
          <w:szCs w:val="24"/>
        </w:rPr>
        <w:t xml:space="preserve"> had compulsorily acquire</w:t>
      </w:r>
      <w:r w:rsidR="004223C4" w:rsidRPr="00497352">
        <w:rPr>
          <w:rFonts w:ascii="Times New Roman" w:hAnsi="Times New Roman" w:cs="Times New Roman"/>
          <w:sz w:val="24"/>
          <w:szCs w:val="24"/>
        </w:rPr>
        <w:t>d</w:t>
      </w:r>
      <w:r w:rsidR="0027751D" w:rsidRPr="00497352">
        <w:rPr>
          <w:rFonts w:ascii="Times New Roman" w:hAnsi="Times New Roman" w:cs="Times New Roman"/>
          <w:sz w:val="24"/>
          <w:szCs w:val="24"/>
        </w:rPr>
        <w:t xml:space="preserve"> and distributed to other beneficiaries.</w:t>
      </w:r>
      <w:r w:rsidR="005578CE" w:rsidRPr="00497352">
        <w:rPr>
          <w:rFonts w:ascii="Times New Roman" w:hAnsi="Times New Roman" w:cs="Times New Roman"/>
          <w:sz w:val="24"/>
          <w:szCs w:val="24"/>
        </w:rPr>
        <w:t xml:space="preserve"> The first</w:t>
      </w:r>
      <w:r w:rsidR="004223C4" w:rsidRPr="00497352">
        <w:rPr>
          <w:rFonts w:ascii="Times New Roman" w:hAnsi="Times New Roman" w:cs="Times New Roman"/>
          <w:sz w:val="24"/>
          <w:szCs w:val="24"/>
        </w:rPr>
        <w:t xml:space="preserve"> respondent accepted the offer.</w:t>
      </w:r>
    </w:p>
    <w:p w:rsidR="003771B5" w:rsidRPr="00497352" w:rsidRDefault="003771B5" w:rsidP="00762D44">
      <w:pPr>
        <w:spacing w:after="0" w:line="480" w:lineRule="auto"/>
        <w:ind w:firstLine="1134"/>
        <w:jc w:val="both"/>
        <w:rPr>
          <w:rFonts w:ascii="Times New Roman" w:hAnsi="Times New Roman" w:cs="Times New Roman"/>
          <w:sz w:val="24"/>
          <w:szCs w:val="24"/>
        </w:rPr>
      </w:pPr>
    </w:p>
    <w:p w:rsidR="004223C4" w:rsidRPr="00497352" w:rsidRDefault="004223C4" w:rsidP="00670D88">
      <w:pPr>
        <w:spacing w:after="0" w:line="480" w:lineRule="auto"/>
        <w:ind w:firstLine="1134"/>
        <w:jc w:val="both"/>
        <w:rPr>
          <w:rFonts w:ascii="Times New Roman" w:hAnsi="Times New Roman" w:cs="Times New Roman"/>
          <w:sz w:val="24"/>
          <w:szCs w:val="24"/>
        </w:rPr>
      </w:pPr>
      <w:r w:rsidRPr="00497352">
        <w:rPr>
          <w:rFonts w:ascii="Times New Roman" w:hAnsi="Times New Roman" w:cs="Times New Roman"/>
          <w:sz w:val="24"/>
          <w:szCs w:val="24"/>
        </w:rPr>
        <w:t xml:space="preserve">The offer letter </w:t>
      </w:r>
      <w:r w:rsidR="0002240A" w:rsidRPr="00497352">
        <w:rPr>
          <w:rFonts w:ascii="Times New Roman" w:hAnsi="Times New Roman" w:cs="Times New Roman"/>
          <w:sz w:val="24"/>
          <w:szCs w:val="24"/>
        </w:rPr>
        <w:t xml:space="preserve">addressed to the </w:t>
      </w:r>
      <w:r w:rsidR="005578CE" w:rsidRPr="00497352">
        <w:rPr>
          <w:rFonts w:ascii="Times New Roman" w:hAnsi="Times New Roman" w:cs="Times New Roman"/>
          <w:sz w:val="24"/>
          <w:szCs w:val="24"/>
        </w:rPr>
        <w:t>first</w:t>
      </w:r>
      <w:r w:rsidR="0002240A" w:rsidRPr="00497352">
        <w:rPr>
          <w:rFonts w:ascii="Times New Roman" w:hAnsi="Times New Roman" w:cs="Times New Roman"/>
          <w:sz w:val="24"/>
          <w:szCs w:val="24"/>
        </w:rPr>
        <w:t xml:space="preserve"> respondent and </w:t>
      </w:r>
      <w:r w:rsidRPr="00497352">
        <w:rPr>
          <w:rFonts w:ascii="Times New Roman" w:hAnsi="Times New Roman" w:cs="Times New Roman"/>
          <w:sz w:val="24"/>
          <w:szCs w:val="24"/>
        </w:rPr>
        <w:t>dated 7 August 2006 reads in Part:</w:t>
      </w:r>
    </w:p>
    <w:p w:rsidR="0002240A" w:rsidRPr="00497352" w:rsidRDefault="004223C4" w:rsidP="00762D44">
      <w:pPr>
        <w:spacing w:after="0" w:line="240" w:lineRule="auto"/>
        <w:jc w:val="both"/>
        <w:rPr>
          <w:rFonts w:ascii="Times New Roman" w:hAnsi="Times New Roman" w:cs="Times New Roman"/>
          <w:sz w:val="24"/>
          <w:szCs w:val="24"/>
        </w:rPr>
      </w:pPr>
      <w:r w:rsidRPr="00497352">
        <w:rPr>
          <w:rFonts w:ascii="Times New Roman" w:hAnsi="Times New Roman" w:cs="Times New Roman"/>
          <w:sz w:val="24"/>
          <w:szCs w:val="24"/>
        </w:rPr>
        <w:tab/>
      </w:r>
      <w:r w:rsidR="0002240A" w:rsidRPr="00497352">
        <w:rPr>
          <w:rFonts w:ascii="Times New Roman" w:hAnsi="Times New Roman" w:cs="Times New Roman"/>
          <w:sz w:val="24"/>
          <w:szCs w:val="24"/>
        </w:rPr>
        <w:t>“Dear Sir/Madam</w:t>
      </w:r>
    </w:p>
    <w:p w:rsidR="0002240A" w:rsidRPr="00497352" w:rsidRDefault="0002240A" w:rsidP="00762D44">
      <w:pPr>
        <w:spacing w:after="0" w:line="240" w:lineRule="auto"/>
        <w:ind w:left="720"/>
        <w:jc w:val="both"/>
        <w:rPr>
          <w:rFonts w:ascii="Times New Roman" w:hAnsi="Times New Roman" w:cs="Times New Roman"/>
          <w:sz w:val="24"/>
          <w:szCs w:val="24"/>
          <w:u w:val="single"/>
        </w:rPr>
      </w:pPr>
      <w:r w:rsidRPr="00497352">
        <w:rPr>
          <w:rFonts w:ascii="Times New Roman" w:hAnsi="Times New Roman" w:cs="Times New Roman"/>
          <w:sz w:val="24"/>
          <w:szCs w:val="24"/>
          <w:u w:val="single"/>
        </w:rPr>
        <w:t>Re: OFFER OF LAND HOLDING UNDER THE LAND REFORM AND</w:t>
      </w:r>
      <w:r w:rsidR="001113DC" w:rsidRPr="00497352">
        <w:rPr>
          <w:rFonts w:ascii="Times New Roman" w:hAnsi="Times New Roman" w:cs="Times New Roman"/>
          <w:sz w:val="24"/>
          <w:szCs w:val="24"/>
          <w:u w:val="single"/>
        </w:rPr>
        <w:t xml:space="preserve"> RESETTLEMENT PROGRAMME. (MODEL A</w:t>
      </w:r>
      <w:r w:rsidRPr="00497352">
        <w:rPr>
          <w:rFonts w:ascii="Times New Roman" w:hAnsi="Times New Roman" w:cs="Times New Roman"/>
          <w:sz w:val="24"/>
          <w:szCs w:val="24"/>
          <w:u w:val="single"/>
        </w:rPr>
        <w:t>2 PHASE II0</w:t>
      </w:r>
    </w:p>
    <w:p w:rsidR="0002240A" w:rsidRPr="00497352" w:rsidRDefault="0002240A" w:rsidP="00762D44">
      <w:pPr>
        <w:pStyle w:val="ListParagraph"/>
        <w:numPr>
          <w:ilvl w:val="0"/>
          <w:numId w:val="5"/>
        </w:numPr>
        <w:spacing w:after="0" w:line="240" w:lineRule="auto"/>
        <w:jc w:val="both"/>
        <w:rPr>
          <w:rFonts w:ascii="Times New Roman" w:hAnsi="Times New Roman" w:cs="Times New Roman"/>
          <w:sz w:val="24"/>
          <w:szCs w:val="24"/>
        </w:rPr>
      </w:pPr>
      <w:r w:rsidRPr="00497352">
        <w:rPr>
          <w:rFonts w:ascii="Times New Roman" w:hAnsi="Times New Roman" w:cs="Times New Roman"/>
          <w:sz w:val="24"/>
          <w:szCs w:val="24"/>
        </w:rPr>
        <w:t>The Minister of Sta</w:t>
      </w:r>
      <w:r w:rsidR="00A61081" w:rsidRPr="00497352">
        <w:rPr>
          <w:rFonts w:ascii="Times New Roman" w:hAnsi="Times New Roman" w:cs="Times New Roman"/>
          <w:sz w:val="24"/>
          <w:szCs w:val="24"/>
        </w:rPr>
        <w:t xml:space="preserve">te for National Security, Lands. Land Reform and Resettlement in the President’s Office has the pleasure in informing you that your application for land under Model A2 Scheme has been successful. </w:t>
      </w:r>
    </w:p>
    <w:p w:rsidR="00A61081" w:rsidRPr="00497352" w:rsidRDefault="00A61081" w:rsidP="00762D44">
      <w:pPr>
        <w:pStyle w:val="ListParagraph"/>
        <w:numPr>
          <w:ilvl w:val="0"/>
          <w:numId w:val="5"/>
        </w:numPr>
        <w:spacing w:after="0" w:line="240" w:lineRule="auto"/>
        <w:jc w:val="both"/>
        <w:rPr>
          <w:rFonts w:ascii="Times New Roman" w:hAnsi="Times New Roman" w:cs="Times New Roman"/>
          <w:sz w:val="24"/>
          <w:szCs w:val="24"/>
        </w:rPr>
      </w:pPr>
      <w:r w:rsidRPr="00497352">
        <w:rPr>
          <w:rFonts w:ascii="Times New Roman" w:hAnsi="Times New Roman" w:cs="Times New Roman"/>
          <w:sz w:val="24"/>
          <w:szCs w:val="24"/>
        </w:rPr>
        <w:t xml:space="preserve">You are offered </w:t>
      </w:r>
      <w:r w:rsidR="00743163" w:rsidRPr="00497352">
        <w:rPr>
          <w:rFonts w:ascii="Times New Roman" w:hAnsi="Times New Roman" w:cs="Times New Roman"/>
          <w:sz w:val="24"/>
          <w:szCs w:val="24"/>
        </w:rPr>
        <w:t xml:space="preserve">Subdivision 1 </w:t>
      </w:r>
      <w:r w:rsidRPr="00497352">
        <w:rPr>
          <w:rFonts w:ascii="Times New Roman" w:hAnsi="Times New Roman" w:cs="Times New Roman"/>
          <w:sz w:val="24"/>
          <w:szCs w:val="24"/>
        </w:rPr>
        <w:t xml:space="preserve">of R/E </w:t>
      </w:r>
      <w:r w:rsidR="00844907" w:rsidRPr="00497352">
        <w:rPr>
          <w:rFonts w:ascii="Times New Roman" w:hAnsi="Times New Roman" w:cs="Times New Roman"/>
          <w:sz w:val="24"/>
          <w:szCs w:val="24"/>
        </w:rPr>
        <w:t>of STUHM</w:t>
      </w:r>
      <w:r w:rsidR="00762D44" w:rsidRPr="00497352">
        <w:rPr>
          <w:rFonts w:ascii="Times New Roman" w:hAnsi="Times New Roman" w:cs="Times New Roman"/>
          <w:sz w:val="24"/>
          <w:szCs w:val="24"/>
        </w:rPr>
        <w:t xml:space="preserve"> i</w:t>
      </w:r>
      <w:r w:rsidR="00844907" w:rsidRPr="00497352">
        <w:rPr>
          <w:rFonts w:ascii="Times New Roman" w:hAnsi="Times New Roman" w:cs="Times New Roman"/>
          <w:sz w:val="24"/>
          <w:szCs w:val="24"/>
        </w:rPr>
        <w:t>n GOROMONZI</w:t>
      </w:r>
      <w:r w:rsidR="00762D44" w:rsidRPr="00497352">
        <w:rPr>
          <w:rFonts w:ascii="Times New Roman" w:hAnsi="Times New Roman" w:cs="Times New Roman"/>
          <w:sz w:val="24"/>
          <w:szCs w:val="24"/>
        </w:rPr>
        <w:t xml:space="preserve"> </w:t>
      </w:r>
      <w:r w:rsidR="00844907" w:rsidRPr="00497352">
        <w:rPr>
          <w:rFonts w:ascii="Times New Roman" w:hAnsi="Times New Roman" w:cs="Times New Roman"/>
          <w:sz w:val="24"/>
          <w:szCs w:val="24"/>
        </w:rPr>
        <w:t>District of MASHONALAND PROVINCE</w:t>
      </w:r>
      <w:r w:rsidR="00762D44" w:rsidRPr="00497352">
        <w:rPr>
          <w:rFonts w:ascii="Times New Roman" w:hAnsi="Times New Roman" w:cs="Times New Roman"/>
          <w:sz w:val="24"/>
          <w:szCs w:val="24"/>
        </w:rPr>
        <w:t xml:space="preserve"> </w:t>
      </w:r>
      <w:r w:rsidR="00844907" w:rsidRPr="00497352">
        <w:rPr>
          <w:rFonts w:ascii="Times New Roman" w:hAnsi="Times New Roman" w:cs="Times New Roman"/>
          <w:sz w:val="24"/>
          <w:szCs w:val="24"/>
        </w:rPr>
        <w:t>for agricultural purposes. Th</w:t>
      </w:r>
      <w:r w:rsidR="00762D44" w:rsidRPr="00497352">
        <w:rPr>
          <w:rFonts w:ascii="Times New Roman" w:hAnsi="Times New Roman" w:cs="Times New Roman"/>
          <w:sz w:val="24"/>
          <w:szCs w:val="24"/>
        </w:rPr>
        <w:t xml:space="preserve">e farm is approximately 534.00 </w:t>
      </w:r>
      <w:r w:rsidR="00844907" w:rsidRPr="00497352">
        <w:rPr>
          <w:rFonts w:ascii="Times New Roman" w:hAnsi="Times New Roman" w:cs="Times New Roman"/>
          <w:sz w:val="24"/>
          <w:szCs w:val="24"/>
        </w:rPr>
        <w:t>hectares in extent.</w:t>
      </w:r>
    </w:p>
    <w:p w:rsidR="00844907" w:rsidRPr="00497352" w:rsidRDefault="00844907" w:rsidP="00762D44">
      <w:pPr>
        <w:pStyle w:val="ListParagraph"/>
        <w:numPr>
          <w:ilvl w:val="0"/>
          <w:numId w:val="5"/>
        </w:numPr>
        <w:spacing w:after="0" w:line="240" w:lineRule="auto"/>
        <w:jc w:val="both"/>
        <w:rPr>
          <w:rFonts w:ascii="Times New Roman" w:hAnsi="Times New Roman" w:cs="Times New Roman"/>
          <w:sz w:val="24"/>
          <w:szCs w:val="24"/>
        </w:rPr>
      </w:pPr>
      <w:r w:rsidRPr="00497352">
        <w:rPr>
          <w:rFonts w:ascii="Times New Roman" w:hAnsi="Times New Roman" w:cs="Times New Roman"/>
          <w:sz w:val="24"/>
          <w:szCs w:val="24"/>
        </w:rPr>
        <w:t xml:space="preserve">The offer is made in </w:t>
      </w:r>
      <w:r w:rsidR="00D037C3" w:rsidRPr="00497352">
        <w:rPr>
          <w:rFonts w:ascii="Times New Roman" w:hAnsi="Times New Roman" w:cs="Times New Roman"/>
          <w:sz w:val="24"/>
          <w:szCs w:val="24"/>
        </w:rPr>
        <w:t xml:space="preserve">terms of the Agricultural Land Settlement Act [Chapter 20:01] whose provisions you are advised to </w:t>
      </w:r>
      <w:r w:rsidR="00003E10" w:rsidRPr="00497352">
        <w:rPr>
          <w:rFonts w:ascii="Times New Roman" w:hAnsi="Times New Roman" w:cs="Times New Roman"/>
          <w:sz w:val="24"/>
          <w:szCs w:val="24"/>
        </w:rPr>
        <w:t>acquaint</w:t>
      </w:r>
      <w:r w:rsidR="00D037C3" w:rsidRPr="00497352">
        <w:rPr>
          <w:rFonts w:ascii="Times New Roman" w:hAnsi="Times New Roman" w:cs="Times New Roman"/>
          <w:sz w:val="24"/>
          <w:szCs w:val="24"/>
        </w:rPr>
        <w:t xml:space="preserve"> yourself </w:t>
      </w:r>
      <w:r w:rsidR="00003E10" w:rsidRPr="00497352">
        <w:rPr>
          <w:rFonts w:ascii="Times New Roman" w:hAnsi="Times New Roman" w:cs="Times New Roman"/>
          <w:sz w:val="24"/>
          <w:szCs w:val="24"/>
        </w:rPr>
        <w:t>with</w:t>
      </w:r>
      <w:r w:rsidR="00D037C3" w:rsidRPr="00497352">
        <w:rPr>
          <w:rFonts w:ascii="Times New Roman" w:hAnsi="Times New Roman" w:cs="Times New Roman"/>
          <w:sz w:val="24"/>
          <w:szCs w:val="24"/>
        </w:rPr>
        <w:t>. Conditions that go with the offer are attached.”</w:t>
      </w:r>
    </w:p>
    <w:p w:rsidR="00844907" w:rsidRPr="00497352" w:rsidRDefault="00844907" w:rsidP="00670D88">
      <w:pPr>
        <w:pStyle w:val="ListParagraph"/>
        <w:spacing w:after="0" w:line="480" w:lineRule="auto"/>
        <w:ind w:left="1080"/>
        <w:jc w:val="both"/>
        <w:rPr>
          <w:rFonts w:ascii="Times New Roman" w:hAnsi="Times New Roman" w:cs="Times New Roman"/>
          <w:sz w:val="24"/>
          <w:szCs w:val="24"/>
        </w:rPr>
      </w:pPr>
    </w:p>
    <w:p w:rsidR="00762D44" w:rsidRPr="00497352" w:rsidRDefault="00762D44" w:rsidP="00762D44">
      <w:pPr>
        <w:pStyle w:val="ListParagraph"/>
        <w:spacing w:after="0" w:line="240" w:lineRule="auto"/>
        <w:ind w:left="1080"/>
        <w:jc w:val="both"/>
        <w:rPr>
          <w:rFonts w:ascii="Times New Roman" w:hAnsi="Times New Roman" w:cs="Times New Roman"/>
          <w:sz w:val="24"/>
          <w:szCs w:val="24"/>
        </w:rPr>
      </w:pPr>
    </w:p>
    <w:p w:rsidR="00EF39DB" w:rsidRPr="00497352" w:rsidRDefault="00E00ED8" w:rsidP="00670D88">
      <w:pPr>
        <w:spacing w:after="0" w:line="480" w:lineRule="auto"/>
        <w:ind w:firstLine="1134"/>
        <w:jc w:val="both"/>
        <w:rPr>
          <w:rFonts w:ascii="Times New Roman" w:hAnsi="Times New Roman" w:cs="Times New Roman"/>
          <w:sz w:val="24"/>
          <w:szCs w:val="24"/>
        </w:rPr>
      </w:pPr>
      <w:r w:rsidRPr="00497352">
        <w:rPr>
          <w:rFonts w:ascii="Times New Roman" w:hAnsi="Times New Roman" w:cs="Times New Roman"/>
          <w:sz w:val="24"/>
          <w:szCs w:val="24"/>
        </w:rPr>
        <w:t>In summary what was gazetted was the whole of</w:t>
      </w:r>
      <w:r w:rsidR="000F7F89" w:rsidRPr="00497352">
        <w:rPr>
          <w:rFonts w:ascii="Times New Roman" w:hAnsi="Times New Roman" w:cs="Times New Roman"/>
          <w:sz w:val="24"/>
          <w:szCs w:val="24"/>
        </w:rPr>
        <w:t xml:space="preserve"> the original </w:t>
      </w:r>
      <w:r w:rsidR="00FB31D0" w:rsidRPr="00497352">
        <w:rPr>
          <w:rFonts w:ascii="Times New Roman" w:hAnsi="Times New Roman" w:cs="Times New Roman"/>
          <w:sz w:val="24"/>
          <w:szCs w:val="24"/>
        </w:rPr>
        <w:t xml:space="preserve">Remaining </w:t>
      </w:r>
      <w:r w:rsidR="000F7F89" w:rsidRPr="00497352">
        <w:rPr>
          <w:rFonts w:ascii="Times New Roman" w:hAnsi="Times New Roman" w:cs="Times New Roman"/>
          <w:sz w:val="24"/>
          <w:szCs w:val="24"/>
        </w:rPr>
        <w:t xml:space="preserve">Extent of </w:t>
      </w:r>
      <w:proofErr w:type="spellStart"/>
      <w:r w:rsidR="000F7F89" w:rsidRPr="00497352">
        <w:rPr>
          <w:rFonts w:ascii="Times New Roman" w:hAnsi="Times New Roman" w:cs="Times New Roman"/>
          <w:sz w:val="24"/>
          <w:szCs w:val="24"/>
        </w:rPr>
        <w:t>Stuhm</w:t>
      </w:r>
      <w:proofErr w:type="spellEnd"/>
      <w:r w:rsidR="00BF1CC8" w:rsidRPr="00497352">
        <w:rPr>
          <w:rFonts w:ascii="Times New Roman" w:hAnsi="Times New Roman" w:cs="Times New Roman"/>
          <w:sz w:val="24"/>
          <w:szCs w:val="24"/>
        </w:rPr>
        <w:t xml:space="preserve">. However, </w:t>
      </w:r>
      <w:r w:rsidR="000F7F89" w:rsidRPr="00497352">
        <w:rPr>
          <w:rFonts w:ascii="Times New Roman" w:hAnsi="Times New Roman" w:cs="Times New Roman"/>
          <w:sz w:val="24"/>
          <w:szCs w:val="24"/>
        </w:rPr>
        <w:t>lots 2 and 3 had already been sold and ceased to be part of the original block</w:t>
      </w:r>
      <w:r w:rsidR="003E008B" w:rsidRPr="00497352">
        <w:rPr>
          <w:rFonts w:ascii="Times New Roman" w:hAnsi="Times New Roman" w:cs="Times New Roman"/>
          <w:sz w:val="24"/>
          <w:szCs w:val="24"/>
        </w:rPr>
        <w:t xml:space="preserve"> of land. Lot</w:t>
      </w:r>
      <w:r w:rsidR="000F7F89" w:rsidRPr="00497352">
        <w:rPr>
          <w:rFonts w:ascii="Times New Roman" w:hAnsi="Times New Roman" w:cs="Times New Roman"/>
          <w:sz w:val="24"/>
          <w:szCs w:val="24"/>
        </w:rPr>
        <w:t xml:space="preserve"> </w:t>
      </w:r>
      <w:r w:rsidR="009432BB" w:rsidRPr="00497352">
        <w:rPr>
          <w:rFonts w:ascii="Times New Roman" w:hAnsi="Times New Roman" w:cs="Times New Roman"/>
          <w:sz w:val="24"/>
          <w:szCs w:val="24"/>
        </w:rPr>
        <w:t>1</w:t>
      </w:r>
      <w:r w:rsidR="009B251D" w:rsidRPr="00497352">
        <w:rPr>
          <w:rFonts w:ascii="Times New Roman" w:hAnsi="Times New Roman" w:cs="Times New Roman"/>
          <w:sz w:val="24"/>
          <w:szCs w:val="24"/>
        </w:rPr>
        <w:t xml:space="preserve"> thus</w:t>
      </w:r>
      <w:r w:rsidR="00733504" w:rsidRPr="00497352">
        <w:rPr>
          <w:rFonts w:ascii="Times New Roman" w:hAnsi="Times New Roman" w:cs="Times New Roman"/>
          <w:sz w:val="24"/>
          <w:szCs w:val="24"/>
        </w:rPr>
        <w:t xml:space="preserve"> remained as part of the remaining extent of the </w:t>
      </w:r>
      <w:r w:rsidR="003A2257" w:rsidRPr="00497352">
        <w:rPr>
          <w:rFonts w:ascii="Times New Roman" w:hAnsi="Times New Roman" w:cs="Times New Roman"/>
          <w:sz w:val="24"/>
          <w:szCs w:val="24"/>
        </w:rPr>
        <w:t xml:space="preserve">whole </w:t>
      </w:r>
      <w:r w:rsidR="00733504" w:rsidRPr="00497352">
        <w:rPr>
          <w:rFonts w:ascii="Times New Roman" w:hAnsi="Times New Roman" w:cs="Times New Roman"/>
          <w:sz w:val="24"/>
          <w:szCs w:val="24"/>
        </w:rPr>
        <w:t xml:space="preserve">original block of land. It stands to reason that when the acquiring authority </w:t>
      </w:r>
      <w:r w:rsidR="00AD3E34" w:rsidRPr="00497352">
        <w:rPr>
          <w:rFonts w:ascii="Times New Roman" w:hAnsi="Times New Roman" w:cs="Times New Roman"/>
          <w:sz w:val="24"/>
          <w:szCs w:val="24"/>
        </w:rPr>
        <w:t>gazetted</w:t>
      </w:r>
      <w:r w:rsidR="00733504" w:rsidRPr="00497352">
        <w:rPr>
          <w:rFonts w:ascii="Times New Roman" w:hAnsi="Times New Roman" w:cs="Times New Roman"/>
          <w:sz w:val="24"/>
          <w:szCs w:val="24"/>
        </w:rPr>
        <w:t xml:space="preserve"> the whole of the</w:t>
      </w:r>
      <w:r w:rsidR="00AD3E34" w:rsidRPr="00497352">
        <w:rPr>
          <w:rFonts w:ascii="Times New Roman" w:hAnsi="Times New Roman" w:cs="Times New Roman"/>
          <w:sz w:val="24"/>
          <w:szCs w:val="24"/>
        </w:rPr>
        <w:t xml:space="preserve"> original </w:t>
      </w:r>
      <w:r w:rsidR="003A2257" w:rsidRPr="00497352">
        <w:rPr>
          <w:rFonts w:ascii="Times New Roman" w:hAnsi="Times New Roman" w:cs="Times New Roman"/>
          <w:sz w:val="24"/>
          <w:szCs w:val="24"/>
        </w:rPr>
        <w:t>R</w:t>
      </w:r>
      <w:r w:rsidR="00760793" w:rsidRPr="00497352">
        <w:rPr>
          <w:rFonts w:ascii="Times New Roman" w:hAnsi="Times New Roman" w:cs="Times New Roman"/>
          <w:sz w:val="24"/>
          <w:szCs w:val="24"/>
        </w:rPr>
        <w:t>emaining E</w:t>
      </w:r>
      <w:r w:rsidR="002A4F20" w:rsidRPr="00497352">
        <w:rPr>
          <w:rFonts w:ascii="Times New Roman" w:hAnsi="Times New Roman" w:cs="Times New Roman"/>
          <w:sz w:val="24"/>
          <w:szCs w:val="24"/>
        </w:rPr>
        <w:t xml:space="preserve">xtent of </w:t>
      </w:r>
      <w:proofErr w:type="spellStart"/>
      <w:r w:rsidR="002A4F20" w:rsidRPr="00497352">
        <w:rPr>
          <w:rFonts w:ascii="Times New Roman" w:hAnsi="Times New Roman" w:cs="Times New Roman"/>
          <w:sz w:val="24"/>
          <w:szCs w:val="24"/>
        </w:rPr>
        <w:t>Stuhm</w:t>
      </w:r>
      <w:proofErr w:type="spellEnd"/>
      <w:r w:rsidR="002A4F20" w:rsidRPr="00497352">
        <w:rPr>
          <w:rFonts w:ascii="Times New Roman" w:hAnsi="Times New Roman" w:cs="Times New Roman"/>
          <w:sz w:val="24"/>
          <w:szCs w:val="24"/>
        </w:rPr>
        <w:t xml:space="preserve">, lot </w:t>
      </w:r>
      <w:r w:rsidR="003A2257" w:rsidRPr="00497352">
        <w:rPr>
          <w:rFonts w:ascii="Times New Roman" w:hAnsi="Times New Roman" w:cs="Times New Roman"/>
          <w:sz w:val="24"/>
          <w:szCs w:val="24"/>
        </w:rPr>
        <w:t xml:space="preserve">1 being the </w:t>
      </w:r>
      <w:r w:rsidR="00AD3E34" w:rsidRPr="00497352">
        <w:rPr>
          <w:rFonts w:ascii="Times New Roman" w:hAnsi="Times New Roman" w:cs="Times New Roman"/>
          <w:sz w:val="24"/>
          <w:szCs w:val="24"/>
        </w:rPr>
        <w:t>remaining fraction</w:t>
      </w:r>
      <w:r w:rsidR="003A2257" w:rsidRPr="00497352">
        <w:rPr>
          <w:rFonts w:ascii="Times New Roman" w:hAnsi="Times New Roman" w:cs="Times New Roman"/>
          <w:sz w:val="24"/>
          <w:szCs w:val="24"/>
        </w:rPr>
        <w:t xml:space="preserve"> of the original block was equally gazetted in tandem as part of the whole. </w:t>
      </w:r>
      <w:r w:rsidR="00EF39DB" w:rsidRPr="00497352">
        <w:rPr>
          <w:rFonts w:ascii="Times New Roman" w:hAnsi="Times New Roman" w:cs="Times New Roman"/>
          <w:sz w:val="24"/>
          <w:szCs w:val="24"/>
        </w:rPr>
        <w:t>That reasoning is anchored on the well-known maxim that the greater includes the lesser</w:t>
      </w:r>
      <w:r w:rsidR="00CC5432" w:rsidRPr="00497352">
        <w:rPr>
          <w:rFonts w:ascii="Times New Roman" w:hAnsi="Times New Roman" w:cs="Times New Roman"/>
          <w:sz w:val="24"/>
          <w:szCs w:val="24"/>
        </w:rPr>
        <w:t>,</w:t>
      </w:r>
      <w:r w:rsidR="00EF39DB" w:rsidRPr="00497352">
        <w:rPr>
          <w:rFonts w:ascii="Times New Roman" w:hAnsi="Times New Roman" w:cs="Times New Roman"/>
          <w:sz w:val="24"/>
          <w:szCs w:val="24"/>
        </w:rPr>
        <w:t xml:space="preserve"> which</w:t>
      </w:r>
      <w:r w:rsidR="00CC5432" w:rsidRPr="00497352">
        <w:rPr>
          <w:rFonts w:ascii="Times New Roman" w:hAnsi="Times New Roman" w:cs="Times New Roman"/>
          <w:sz w:val="24"/>
          <w:szCs w:val="24"/>
        </w:rPr>
        <w:t xml:space="preserve"> principle </w:t>
      </w:r>
      <w:r w:rsidR="0065443B" w:rsidRPr="00497352">
        <w:rPr>
          <w:rFonts w:ascii="Times New Roman" w:hAnsi="Times New Roman" w:cs="Times New Roman"/>
          <w:sz w:val="24"/>
          <w:szCs w:val="24"/>
        </w:rPr>
        <w:t>is</w:t>
      </w:r>
      <w:r w:rsidR="002D3603" w:rsidRPr="00497352">
        <w:rPr>
          <w:rFonts w:ascii="Times New Roman" w:hAnsi="Times New Roman" w:cs="Times New Roman"/>
          <w:sz w:val="24"/>
          <w:szCs w:val="24"/>
        </w:rPr>
        <w:t xml:space="preserve"> of universal application. See</w:t>
      </w:r>
      <w:r w:rsidR="00EF39DB" w:rsidRPr="00497352">
        <w:rPr>
          <w:rFonts w:ascii="Times New Roman" w:hAnsi="Times New Roman" w:cs="Times New Roman"/>
          <w:sz w:val="24"/>
          <w:szCs w:val="24"/>
        </w:rPr>
        <w:t xml:space="preserve"> </w:t>
      </w:r>
      <w:r w:rsidR="002D3603" w:rsidRPr="00497352">
        <w:rPr>
          <w:rFonts w:ascii="Times New Roman" w:hAnsi="Times New Roman" w:cs="Times New Roman"/>
          <w:sz w:val="24"/>
          <w:szCs w:val="24"/>
        </w:rPr>
        <w:t xml:space="preserve">City </w:t>
      </w:r>
      <w:r w:rsidR="002D3603" w:rsidRPr="00497352">
        <w:rPr>
          <w:rFonts w:ascii="Times New Roman" w:hAnsi="Times New Roman" w:cs="Times New Roman"/>
          <w:i/>
          <w:sz w:val="24"/>
          <w:szCs w:val="24"/>
        </w:rPr>
        <w:t xml:space="preserve">of </w:t>
      </w:r>
      <w:proofErr w:type="spellStart"/>
      <w:r w:rsidR="002D3603" w:rsidRPr="00497352">
        <w:rPr>
          <w:rFonts w:ascii="Times New Roman" w:hAnsi="Times New Roman" w:cs="Times New Roman"/>
          <w:i/>
          <w:sz w:val="24"/>
          <w:szCs w:val="24"/>
        </w:rPr>
        <w:t>Lakerwood</w:t>
      </w:r>
      <w:proofErr w:type="spellEnd"/>
      <w:r w:rsidR="002D3603" w:rsidRPr="00497352">
        <w:rPr>
          <w:rFonts w:ascii="Times New Roman" w:hAnsi="Times New Roman" w:cs="Times New Roman"/>
          <w:i/>
          <w:sz w:val="24"/>
          <w:szCs w:val="24"/>
        </w:rPr>
        <w:t xml:space="preserve"> v Plain Dealer Publishing Co. </w:t>
      </w:r>
      <w:r w:rsidR="002D3603" w:rsidRPr="00497352">
        <w:rPr>
          <w:rFonts w:ascii="Times New Roman" w:hAnsi="Times New Roman" w:cs="Times New Roman"/>
          <w:sz w:val="24"/>
          <w:szCs w:val="24"/>
        </w:rPr>
        <w:t xml:space="preserve">[1988] USSC 123. </w:t>
      </w:r>
      <w:r w:rsidR="0046401F" w:rsidRPr="00497352">
        <w:rPr>
          <w:rFonts w:ascii="Times New Roman" w:hAnsi="Times New Roman" w:cs="Times New Roman"/>
          <w:sz w:val="24"/>
          <w:szCs w:val="24"/>
        </w:rPr>
        <w:t xml:space="preserve">In other </w:t>
      </w:r>
      <w:proofErr w:type="gramStart"/>
      <w:r w:rsidR="0046401F" w:rsidRPr="00497352">
        <w:rPr>
          <w:rFonts w:ascii="Times New Roman" w:hAnsi="Times New Roman" w:cs="Times New Roman"/>
          <w:sz w:val="24"/>
          <w:szCs w:val="24"/>
        </w:rPr>
        <w:t>words</w:t>
      </w:r>
      <w:proofErr w:type="gramEnd"/>
      <w:r w:rsidR="0046401F" w:rsidRPr="00497352">
        <w:rPr>
          <w:rFonts w:ascii="Times New Roman" w:hAnsi="Times New Roman" w:cs="Times New Roman"/>
          <w:sz w:val="24"/>
          <w:szCs w:val="24"/>
        </w:rPr>
        <w:t xml:space="preserve"> the gazetting of a whole piece of land includes the gazetting of a fraction of that land.</w:t>
      </w:r>
    </w:p>
    <w:p w:rsidR="00E00ED8" w:rsidRPr="00497352" w:rsidRDefault="006545EF" w:rsidP="00670D88">
      <w:pPr>
        <w:spacing w:after="0" w:line="480" w:lineRule="auto"/>
        <w:ind w:firstLine="1134"/>
        <w:jc w:val="both"/>
        <w:rPr>
          <w:rFonts w:ascii="Times New Roman" w:hAnsi="Times New Roman" w:cs="Times New Roman"/>
          <w:sz w:val="24"/>
          <w:szCs w:val="24"/>
        </w:rPr>
      </w:pPr>
      <w:r w:rsidRPr="00497352">
        <w:rPr>
          <w:rFonts w:ascii="Times New Roman" w:hAnsi="Times New Roman" w:cs="Times New Roman"/>
          <w:sz w:val="24"/>
          <w:szCs w:val="24"/>
        </w:rPr>
        <w:lastRenderedPageBreak/>
        <w:t>The severed lots</w:t>
      </w:r>
      <w:r w:rsidR="003A2257" w:rsidRPr="00497352">
        <w:rPr>
          <w:rFonts w:ascii="Times New Roman" w:hAnsi="Times New Roman" w:cs="Times New Roman"/>
          <w:sz w:val="24"/>
          <w:szCs w:val="24"/>
        </w:rPr>
        <w:t xml:space="preserve"> 2 and 3 were not validly </w:t>
      </w:r>
      <w:r w:rsidR="00AD3E34" w:rsidRPr="00497352">
        <w:rPr>
          <w:rFonts w:ascii="Times New Roman" w:hAnsi="Times New Roman" w:cs="Times New Roman"/>
          <w:sz w:val="24"/>
          <w:szCs w:val="24"/>
        </w:rPr>
        <w:t>gazetted</w:t>
      </w:r>
      <w:r w:rsidR="003A2257" w:rsidRPr="00497352">
        <w:rPr>
          <w:rFonts w:ascii="Times New Roman" w:hAnsi="Times New Roman" w:cs="Times New Roman"/>
          <w:sz w:val="24"/>
          <w:szCs w:val="24"/>
        </w:rPr>
        <w:t xml:space="preserve"> because they had ceased to be part of the original block and </w:t>
      </w:r>
      <w:r w:rsidR="00AD3E34" w:rsidRPr="00497352">
        <w:rPr>
          <w:rFonts w:ascii="Times New Roman" w:hAnsi="Times New Roman" w:cs="Times New Roman"/>
          <w:sz w:val="24"/>
          <w:szCs w:val="24"/>
        </w:rPr>
        <w:t>the new owners were not given notice of the intended compulsory acquisition.</w:t>
      </w:r>
    </w:p>
    <w:p w:rsidR="00762D44" w:rsidRPr="00497352" w:rsidRDefault="00762D44" w:rsidP="00670D88">
      <w:pPr>
        <w:spacing w:after="0" w:line="480" w:lineRule="auto"/>
        <w:ind w:firstLine="1134"/>
        <w:jc w:val="both"/>
        <w:rPr>
          <w:rFonts w:ascii="Times New Roman" w:hAnsi="Times New Roman" w:cs="Times New Roman"/>
          <w:sz w:val="24"/>
          <w:szCs w:val="24"/>
        </w:rPr>
      </w:pPr>
    </w:p>
    <w:p w:rsidR="003108FF" w:rsidRPr="00497352" w:rsidRDefault="00AD3E34" w:rsidP="00670D88">
      <w:pPr>
        <w:spacing w:after="0" w:line="480" w:lineRule="auto"/>
        <w:ind w:firstLine="1134"/>
        <w:jc w:val="both"/>
        <w:rPr>
          <w:rFonts w:ascii="Times New Roman" w:hAnsi="Times New Roman" w:cs="Times New Roman"/>
          <w:sz w:val="24"/>
          <w:szCs w:val="24"/>
        </w:rPr>
      </w:pPr>
      <w:r w:rsidRPr="00497352">
        <w:rPr>
          <w:rFonts w:ascii="Times New Roman" w:hAnsi="Times New Roman" w:cs="Times New Roman"/>
          <w:sz w:val="24"/>
          <w:szCs w:val="24"/>
        </w:rPr>
        <w:t>The same cannot however</w:t>
      </w:r>
      <w:r w:rsidR="007704A4" w:rsidRPr="00497352">
        <w:rPr>
          <w:rFonts w:ascii="Times New Roman" w:hAnsi="Times New Roman" w:cs="Times New Roman"/>
          <w:sz w:val="24"/>
          <w:szCs w:val="24"/>
        </w:rPr>
        <w:t>, be said of lot</w:t>
      </w:r>
      <w:r w:rsidRPr="00497352">
        <w:rPr>
          <w:rFonts w:ascii="Times New Roman" w:hAnsi="Times New Roman" w:cs="Times New Roman"/>
          <w:sz w:val="24"/>
          <w:szCs w:val="24"/>
        </w:rPr>
        <w:t xml:space="preserve"> I which remained as a fraction of the whole original </w:t>
      </w:r>
      <w:r w:rsidR="002E2762" w:rsidRPr="00497352">
        <w:rPr>
          <w:rFonts w:ascii="Times New Roman" w:hAnsi="Times New Roman" w:cs="Times New Roman"/>
          <w:sz w:val="24"/>
          <w:szCs w:val="24"/>
        </w:rPr>
        <w:t xml:space="preserve">Remaining Extent of </w:t>
      </w:r>
      <w:proofErr w:type="spellStart"/>
      <w:r w:rsidR="002E2762" w:rsidRPr="00497352">
        <w:rPr>
          <w:rFonts w:ascii="Times New Roman" w:hAnsi="Times New Roman" w:cs="Times New Roman"/>
          <w:sz w:val="24"/>
          <w:szCs w:val="24"/>
        </w:rPr>
        <w:t>Stuhm</w:t>
      </w:r>
      <w:proofErr w:type="spellEnd"/>
      <w:r w:rsidR="002E2762" w:rsidRPr="00497352">
        <w:rPr>
          <w:rFonts w:ascii="Times New Roman" w:hAnsi="Times New Roman" w:cs="Times New Roman"/>
          <w:sz w:val="24"/>
          <w:szCs w:val="24"/>
        </w:rPr>
        <w:t xml:space="preserve"> which Cecil Reimer continued to hold un</w:t>
      </w:r>
      <w:r w:rsidR="004826D5" w:rsidRPr="00497352">
        <w:rPr>
          <w:rFonts w:ascii="Times New Roman" w:hAnsi="Times New Roman" w:cs="Times New Roman"/>
          <w:sz w:val="24"/>
          <w:szCs w:val="24"/>
        </w:rPr>
        <w:t>der deed of transfer 3032/87. Just to draw</w:t>
      </w:r>
      <w:r w:rsidR="007704A4" w:rsidRPr="00497352">
        <w:rPr>
          <w:rFonts w:ascii="Times New Roman" w:hAnsi="Times New Roman" w:cs="Times New Roman"/>
          <w:sz w:val="24"/>
          <w:szCs w:val="24"/>
        </w:rPr>
        <w:t xml:space="preserve"> an</w:t>
      </w:r>
      <w:r w:rsidR="004826D5" w:rsidRPr="00497352">
        <w:rPr>
          <w:rFonts w:ascii="Times New Roman" w:hAnsi="Times New Roman" w:cs="Times New Roman"/>
          <w:sz w:val="24"/>
          <w:szCs w:val="24"/>
        </w:rPr>
        <w:t xml:space="preserve"> analogy, if the Sheriff had gi</w:t>
      </w:r>
      <w:r w:rsidR="007704A4" w:rsidRPr="00497352">
        <w:rPr>
          <w:rFonts w:ascii="Times New Roman" w:hAnsi="Times New Roman" w:cs="Times New Roman"/>
          <w:sz w:val="24"/>
          <w:szCs w:val="24"/>
        </w:rPr>
        <w:t>ven notice to attach the 3 lot</w:t>
      </w:r>
      <w:r w:rsidR="004826D5" w:rsidRPr="00497352">
        <w:rPr>
          <w:rFonts w:ascii="Times New Roman" w:hAnsi="Times New Roman" w:cs="Times New Roman"/>
          <w:sz w:val="24"/>
          <w:szCs w:val="24"/>
        </w:rPr>
        <w:t>s under the mistaken belief that they all belonged to Cecil his notice and attachment of bloc</w:t>
      </w:r>
      <w:r w:rsidR="00ED5B9D" w:rsidRPr="00497352">
        <w:rPr>
          <w:rFonts w:ascii="Times New Roman" w:hAnsi="Times New Roman" w:cs="Times New Roman"/>
          <w:sz w:val="24"/>
          <w:szCs w:val="24"/>
        </w:rPr>
        <w:t>k</w:t>
      </w:r>
      <w:r w:rsidR="004826D5" w:rsidRPr="00497352">
        <w:rPr>
          <w:rFonts w:ascii="Times New Roman" w:hAnsi="Times New Roman" w:cs="Times New Roman"/>
          <w:sz w:val="24"/>
          <w:szCs w:val="24"/>
        </w:rPr>
        <w:t xml:space="preserve"> I could not </w:t>
      </w:r>
      <w:r w:rsidR="00ED5B9D" w:rsidRPr="00497352">
        <w:rPr>
          <w:rFonts w:ascii="Times New Roman" w:hAnsi="Times New Roman" w:cs="Times New Roman"/>
          <w:sz w:val="24"/>
          <w:szCs w:val="24"/>
        </w:rPr>
        <w:t xml:space="preserve">be </w:t>
      </w:r>
      <w:r w:rsidR="004826D5" w:rsidRPr="00497352">
        <w:rPr>
          <w:rFonts w:ascii="Times New Roman" w:hAnsi="Times New Roman" w:cs="Times New Roman"/>
          <w:sz w:val="24"/>
          <w:szCs w:val="24"/>
        </w:rPr>
        <w:t xml:space="preserve">foiled simply </w:t>
      </w:r>
      <w:r w:rsidR="006545EF" w:rsidRPr="00497352">
        <w:rPr>
          <w:rFonts w:ascii="Times New Roman" w:hAnsi="Times New Roman" w:cs="Times New Roman"/>
          <w:sz w:val="24"/>
          <w:szCs w:val="24"/>
        </w:rPr>
        <w:t>because lot</w:t>
      </w:r>
      <w:r w:rsidR="00ED5B9D" w:rsidRPr="00497352">
        <w:rPr>
          <w:rFonts w:ascii="Times New Roman" w:hAnsi="Times New Roman" w:cs="Times New Roman"/>
          <w:sz w:val="24"/>
          <w:szCs w:val="24"/>
        </w:rPr>
        <w:t>s</w:t>
      </w:r>
      <w:r w:rsidR="004826D5" w:rsidRPr="00497352">
        <w:rPr>
          <w:rFonts w:ascii="Times New Roman" w:hAnsi="Times New Roman" w:cs="Times New Roman"/>
          <w:sz w:val="24"/>
          <w:szCs w:val="24"/>
        </w:rPr>
        <w:t xml:space="preserve"> 2 and 3 belonged to some other people</w:t>
      </w:r>
      <w:r w:rsidR="00ED5B9D" w:rsidRPr="00497352">
        <w:rPr>
          <w:rFonts w:ascii="Times New Roman" w:hAnsi="Times New Roman" w:cs="Times New Roman"/>
          <w:sz w:val="24"/>
          <w:szCs w:val="24"/>
        </w:rPr>
        <w:t>. The Sheriff will undoubtedly be entitl</w:t>
      </w:r>
      <w:r w:rsidR="007704A4" w:rsidRPr="00497352">
        <w:rPr>
          <w:rFonts w:ascii="Times New Roman" w:hAnsi="Times New Roman" w:cs="Times New Roman"/>
          <w:sz w:val="24"/>
          <w:szCs w:val="24"/>
        </w:rPr>
        <w:t>ed to attach the remaining lot</w:t>
      </w:r>
      <w:r w:rsidR="00ED5B9D" w:rsidRPr="00497352">
        <w:rPr>
          <w:rFonts w:ascii="Times New Roman" w:hAnsi="Times New Roman" w:cs="Times New Roman"/>
          <w:sz w:val="24"/>
          <w:szCs w:val="24"/>
        </w:rPr>
        <w:t xml:space="preserve"> 1 belonging to Cecil</w:t>
      </w:r>
      <w:r w:rsidR="00A93000" w:rsidRPr="00497352">
        <w:rPr>
          <w:rFonts w:ascii="Times New Roman" w:hAnsi="Times New Roman" w:cs="Times New Roman"/>
          <w:sz w:val="24"/>
          <w:szCs w:val="24"/>
        </w:rPr>
        <w:t xml:space="preserve"> Michael Reimer</w:t>
      </w:r>
      <w:r w:rsidR="00ED5B9D" w:rsidRPr="00497352">
        <w:rPr>
          <w:rFonts w:ascii="Times New Roman" w:hAnsi="Times New Roman" w:cs="Times New Roman"/>
          <w:sz w:val="24"/>
          <w:szCs w:val="24"/>
        </w:rPr>
        <w:t>.</w:t>
      </w:r>
      <w:r w:rsidR="00A93000" w:rsidRPr="00497352">
        <w:rPr>
          <w:rFonts w:ascii="Times New Roman" w:hAnsi="Times New Roman" w:cs="Times New Roman"/>
          <w:sz w:val="24"/>
          <w:szCs w:val="24"/>
        </w:rPr>
        <w:t xml:space="preserve"> </w:t>
      </w:r>
      <w:r w:rsidR="00CC5432" w:rsidRPr="00497352">
        <w:rPr>
          <w:rFonts w:ascii="Times New Roman" w:hAnsi="Times New Roman" w:cs="Times New Roman"/>
          <w:sz w:val="24"/>
          <w:szCs w:val="24"/>
        </w:rPr>
        <w:t xml:space="preserve"> By the same token</w:t>
      </w:r>
      <w:r w:rsidR="00A61154" w:rsidRPr="00497352">
        <w:rPr>
          <w:rFonts w:ascii="Times New Roman" w:hAnsi="Times New Roman" w:cs="Times New Roman"/>
          <w:sz w:val="24"/>
          <w:szCs w:val="24"/>
        </w:rPr>
        <w:t>,</w:t>
      </w:r>
      <w:r w:rsidR="00CC5432" w:rsidRPr="00497352">
        <w:rPr>
          <w:rFonts w:ascii="Times New Roman" w:hAnsi="Times New Roman" w:cs="Times New Roman"/>
          <w:sz w:val="24"/>
          <w:szCs w:val="24"/>
        </w:rPr>
        <w:t xml:space="preserve"> once the acquiring authority </w:t>
      </w:r>
      <w:r w:rsidR="002A4F20" w:rsidRPr="00497352">
        <w:rPr>
          <w:rFonts w:ascii="Times New Roman" w:hAnsi="Times New Roman" w:cs="Times New Roman"/>
          <w:sz w:val="24"/>
          <w:szCs w:val="24"/>
        </w:rPr>
        <w:t xml:space="preserve">had gazetted the whole original piece of land, it was entitled </w:t>
      </w:r>
      <w:r w:rsidR="007704A4" w:rsidRPr="00497352">
        <w:rPr>
          <w:rFonts w:ascii="Times New Roman" w:hAnsi="Times New Roman" w:cs="Times New Roman"/>
          <w:sz w:val="24"/>
          <w:szCs w:val="24"/>
        </w:rPr>
        <w:t>as of right</w:t>
      </w:r>
      <w:r w:rsidR="00CC5432" w:rsidRPr="00497352">
        <w:rPr>
          <w:rFonts w:ascii="Times New Roman" w:hAnsi="Times New Roman" w:cs="Times New Roman"/>
          <w:sz w:val="24"/>
          <w:szCs w:val="24"/>
        </w:rPr>
        <w:t xml:space="preserve"> </w:t>
      </w:r>
      <w:r w:rsidR="007704A4" w:rsidRPr="00497352">
        <w:rPr>
          <w:rFonts w:ascii="Times New Roman" w:hAnsi="Times New Roman" w:cs="Times New Roman"/>
          <w:sz w:val="24"/>
          <w:szCs w:val="24"/>
        </w:rPr>
        <w:t>to acquire any fraction of that land that was legally subject to acquisiti</w:t>
      </w:r>
      <w:r w:rsidR="0089369F" w:rsidRPr="00497352">
        <w:rPr>
          <w:rFonts w:ascii="Times New Roman" w:hAnsi="Times New Roman" w:cs="Times New Roman"/>
          <w:sz w:val="24"/>
          <w:szCs w:val="24"/>
        </w:rPr>
        <w:t>on in terms of the Constitution.</w:t>
      </w:r>
    </w:p>
    <w:p w:rsidR="00762D44" w:rsidRPr="00497352" w:rsidRDefault="00762D44" w:rsidP="00670D88">
      <w:pPr>
        <w:spacing w:after="0" w:line="480" w:lineRule="auto"/>
        <w:ind w:firstLine="1134"/>
        <w:jc w:val="both"/>
        <w:rPr>
          <w:rFonts w:ascii="Times New Roman" w:hAnsi="Times New Roman" w:cs="Times New Roman"/>
          <w:sz w:val="24"/>
          <w:szCs w:val="24"/>
        </w:rPr>
      </w:pPr>
    </w:p>
    <w:p w:rsidR="00D43F74" w:rsidRDefault="00D43F74" w:rsidP="00670D88">
      <w:pPr>
        <w:spacing w:after="0" w:line="480" w:lineRule="auto"/>
        <w:ind w:firstLine="1134"/>
        <w:jc w:val="both"/>
        <w:rPr>
          <w:rFonts w:ascii="Times New Roman" w:hAnsi="Times New Roman" w:cs="Times New Roman"/>
          <w:sz w:val="24"/>
          <w:szCs w:val="24"/>
        </w:rPr>
      </w:pPr>
      <w:r w:rsidRPr="00497352">
        <w:rPr>
          <w:rFonts w:ascii="Times New Roman" w:hAnsi="Times New Roman" w:cs="Times New Roman"/>
          <w:sz w:val="24"/>
          <w:szCs w:val="24"/>
        </w:rPr>
        <w:t xml:space="preserve">The appellant sought to attack the first notice </w:t>
      </w:r>
      <w:r w:rsidR="00E463E1" w:rsidRPr="00497352">
        <w:rPr>
          <w:rFonts w:ascii="Times New Roman" w:hAnsi="Times New Roman" w:cs="Times New Roman"/>
          <w:sz w:val="24"/>
          <w:szCs w:val="24"/>
        </w:rPr>
        <w:t>No. 405A of 2000 on the basis that it had expired in terms of the provisions of the Land Acquisition Act</w:t>
      </w:r>
      <w:r w:rsidR="00F158F8" w:rsidRPr="00497352">
        <w:rPr>
          <w:rFonts w:ascii="Times New Roman" w:hAnsi="Times New Roman" w:cs="Times New Roman"/>
          <w:sz w:val="24"/>
          <w:szCs w:val="24"/>
        </w:rPr>
        <w:t>. T</w:t>
      </w:r>
      <w:r w:rsidR="00E463E1" w:rsidRPr="00497352">
        <w:rPr>
          <w:rFonts w:ascii="Times New Roman" w:hAnsi="Times New Roman" w:cs="Times New Roman"/>
          <w:sz w:val="24"/>
          <w:szCs w:val="24"/>
        </w:rPr>
        <w:t xml:space="preserve">he </w:t>
      </w:r>
      <w:r w:rsidR="00F158F8" w:rsidRPr="00497352">
        <w:rPr>
          <w:rFonts w:ascii="Times New Roman" w:hAnsi="Times New Roman" w:cs="Times New Roman"/>
          <w:sz w:val="24"/>
          <w:szCs w:val="24"/>
        </w:rPr>
        <w:t>same applies to the second and third notices</w:t>
      </w:r>
      <w:r w:rsidR="00E463E1" w:rsidRPr="00497352">
        <w:rPr>
          <w:rFonts w:ascii="Times New Roman" w:hAnsi="Times New Roman" w:cs="Times New Roman"/>
          <w:sz w:val="24"/>
          <w:szCs w:val="24"/>
        </w:rPr>
        <w:t xml:space="preserve"> 298A of 2003</w:t>
      </w:r>
      <w:r w:rsidR="00F158F8" w:rsidRPr="00497352">
        <w:rPr>
          <w:rFonts w:ascii="Times New Roman" w:hAnsi="Times New Roman" w:cs="Times New Roman"/>
          <w:sz w:val="24"/>
          <w:szCs w:val="24"/>
        </w:rPr>
        <w:t xml:space="preserve"> and 323A of 2003.</w:t>
      </w:r>
      <w:r w:rsidR="002E3A7F" w:rsidRPr="00497352">
        <w:rPr>
          <w:rFonts w:ascii="Times New Roman" w:hAnsi="Times New Roman" w:cs="Times New Roman"/>
          <w:sz w:val="24"/>
          <w:szCs w:val="24"/>
        </w:rPr>
        <w:t xml:space="preserve"> It also sought to argue that the land gazetted does not exist </w:t>
      </w:r>
      <w:r w:rsidR="007F339A" w:rsidRPr="00497352">
        <w:rPr>
          <w:rFonts w:ascii="Times New Roman" w:hAnsi="Times New Roman" w:cs="Times New Roman"/>
          <w:sz w:val="24"/>
          <w:szCs w:val="24"/>
        </w:rPr>
        <w:t>simply because the gazetted land i</w:t>
      </w:r>
      <w:r w:rsidR="00762D44" w:rsidRPr="00497352">
        <w:rPr>
          <w:rFonts w:ascii="Times New Roman" w:hAnsi="Times New Roman" w:cs="Times New Roman"/>
          <w:sz w:val="24"/>
          <w:szCs w:val="24"/>
        </w:rPr>
        <w:t>s 1 704.741</w:t>
      </w:r>
      <w:r w:rsidR="007F339A" w:rsidRPr="00497352">
        <w:rPr>
          <w:rFonts w:ascii="Times New Roman" w:hAnsi="Times New Roman" w:cs="Times New Roman"/>
          <w:sz w:val="24"/>
          <w:szCs w:val="24"/>
        </w:rPr>
        <w:t xml:space="preserve"> hectares in extent whereas</w:t>
      </w:r>
      <w:r w:rsidR="00762D44" w:rsidRPr="00497352">
        <w:rPr>
          <w:rFonts w:ascii="Times New Roman" w:hAnsi="Times New Roman" w:cs="Times New Roman"/>
          <w:sz w:val="24"/>
          <w:szCs w:val="24"/>
        </w:rPr>
        <w:t xml:space="preserve"> the land in dispute is 583.136</w:t>
      </w:r>
      <w:r w:rsidR="007F339A" w:rsidRPr="00497352">
        <w:rPr>
          <w:rFonts w:ascii="Times New Roman" w:hAnsi="Times New Roman" w:cs="Times New Roman"/>
          <w:sz w:val="24"/>
          <w:szCs w:val="24"/>
        </w:rPr>
        <w:t xml:space="preserve"> hectares</w:t>
      </w:r>
      <w:r w:rsidR="007704A4" w:rsidRPr="00497352">
        <w:rPr>
          <w:rFonts w:ascii="Times New Roman" w:hAnsi="Times New Roman" w:cs="Times New Roman"/>
          <w:sz w:val="24"/>
          <w:szCs w:val="24"/>
        </w:rPr>
        <w:t xml:space="preserve"> in extent</w:t>
      </w:r>
      <w:r w:rsidR="007F339A" w:rsidRPr="00497352">
        <w:rPr>
          <w:rFonts w:ascii="Times New Roman" w:hAnsi="Times New Roman" w:cs="Times New Roman"/>
          <w:sz w:val="24"/>
          <w:szCs w:val="24"/>
        </w:rPr>
        <w:t>.</w:t>
      </w:r>
    </w:p>
    <w:p w:rsidR="003771B5" w:rsidRPr="00497352" w:rsidRDefault="003771B5" w:rsidP="00670D88">
      <w:pPr>
        <w:spacing w:after="0" w:line="480" w:lineRule="auto"/>
        <w:ind w:firstLine="1134"/>
        <w:jc w:val="both"/>
        <w:rPr>
          <w:rFonts w:ascii="Times New Roman" w:hAnsi="Times New Roman" w:cs="Times New Roman"/>
          <w:sz w:val="24"/>
          <w:szCs w:val="24"/>
        </w:rPr>
      </w:pPr>
    </w:p>
    <w:p w:rsidR="00364CA6" w:rsidRPr="00497352" w:rsidRDefault="00D36888" w:rsidP="00670D88">
      <w:pPr>
        <w:spacing w:after="0" w:line="480" w:lineRule="auto"/>
        <w:ind w:firstLine="1134"/>
        <w:jc w:val="both"/>
        <w:rPr>
          <w:rFonts w:ascii="Times New Roman" w:hAnsi="Times New Roman" w:cs="Times New Roman"/>
          <w:sz w:val="24"/>
          <w:szCs w:val="24"/>
        </w:rPr>
      </w:pPr>
      <w:r w:rsidRPr="00497352">
        <w:rPr>
          <w:rFonts w:ascii="Times New Roman" w:hAnsi="Times New Roman" w:cs="Times New Roman"/>
          <w:sz w:val="24"/>
          <w:szCs w:val="24"/>
        </w:rPr>
        <w:t>The</w:t>
      </w:r>
      <w:r w:rsidR="00FC42B3" w:rsidRPr="00497352">
        <w:rPr>
          <w:rFonts w:ascii="Times New Roman" w:hAnsi="Times New Roman" w:cs="Times New Roman"/>
          <w:sz w:val="24"/>
          <w:szCs w:val="24"/>
        </w:rPr>
        <w:t xml:space="preserve"> disputed</w:t>
      </w:r>
      <w:r w:rsidRPr="00497352">
        <w:rPr>
          <w:rFonts w:ascii="Times New Roman" w:hAnsi="Times New Roman" w:cs="Times New Roman"/>
          <w:sz w:val="24"/>
          <w:szCs w:val="24"/>
        </w:rPr>
        <w:t xml:space="preserve"> land in respect of which notice to compulsorily acquire </w:t>
      </w:r>
      <w:proofErr w:type="gramStart"/>
      <w:r w:rsidRPr="00497352">
        <w:rPr>
          <w:rFonts w:ascii="Times New Roman" w:hAnsi="Times New Roman" w:cs="Times New Roman"/>
          <w:sz w:val="24"/>
          <w:szCs w:val="24"/>
        </w:rPr>
        <w:t>was</w:t>
      </w:r>
      <w:r w:rsidR="009D35DB" w:rsidRPr="00497352">
        <w:rPr>
          <w:rFonts w:ascii="Times New Roman" w:hAnsi="Times New Roman" w:cs="Times New Roman"/>
          <w:sz w:val="24"/>
          <w:szCs w:val="24"/>
        </w:rPr>
        <w:t xml:space="preserve"> </w:t>
      </w:r>
      <w:r w:rsidRPr="00497352">
        <w:rPr>
          <w:rFonts w:ascii="Times New Roman" w:hAnsi="Times New Roman" w:cs="Times New Roman"/>
          <w:sz w:val="24"/>
          <w:szCs w:val="24"/>
        </w:rPr>
        <w:t xml:space="preserve"> given</w:t>
      </w:r>
      <w:proofErr w:type="gramEnd"/>
      <w:r w:rsidRPr="00497352">
        <w:rPr>
          <w:rFonts w:ascii="Times New Roman" w:hAnsi="Times New Roman" w:cs="Times New Roman"/>
          <w:sz w:val="24"/>
          <w:szCs w:val="24"/>
        </w:rPr>
        <w:t xml:space="preserve"> can easily be identified by employing the </w:t>
      </w:r>
      <w:r w:rsidR="007704A4" w:rsidRPr="00497352">
        <w:rPr>
          <w:rFonts w:ascii="Times New Roman" w:hAnsi="Times New Roman" w:cs="Times New Roman"/>
          <w:sz w:val="24"/>
          <w:szCs w:val="24"/>
        </w:rPr>
        <w:t>blue pencil rule to excise lot</w:t>
      </w:r>
      <w:r w:rsidRPr="00497352">
        <w:rPr>
          <w:rFonts w:ascii="Times New Roman" w:hAnsi="Times New Roman" w:cs="Times New Roman"/>
          <w:sz w:val="24"/>
          <w:szCs w:val="24"/>
        </w:rPr>
        <w:t>s 2 and 3</w:t>
      </w:r>
      <w:r w:rsidR="00ED5F68" w:rsidRPr="00497352">
        <w:rPr>
          <w:rFonts w:ascii="Times New Roman" w:hAnsi="Times New Roman" w:cs="Times New Roman"/>
          <w:sz w:val="24"/>
          <w:szCs w:val="24"/>
        </w:rPr>
        <w:t xml:space="preserve"> from the whole</w:t>
      </w:r>
      <w:r w:rsidR="002A4F20" w:rsidRPr="00497352">
        <w:rPr>
          <w:rFonts w:ascii="Times New Roman" w:hAnsi="Times New Roman" w:cs="Times New Roman"/>
          <w:sz w:val="24"/>
          <w:szCs w:val="24"/>
        </w:rPr>
        <w:t>,</w:t>
      </w:r>
      <w:r w:rsidR="00ED5F68" w:rsidRPr="00497352">
        <w:rPr>
          <w:rFonts w:ascii="Times New Roman" w:hAnsi="Times New Roman" w:cs="Times New Roman"/>
          <w:sz w:val="24"/>
          <w:szCs w:val="24"/>
        </w:rPr>
        <w:t xml:space="preserve"> leaving the land in dispute</w:t>
      </w:r>
      <w:r w:rsidR="00644A37" w:rsidRPr="00497352">
        <w:rPr>
          <w:rFonts w:ascii="Times New Roman" w:hAnsi="Times New Roman" w:cs="Times New Roman"/>
          <w:sz w:val="24"/>
          <w:szCs w:val="24"/>
        </w:rPr>
        <w:t xml:space="preserve"> intact,</w:t>
      </w:r>
      <w:r w:rsidR="00961132" w:rsidRPr="00497352">
        <w:rPr>
          <w:rFonts w:ascii="Times New Roman" w:hAnsi="Times New Roman" w:cs="Times New Roman"/>
          <w:sz w:val="24"/>
          <w:szCs w:val="24"/>
        </w:rPr>
        <w:t xml:space="preserve"> </w:t>
      </w:r>
      <w:r w:rsidR="00ED5F68" w:rsidRPr="00497352">
        <w:rPr>
          <w:rFonts w:ascii="Times New Roman" w:hAnsi="Times New Roman" w:cs="Times New Roman"/>
          <w:sz w:val="24"/>
          <w:szCs w:val="24"/>
        </w:rPr>
        <w:t xml:space="preserve"> being</w:t>
      </w:r>
      <w:r w:rsidR="007527EC" w:rsidRPr="00497352">
        <w:rPr>
          <w:rFonts w:ascii="Times New Roman" w:hAnsi="Times New Roman" w:cs="Times New Roman"/>
          <w:sz w:val="24"/>
          <w:szCs w:val="24"/>
        </w:rPr>
        <w:t xml:space="preserve"> t</w:t>
      </w:r>
      <w:r w:rsidR="00ED5F68" w:rsidRPr="00497352">
        <w:rPr>
          <w:rFonts w:ascii="Times New Roman" w:hAnsi="Times New Roman" w:cs="Times New Roman"/>
          <w:sz w:val="24"/>
          <w:szCs w:val="24"/>
        </w:rPr>
        <w:t xml:space="preserve">he Remaining extent of </w:t>
      </w:r>
      <w:proofErr w:type="spellStart"/>
      <w:r w:rsidR="00ED5F68" w:rsidRPr="00497352">
        <w:rPr>
          <w:rFonts w:ascii="Times New Roman" w:hAnsi="Times New Roman" w:cs="Times New Roman"/>
          <w:sz w:val="24"/>
          <w:szCs w:val="24"/>
        </w:rPr>
        <w:t>Stuhm</w:t>
      </w:r>
      <w:proofErr w:type="spellEnd"/>
      <w:r w:rsidR="00ED5F68" w:rsidRPr="00497352">
        <w:rPr>
          <w:rFonts w:ascii="Times New Roman" w:hAnsi="Times New Roman" w:cs="Times New Roman"/>
          <w:sz w:val="24"/>
          <w:szCs w:val="24"/>
        </w:rPr>
        <w:t xml:space="preserve"> </w:t>
      </w:r>
      <w:r w:rsidR="00762D44" w:rsidRPr="00497352">
        <w:rPr>
          <w:rFonts w:ascii="Times New Roman" w:hAnsi="Times New Roman" w:cs="Times New Roman"/>
          <w:sz w:val="24"/>
          <w:szCs w:val="24"/>
        </w:rPr>
        <w:t xml:space="preserve"> measuring 583.136</w:t>
      </w:r>
      <w:r w:rsidR="009D35DB" w:rsidRPr="00497352">
        <w:rPr>
          <w:rFonts w:ascii="Times New Roman" w:hAnsi="Times New Roman" w:cs="Times New Roman"/>
          <w:sz w:val="24"/>
          <w:szCs w:val="24"/>
        </w:rPr>
        <w:t xml:space="preserve"> Hectares</w:t>
      </w:r>
      <w:r w:rsidR="00B72954" w:rsidRPr="00497352">
        <w:rPr>
          <w:rFonts w:ascii="Times New Roman" w:hAnsi="Times New Roman" w:cs="Times New Roman"/>
          <w:sz w:val="24"/>
          <w:szCs w:val="24"/>
        </w:rPr>
        <w:t xml:space="preserve"> held  by </w:t>
      </w:r>
      <w:r w:rsidR="007527EC" w:rsidRPr="00497352">
        <w:rPr>
          <w:rFonts w:ascii="Times New Roman" w:hAnsi="Times New Roman" w:cs="Times New Roman"/>
          <w:sz w:val="24"/>
          <w:szCs w:val="24"/>
        </w:rPr>
        <w:t>C</w:t>
      </w:r>
      <w:r w:rsidR="00A93000" w:rsidRPr="00497352">
        <w:rPr>
          <w:rFonts w:ascii="Times New Roman" w:hAnsi="Times New Roman" w:cs="Times New Roman"/>
          <w:sz w:val="24"/>
          <w:szCs w:val="24"/>
        </w:rPr>
        <w:t xml:space="preserve">ecil </w:t>
      </w:r>
      <w:r w:rsidR="00B72954" w:rsidRPr="00497352">
        <w:rPr>
          <w:rFonts w:ascii="Times New Roman" w:hAnsi="Times New Roman" w:cs="Times New Roman"/>
          <w:sz w:val="24"/>
          <w:szCs w:val="24"/>
        </w:rPr>
        <w:t xml:space="preserve">Michael  Reimer </w:t>
      </w:r>
      <w:r w:rsidR="00A93000" w:rsidRPr="00497352">
        <w:rPr>
          <w:rFonts w:ascii="Times New Roman" w:hAnsi="Times New Roman" w:cs="Times New Roman"/>
          <w:sz w:val="24"/>
          <w:szCs w:val="24"/>
        </w:rPr>
        <w:t>under</w:t>
      </w:r>
      <w:r w:rsidR="00B72954" w:rsidRPr="00497352">
        <w:rPr>
          <w:rFonts w:ascii="Times New Roman" w:hAnsi="Times New Roman" w:cs="Times New Roman"/>
          <w:sz w:val="24"/>
          <w:szCs w:val="24"/>
        </w:rPr>
        <w:t xml:space="preserve"> deed of transfer 3032/1987</w:t>
      </w:r>
      <w:r w:rsidR="009D35DB" w:rsidRPr="00497352">
        <w:rPr>
          <w:rFonts w:ascii="Times New Roman" w:hAnsi="Times New Roman" w:cs="Times New Roman"/>
          <w:sz w:val="24"/>
          <w:szCs w:val="24"/>
        </w:rPr>
        <w:t>.</w:t>
      </w:r>
      <w:r w:rsidR="006A0262" w:rsidRPr="00497352">
        <w:rPr>
          <w:rFonts w:ascii="Times New Roman" w:hAnsi="Times New Roman" w:cs="Times New Roman"/>
          <w:sz w:val="24"/>
          <w:szCs w:val="24"/>
        </w:rPr>
        <w:t xml:space="preserve"> </w:t>
      </w:r>
      <w:r w:rsidR="00956800" w:rsidRPr="00497352">
        <w:rPr>
          <w:rFonts w:ascii="Times New Roman" w:hAnsi="Times New Roman" w:cs="Times New Roman"/>
          <w:sz w:val="24"/>
          <w:szCs w:val="24"/>
        </w:rPr>
        <w:t xml:space="preserve">The blue pencil rule is a common law </w:t>
      </w:r>
      <w:r w:rsidR="00933422" w:rsidRPr="00497352">
        <w:rPr>
          <w:rFonts w:ascii="Times New Roman" w:hAnsi="Times New Roman" w:cs="Times New Roman"/>
          <w:sz w:val="24"/>
          <w:szCs w:val="24"/>
        </w:rPr>
        <w:t>doctrine which</w:t>
      </w:r>
      <w:r w:rsidR="000B63B1" w:rsidRPr="00497352">
        <w:rPr>
          <w:rFonts w:ascii="Times New Roman" w:hAnsi="Times New Roman" w:cs="Times New Roman"/>
          <w:sz w:val="24"/>
          <w:szCs w:val="24"/>
        </w:rPr>
        <w:t xml:space="preserve"> allows a court</w:t>
      </w:r>
      <w:r w:rsidR="004459F2" w:rsidRPr="00497352">
        <w:rPr>
          <w:rFonts w:ascii="Times New Roman" w:hAnsi="Times New Roman" w:cs="Times New Roman"/>
          <w:sz w:val="24"/>
          <w:szCs w:val="24"/>
        </w:rPr>
        <w:t xml:space="preserve"> to sever</w:t>
      </w:r>
      <w:r w:rsidR="00956800" w:rsidRPr="00497352">
        <w:rPr>
          <w:rFonts w:ascii="Times New Roman" w:hAnsi="Times New Roman" w:cs="Times New Roman"/>
          <w:sz w:val="24"/>
          <w:szCs w:val="24"/>
        </w:rPr>
        <w:t xml:space="preserve"> an unenforceable portion of a </w:t>
      </w:r>
      <w:r w:rsidR="00956800" w:rsidRPr="00497352">
        <w:rPr>
          <w:rFonts w:ascii="Times New Roman" w:hAnsi="Times New Roman" w:cs="Times New Roman"/>
          <w:sz w:val="24"/>
          <w:szCs w:val="24"/>
        </w:rPr>
        <w:lastRenderedPageBreak/>
        <w:t xml:space="preserve">contract </w:t>
      </w:r>
      <w:proofErr w:type="gramStart"/>
      <w:r w:rsidR="00956800" w:rsidRPr="00497352">
        <w:rPr>
          <w:rFonts w:ascii="Times New Roman" w:hAnsi="Times New Roman" w:cs="Times New Roman"/>
          <w:sz w:val="24"/>
          <w:szCs w:val="24"/>
        </w:rPr>
        <w:t>so as to</w:t>
      </w:r>
      <w:proofErr w:type="gramEnd"/>
      <w:r w:rsidR="00956800" w:rsidRPr="00497352">
        <w:rPr>
          <w:rFonts w:ascii="Times New Roman" w:hAnsi="Times New Roman" w:cs="Times New Roman"/>
          <w:sz w:val="24"/>
          <w:szCs w:val="24"/>
        </w:rPr>
        <w:t xml:space="preserve"> enforce the remaining enforceable portion of</w:t>
      </w:r>
      <w:r w:rsidR="000B63B1" w:rsidRPr="00497352">
        <w:rPr>
          <w:rFonts w:ascii="Times New Roman" w:hAnsi="Times New Roman" w:cs="Times New Roman"/>
          <w:sz w:val="24"/>
          <w:szCs w:val="24"/>
        </w:rPr>
        <w:t xml:space="preserve"> th</w:t>
      </w:r>
      <w:r w:rsidR="00956800" w:rsidRPr="00497352">
        <w:rPr>
          <w:rFonts w:ascii="Times New Roman" w:hAnsi="Times New Roman" w:cs="Times New Roman"/>
          <w:sz w:val="24"/>
          <w:szCs w:val="24"/>
        </w:rPr>
        <w:t>a</w:t>
      </w:r>
      <w:r w:rsidR="000B63B1" w:rsidRPr="00497352">
        <w:rPr>
          <w:rFonts w:ascii="Times New Roman" w:hAnsi="Times New Roman" w:cs="Times New Roman"/>
          <w:sz w:val="24"/>
          <w:szCs w:val="24"/>
        </w:rPr>
        <w:t>t</w:t>
      </w:r>
      <w:r w:rsidR="00956800" w:rsidRPr="00497352">
        <w:rPr>
          <w:rFonts w:ascii="Times New Roman" w:hAnsi="Times New Roman" w:cs="Times New Roman"/>
          <w:sz w:val="24"/>
          <w:szCs w:val="24"/>
        </w:rPr>
        <w:t xml:space="preserve"> contract. Although </w:t>
      </w:r>
      <w:r w:rsidR="000B63B1" w:rsidRPr="00497352">
        <w:rPr>
          <w:rFonts w:ascii="Times New Roman" w:hAnsi="Times New Roman" w:cs="Times New Roman"/>
          <w:sz w:val="24"/>
          <w:szCs w:val="24"/>
        </w:rPr>
        <w:t>this is</w:t>
      </w:r>
      <w:r w:rsidR="00956800" w:rsidRPr="00497352">
        <w:rPr>
          <w:rFonts w:ascii="Times New Roman" w:hAnsi="Times New Roman" w:cs="Times New Roman"/>
          <w:sz w:val="24"/>
          <w:szCs w:val="24"/>
        </w:rPr>
        <w:t xml:space="preserve"> not a contractual dispute I find the concept </w:t>
      </w:r>
      <w:r w:rsidR="000B63B1" w:rsidRPr="00497352">
        <w:rPr>
          <w:rFonts w:ascii="Times New Roman" w:hAnsi="Times New Roman" w:cs="Times New Roman"/>
          <w:sz w:val="24"/>
          <w:szCs w:val="24"/>
        </w:rPr>
        <w:t>useful</w:t>
      </w:r>
      <w:r w:rsidR="00956800" w:rsidRPr="00497352">
        <w:rPr>
          <w:rFonts w:ascii="Times New Roman" w:hAnsi="Times New Roman" w:cs="Times New Roman"/>
          <w:sz w:val="24"/>
          <w:szCs w:val="24"/>
        </w:rPr>
        <w:t xml:space="preserve"> in this case to separate that which is enforceable from that which is not enforceable.</w:t>
      </w:r>
    </w:p>
    <w:p w:rsidR="00762D44" w:rsidRPr="00497352" w:rsidRDefault="00762D44" w:rsidP="00670D88">
      <w:pPr>
        <w:spacing w:after="0" w:line="480" w:lineRule="auto"/>
        <w:ind w:firstLine="1134"/>
        <w:jc w:val="both"/>
        <w:rPr>
          <w:rFonts w:ascii="Times New Roman" w:hAnsi="Times New Roman" w:cs="Times New Roman"/>
          <w:sz w:val="24"/>
          <w:szCs w:val="24"/>
        </w:rPr>
      </w:pPr>
    </w:p>
    <w:p w:rsidR="00AD0D8A" w:rsidRPr="00497352" w:rsidRDefault="006A0262" w:rsidP="00670D88">
      <w:pPr>
        <w:spacing w:after="0" w:line="480" w:lineRule="auto"/>
        <w:ind w:firstLine="1134"/>
        <w:rPr>
          <w:rFonts w:ascii="Times New Roman" w:hAnsi="Times New Roman" w:cs="Times New Roman"/>
          <w:sz w:val="24"/>
          <w:szCs w:val="24"/>
        </w:rPr>
      </w:pPr>
      <w:r w:rsidRPr="00497352">
        <w:rPr>
          <w:rFonts w:ascii="Times New Roman" w:hAnsi="Times New Roman" w:cs="Times New Roman"/>
          <w:sz w:val="24"/>
          <w:szCs w:val="24"/>
        </w:rPr>
        <w:t>Graphically</w:t>
      </w:r>
      <w:r w:rsidR="00CC5432" w:rsidRPr="00497352">
        <w:rPr>
          <w:rFonts w:ascii="Times New Roman" w:hAnsi="Times New Roman" w:cs="Times New Roman"/>
          <w:sz w:val="24"/>
          <w:szCs w:val="24"/>
        </w:rPr>
        <w:t>,</w:t>
      </w:r>
      <w:r w:rsidR="00364CA6" w:rsidRPr="00497352">
        <w:rPr>
          <w:rFonts w:ascii="Times New Roman" w:hAnsi="Times New Roman" w:cs="Times New Roman"/>
          <w:sz w:val="24"/>
          <w:szCs w:val="24"/>
        </w:rPr>
        <w:t xml:space="preserve"> that </w:t>
      </w:r>
      <w:r w:rsidR="00477CBC" w:rsidRPr="00497352">
        <w:rPr>
          <w:rFonts w:ascii="Times New Roman" w:hAnsi="Times New Roman" w:cs="Times New Roman"/>
          <w:sz w:val="24"/>
          <w:szCs w:val="24"/>
        </w:rPr>
        <w:t xml:space="preserve">conception </w:t>
      </w:r>
      <w:r w:rsidR="00C87B12" w:rsidRPr="00497352">
        <w:rPr>
          <w:rFonts w:ascii="Times New Roman" w:hAnsi="Times New Roman" w:cs="Times New Roman"/>
          <w:sz w:val="24"/>
          <w:szCs w:val="24"/>
        </w:rPr>
        <w:t>in this case</w:t>
      </w:r>
      <w:r w:rsidR="00EA60F7" w:rsidRPr="00497352">
        <w:rPr>
          <w:rFonts w:ascii="Times New Roman" w:hAnsi="Times New Roman" w:cs="Times New Roman"/>
          <w:sz w:val="24"/>
          <w:szCs w:val="24"/>
        </w:rPr>
        <w:t xml:space="preserve"> </w:t>
      </w:r>
      <w:r w:rsidRPr="00497352">
        <w:rPr>
          <w:rFonts w:ascii="Times New Roman" w:hAnsi="Times New Roman" w:cs="Times New Roman"/>
          <w:sz w:val="24"/>
          <w:szCs w:val="24"/>
        </w:rPr>
        <w:t>can be</w:t>
      </w:r>
      <w:r w:rsidR="00364CA6" w:rsidRPr="00497352">
        <w:rPr>
          <w:rFonts w:ascii="Times New Roman" w:hAnsi="Times New Roman" w:cs="Times New Roman"/>
          <w:sz w:val="24"/>
          <w:szCs w:val="24"/>
        </w:rPr>
        <w:t xml:space="preserve"> plotted and</w:t>
      </w:r>
      <w:r w:rsidRPr="00497352">
        <w:rPr>
          <w:rFonts w:ascii="Times New Roman" w:hAnsi="Times New Roman" w:cs="Times New Roman"/>
          <w:sz w:val="24"/>
          <w:szCs w:val="24"/>
        </w:rPr>
        <w:t xml:space="preserve"> visualised as follows</w:t>
      </w:r>
      <w:r w:rsidR="00AD0D8A" w:rsidRPr="00497352">
        <w:rPr>
          <w:rFonts w:ascii="Times New Roman" w:hAnsi="Times New Roman" w:cs="Times New Roman"/>
          <w:sz w:val="24"/>
          <w:szCs w:val="24"/>
        </w:rPr>
        <w:t>:</w:t>
      </w:r>
    </w:p>
    <w:p w:rsidR="007E759D" w:rsidRPr="00497352" w:rsidRDefault="007E759D" w:rsidP="00670D88">
      <w:pPr>
        <w:spacing w:after="0" w:line="480" w:lineRule="auto"/>
        <w:rPr>
          <w:rFonts w:ascii="Times New Roman" w:hAnsi="Times New Roman" w:cs="Times New Roman"/>
          <w:sz w:val="24"/>
          <w:szCs w:val="24"/>
        </w:rPr>
      </w:pPr>
    </w:p>
    <w:p w:rsidR="00565780" w:rsidRPr="00497352" w:rsidRDefault="007E759D" w:rsidP="00670D88">
      <w:pPr>
        <w:spacing w:after="0" w:line="480" w:lineRule="auto"/>
        <w:rPr>
          <w:rFonts w:ascii="Times New Roman" w:hAnsi="Times New Roman" w:cs="Times New Roman"/>
          <w:sz w:val="24"/>
          <w:szCs w:val="24"/>
        </w:rPr>
      </w:pPr>
      <w:r w:rsidRPr="00497352">
        <w:rPr>
          <w:rFonts w:ascii="Times New Roman" w:hAnsi="Times New Roman" w:cs="Times New Roman"/>
          <w:noProof/>
          <w:sz w:val="24"/>
          <w:szCs w:val="24"/>
          <w:lang w:val="en-GB" w:eastAsia="en-GB"/>
        </w:rPr>
        <w:drawing>
          <wp:inline distT="0" distB="0" distL="0" distR="0" wp14:anchorId="1DE7C83D" wp14:editId="5FF99703">
            <wp:extent cx="5191125" cy="3119437"/>
            <wp:effectExtent l="0" t="0" r="9525" b="508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364CA6" w:rsidRPr="00497352" w:rsidRDefault="000B63B1" w:rsidP="00670D88">
      <w:pPr>
        <w:spacing w:after="0" w:line="480" w:lineRule="auto"/>
        <w:ind w:firstLine="1134"/>
        <w:jc w:val="both"/>
        <w:rPr>
          <w:rFonts w:ascii="Times New Roman" w:hAnsi="Times New Roman" w:cs="Times New Roman"/>
          <w:sz w:val="24"/>
          <w:szCs w:val="24"/>
        </w:rPr>
      </w:pPr>
      <w:r w:rsidRPr="00497352">
        <w:rPr>
          <w:rFonts w:ascii="Times New Roman" w:hAnsi="Times New Roman" w:cs="Times New Roman"/>
          <w:sz w:val="24"/>
          <w:szCs w:val="24"/>
        </w:rPr>
        <w:t xml:space="preserve">Cecil Michael Reimer sowed </w:t>
      </w:r>
      <w:r w:rsidR="00C94AC7" w:rsidRPr="00497352">
        <w:rPr>
          <w:rFonts w:ascii="Times New Roman" w:hAnsi="Times New Roman" w:cs="Times New Roman"/>
          <w:sz w:val="24"/>
          <w:szCs w:val="24"/>
        </w:rPr>
        <w:t>the seeds of severability or divisibility when he subdivided the original land into separa</w:t>
      </w:r>
      <w:r w:rsidR="00E75BEE" w:rsidRPr="00497352">
        <w:rPr>
          <w:rFonts w:ascii="Times New Roman" w:hAnsi="Times New Roman" w:cs="Times New Roman"/>
          <w:sz w:val="24"/>
          <w:szCs w:val="24"/>
        </w:rPr>
        <w:t>te and distinct 3 lots which could</w:t>
      </w:r>
      <w:r w:rsidR="00C94AC7" w:rsidRPr="00497352">
        <w:rPr>
          <w:rFonts w:ascii="Times New Roman" w:hAnsi="Times New Roman" w:cs="Times New Roman"/>
          <w:sz w:val="24"/>
          <w:szCs w:val="24"/>
        </w:rPr>
        <w:t xml:space="preserve"> easily be identified as shown above. </w:t>
      </w:r>
      <w:r w:rsidR="00DC51C0" w:rsidRPr="00497352">
        <w:rPr>
          <w:rFonts w:ascii="Times New Roman" w:hAnsi="Times New Roman" w:cs="Times New Roman"/>
          <w:sz w:val="24"/>
          <w:szCs w:val="24"/>
        </w:rPr>
        <w:t>What emer</w:t>
      </w:r>
      <w:r w:rsidR="00364CA6" w:rsidRPr="00497352">
        <w:rPr>
          <w:rFonts w:ascii="Times New Roman" w:hAnsi="Times New Roman" w:cs="Times New Roman"/>
          <w:sz w:val="24"/>
          <w:szCs w:val="24"/>
        </w:rPr>
        <w:t>ges quite clearly is that</w:t>
      </w:r>
      <w:r w:rsidR="00C87B12" w:rsidRPr="00497352">
        <w:rPr>
          <w:rFonts w:ascii="Times New Roman" w:hAnsi="Times New Roman" w:cs="Times New Roman"/>
          <w:sz w:val="24"/>
          <w:szCs w:val="24"/>
        </w:rPr>
        <w:t>,</w:t>
      </w:r>
      <w:r w:rsidR="00364CA6" w:rsidRPr="00497352">
        <w:rPr>
          <w:rFonts w:ascii="Times New Roman" w:hAnsi="Times New Roman" w:cs="Times New Roman"/>
          <w:sz w:val="24"/>
          <w:szCs w:val="24"/>
        </w:rPr>
        <w:t xml:space="preserve"> the severance of lots 2 and 3 from the whole block </w:t>
      </w:r>
      <w:r w:rsidR="006E1C42" w:rsidRPr="00497352">
        <w:rPr>
          <w:rFonts w:ascii="Times New Roman" w:hAnsi="Times New Roman" w:cs="Times New Roman"/>
          <w:sz w:val="24"/>
          <w:szCs w:val="24"/>
        </w:rPr>
        <w:t>of land</w:t>
      </w:r>
      <w:r w:rsidR="00C87B12" w:rsidRPr="00497352">
        <w:rPr>
          <w:rFonts w:ascii="Times New Roman" w:hAnsi="Times New Roman" w:cs="Times New Roman"/>
          <w:sz w:val="24"/>
          <w:szCs w:val="24"/>
        </w:rPr>
        <w:t xml:space="preserve"> cannot divest</w:t>
      </w:r>
      <w:r w:rsidR="006E1C42" w:rsidRPr="00497352">
        <w:rPr>
          <w:rFonts w:ascii="Times New Roman" w:hAnsi="Times New Roman" w:cs="Times New Roman"/>
          <w:sz w:val="24"/>
          <w:szCs w:val="24"/>
        </w:rPr>
        <w:t xml:space="preserve"> lot 1</w:t>
      </w:r>
      <w:r w:rsidR="00C87B12" w:rsidRPr="00497352">
        <w:rPr>
          <w:rFonts w:ascii="Times New Roman" w:hAnsi="Times New Roman" w:cs="Times New Roman"/>
          <w:sz w:val="24"/>
          <w:szCs w:val="24"/>
        </w:rPr>
        <w:t xml:space="preserve"> of</w:t>
      </w:r>
      <w:r w:rsidR="006E1C42" w:rsidRPr="00497352">
        <w:rPr>
          <w:rFonts w:ascii="Times New Roman" w:hAnsi="Times New Roman" w:cs="Times New Roman"/>
          <w:sz w:val="24"/>
          <w:szCs w:val="24"/>
        </w:rPr>
        <w:t xml:space="preserve"> its identity. It remains intact and its gazetting </w:t>
      </w:r>
      <w:r w:rsidR="00C87B12" w:rsidRPr="00497352">
        <w:rPr>
          <w:rFonts w:ascii="Times New Roman" w:hAnsi="Times New Roman" w:cs="Times New Roman"/>
          <w:sz w:val="24"/>
          <w:szCs w:val="24"/>
        </w:rPr>
        <w:t>remains extant</w:t>
      </w:r>
      <w:r w:rsidR="006E1C42" w:rsidRPr="00497352">
        <w:rPr>
          <w:rFonts w:ascii="Times New Roman" w:hAnsi="Times New Roman" w:cs="Times New Roman"/>
          <w:sz w:val="24"/>
          <w:szCs w:val="24"/>
        </w:rPr>
        <w:t xml:space="preserve"> despite the severance of lots 2 and 3 from the whole.</w:t>
      </w:r>
      <w:r w:rsidR="00C94AC7" w:rsidRPr="00497352">
        <w:rPr>
          <w:rFonts w:ascii="Times New Roman" w:hAnsi="Times New Roman" w:cs="Times New Roman"/>
          <w:sz w:val="24"/>
          <w:szCs w:val="24"/>
        </w:rPr>
        <w:t xml:space="preserve"> In the result, the conclusion that lot 1 which is</w:t>
      </w:r>
      <w:r w:rsidR="006E1C42" w:rsidRPr="00497352">
        <w:rPr>
          <w:rFonts w:ascii="Times New Roman" w:hAnsi="Times New Roman" w:cs="Times New Roman"/>
          <w:sz w:val="24"/>
          <w:szCs w:val="24"/>
        </w:rPr>
        <w:t xml:space="preserve"> the land in dispute</w:t>
      </w:r>
      <w:r w:rsidR="00E75BEE" w:rsidRPr="00497352">
        <w:rPr>
          <w:rFonts w:ascii="Times New Roman" w:hAnsi="Times New Roman" w:cs="Times New Roman"/>
          <w:sz w:val="24"/>
          <w:szCs w:val="24"/>
        </w:rPr>
        <w:t xml:space="preserve"> was </w:t>
      </w:r>
      <w:r w:rsidR="006E1C42" w:rsidRPr="00497352">
        <w:rPr>
          <w:rFonts w:ascii="Times New Roman" w:hAnsi="Times New Roman" w:cs="Times New Roman"/>
          <w:sz w:val="24"/>
          <w:szCs w:val="24"/>
        </w:rPr>
        <w:t>identi</w:t>
      </w:r>
      <w:r w:rsidR="000D7D90" w:rsidRPr="00497352">
        <w:rPr>
          <w:rFonts w:ascii="Times New Roman" w:hAnsi="Times New Roman" w:cs="Times New Roman"/>
          <w:sz w:val="24"/>
          <w:szCs w:val="24"/>
        </w:rPr>
        <w:t>fied and gazetted is beyond contest</w:t>
      </w:r>
      <w:r w:rsidR="006E1C42" w:rsidRPr="00497352">
        <w:rPr>
          <w:rFonts w:ascii="Times New Roman" w:hAnsi="Times New Roman" w:cs="Times New Roman"/>
          <w:sz w:val="24"/>
          <w:szCs w:val="24"/>
        </w:rPr>
        <w:t>.</w:t>
      </w:r>
      <w:r w:rsidR="00E75BEE" w:rsidRPr="00497352">
        <w:rPr>
          <w:rFonts w:ascii="Times New Roman" w:hAnsi="Times New Roman" w:cs="Times New Roman"/>
          <w:sz w:val="24"/>
          <w:szCs w:val="24"/>
        </w:rPr>
        <w:t xml:space="preserve"> What is in dispute is the correctness and validity of the </w:t>
      </w:r>
      <w:r w:rsidR="00C87B12" w:rsidRPr="00497352">
        <w:rPr>
          <w:rFonts w:ascii="Times New Roman" w:hAnsi="Times New Roman" w:cs="Times New Roman"/>
          <w:sz w:val="24"/>
          <w:szCs w:val="24"/>
        </w:rPr>
        <w:t xml:space="preserve">process of </w:t>
      </w:r>
      <w:r w:rsidR="001455CA" w:rsidRPr="00497352">
        <w:rPr>
          <w:rFonts w:ascii="Times New Roman" w:hAnsi="Times New Roman" w:cs="Times New Roman"/>
          <w:sz w:val="24"/>
          <w:szCs w:val="24"/>
        </w:rPr>
        <w:t>identification</w:t>
      </w:r>
      <w:r w:rsidR="00994CC0" w:rsidRPr="00497352">
        <w:rPr>
          <w:rFonts w:ascii="Times New Roman" w:hAnsi="Times New Roman" w:cs="Times New Roman"/>
          <w:sz w:val="24"/>
          <w:szCs w:val="24"/>
        </w:rPr>
        <w:t xml:space="preserve"> and gazetting of the </w:t>
      </w:r>
      <w:r w:rsidR="00E75BEE" w:rsidRPr="00497352">
        <w:rPr>
          <w:rFonts w:ascii="Times New Roman" w:hAnsi="Times New Roman" w:cs="Times New Roman"/>
          <w:sz w:val="24"/>
          <w:szCs w:val="24"/>
        </w:rPr>
        <w:t>land for purposes of compulsory acquisition.</w:t>
      </w:r>
    </w:p>
    <w:p w:rsidR="00762D44" w:rsidRPr="00497352" w:rsidRDefault="00762D44" w:rsidP="00670D88">
      <w:pPr>
        <w:spacing w:after="0" w:line="480" w:lineRule="auto"/>
        <w:ind w:firstLine="1134"/>
        <w:jc w:val="both"/>
        <w:rPr>
          <w:rFonts w:ascii="Times New Roman" w:hAnsi="Times New Roman" w:cs="Times New Roman"/>
          <w:sz w:val="24"/>
          <w:szCs w:val="24"/>
        </w:rPr>
      </w:pPr>
    </w:p>
    <w:p w:rsidR="004D6B06" w:rsidRPr="00497352" w:rsidRDefault="004D6B06" w:rsidP="00670D88">
      <w:pPr>
        <w:spacing w:after="0" w:line="480" w:lineRule="auto"/>
        <w:ind w:firstLine="1134"/>
        <w:jc w:val="both"/>
        <w:rPr>
          <w:rFonts w:ascii="Times New Roman" w:hAnsi="Times New Roman" w:cs="Times New Roman"/>
          <w:sz w:val="24"/>
          <w:szCs w:val="24"/>
        </w:rPr>
      </w:pPr>
      <w:r w:rsidRPr="00497352">
        <w:rPr>
          <w:rFonts w:ascii="Times New Roman" w:hAnsi="Times New Roman" w:cs="Times New Roman"/>
          <w:sz w:val="24"/>
          <w:szCs w:val="24"/>
        </w:rPr>
        <w:lastRenderedPageBreak/>
        <w:t>The</w:t>
      </w:r>
      <w:r w:rsidR="00350665" w:rsidRPr="00497352">
        <w:rPr>
          <w:rFonts w:ascii="Times New Roman" w:hAnsi="Times New Roman" w:cs="Times New Roman"/>
          <w:sz w:val="24"/>
          <w:szCs w:val="24"/>
        </w:rPr>
        <w:t xml:space="preserve"> disputed land</w:t>
      </w:r>
      <w:r w:rsidRPr="00497352">
        <w:rPr>
          <w:rFonts w:ascii="Times New Roman" w:hAnsi="Times New Roman" w:cs="Times New Roman"/>
          <w:sz w:val="24"/>
          <w:szCs w:val="24"/>
        </w:rPr>
        <w:t xml:space="preserve"> was properly identified and gazetted as part of the whole original Remaining Exte</w:t>
      </w:r>
      <w:r w:rsidR="00762D44" w:rsidRPr="00497352">
        <w:rPr>
          <w:rFonts w:ascii="Times New Roman" w:hAnsi="Times New Roman" w:cs="Times New Roman"/>
          <w:sz w:val="24"/>
          <w:szCs w:val="24"/>
        </w:rPr>
        <w:t xml:space="preserve">nt of </w:t>
      </w:r>
      <w:proofErr w:type="spellStart"/>
      <w:r w:rsidR="00762D44" w:rsidRPr="00497352">
        <w:rPr>
          <w:rFonts w:ascii="Times New Roman" w:hAnsi="Times New Roman" w:cs="Times New Roman"/>
          <w:sz w:val="24"/>
          <w:szCs w:val="24"/>
        </w:rPr>
        <w:t>Stuhm</w:t>
      </w:r>
      <w:proofErr w:type="spellEnd"/>
      <w:r w:rsidR="00762D44" w:rsidRPr="00497352">
        <w:rPr>
          <w:rFonts w:ascii="Times New Roman" w:hAnsi="Times New Roman" w:cs="Times New Roman"/>
          <w:sz w:val="24"/>
          <w:szCs w:val="24"/>
        </w:rPr>
        <w:t xml:space="preserve"> measuring 1 704.741</w:t>
      </w:r>
      <w:r w:rsidRPr="00497352">
        <w:rPr>
          <w:rFonts w:ascii="Times New Roman" w:hAnsi="Times New Roman" w:cs="Times New Roman"/>
          <w:sz w:val="24"/>
          <w:szCs w:val="24"/>
        </w:rPr>
        <w:t xml:space="preserve"> hectares in extent. It is therefore</w:t>
      </w:r>
      <w:r w:rsidR="00DB2A69" w:rsidRPr="00497352">
        <w:rPr>
          <w:rFonts w:ascii="Times New Roman" w:hAnsi="Times New Roman" w:cs="Times New Roman"/>
          <w:sz w:val="24"/>
          <w:szCs w:val="24"/>
        </w:rPr>
        <w:t>,</w:t>
      </w:r>
      <w:r w:rsidRPr="00497352">
        <w:rPr>
          <w:rFonts w:ascii="Times New Roman" w:hAnsi="Times New Roman" w:cs="Times New Roman"/>
          <w:sz w:val="24"/>
          <w:szCs w:val="24"/>
        </w:rPr>
        <w:t xml:space="preserve"> anomalous for the appellants to argue that the land in question does not exist when the </w:t>
      </w:r>
      <w:r w:rsidR="005578CE" w:rsidRPr="00497352">
        <w:rPr>
          <w:rFonts w:ascii="Times New Roman" w:hAnsi="Times New Roman" w:cs="Times New Roman"/>
          <w:sz w:val="24"/>
          <w:szCs w:val="24"/>
        </w:rPr>
        <w:t>first</w:t>
      </w:r>
      <w:r w:rsidRPr="00497352">
        <w:rPr>
          <w:rFonts w:ascii="Times New Roman" w:hAnsi="Times New Roman" w:cs="Times New Roman"/>
          <w:sz w:val="24"/>
          <w:szCs w:val="24"/>
        </w:rPr>
        <w:t xml:space="preserve"> appellant bought it from Michael Reimer and had it registered in its name under the same description</w:t>
      </w:r>
      <w:r w:rsidR="007D7990" w:rsidRPr="00497352">
        <w:rPr>
          <w:rFonts w:ascii="Times New Roman" w:hAnsi="Times New Roman" w:cs="Times New Roman"/>
          <w:sz w:val="24"/>
          <w:szCs w:val="24"/>
        </w:rPr>
        <w:t xml:space="preserve"> being the Remaining Extent of </w:t>
      </w:r>
      <w:proofErr w:type="spellStart"/>
      <w:r w:rsidR="007D7990" w:rsidRPr="00497352">
        <w:rPr>
          <w:rFonts w:ascii="Times New Roman" w:hAnsi="Times New Roman" w:cs="Times New Roman"/>
          <w:sz w:val="24"/>
          <w:szCs w:val="24"/>
        </w:rPr>
        <w:t>Stuhm</w:t>
      </w:r>
      <w:proofErr w:type="spellEnd"/>
      <w:r w:rsidR="007D7990" w:rsidRPr="00497352">
        <w:rPr>
          <w:rFonts w:ascii="Times New Roman" w:hAnsi="Times New Roman" w:cs="Times New Roman"/>
          <w:sz w:val="24"/>
          <w:szCs w:val="24"/>
        </w:rPr>
        <w:t xml:space="preserve"> measuring 583.</w:t>
      </w:r>
      <w:r w:rsidR="00762D44" w:rsidRPr="00497352">
        <w:rPr>
          <w:rFonts w:ascii="Times New Roman" w:hAnsi="Times New Roman" w:cs="Times New Roman"/>
          <w:sz w:val="24"/>
          <w:szCs w:val="24"/>
        </w:rPr>
        <w:t>136</w:t>
      </w:r>
      <w:r w:rsidR="007D7990" w:rsidRPr="00497352">
        <w:rPr>
          <w:rFonts w:ascii="Times New Roman" w:hAnsi="Times New Roman" w:cs="Times New Roman"/>
          <w:sz w:val="24"/>
          <w:szCs w:val="24"/>
        </w:rPr>
        <w:t xml:space="preserve"> situated in the district of </w:t>
      </w:r>
      <w:proofErr w:type="spellStart"/>
      <w:r w:rsidR="007D7990" w:rsidRPr="00497352">
        <w:rPr>
          <w:rFonts w:ascii="Times New Roman" w:hAnsi="Times New Roman" w:cs="Times New Roman"/>
          <w:sz w:val="24"/>
          <w:szCs w:val="24"/>
        </w:rPr>
        <w:t>Goromonzi</w:t>
      </w:r>
      <w:proofErr w:type="spellEnd"/>
      <w:r w:rsidR="007D7990" w:rsidRPr="00497352">
        <w:rPr>
          <w:rFonts w:ascii="Times New Roman" w:hAnsi="Times New Roman" w:cs="Times New Roman"/>
          <w:sz w:val="24"/>
          <w:szCs w:val="24"/>
        </w:rPr>
        <w:t xml:space="preserve">. </w:t>
      </w:r>
      <w:r w:rsidRPr="00497352">
        <w:rPr>
          <w:rFonts w:ascii="Times New Roman" w:hAnsi="Times New Roman" w:cs="Times New Roman"/>
          <w:sz w:val="24"/>
          <w:szCs w:val="24"/>
        </w:rPr>
        <w:t>By the same token, the second appellant cannot dispute the existence of the disputed land when he leased</w:t>
      </w:r>
      <w:r w:rsidR="007D7990" w:rsidRPr="00497352">
        <w:rPr>
          <w:rFonts w:ascii="Times New Roman" w:hAnsi="Times New Roman" w:cs="Times New Roman"/>
          <w:sz w:val="24"/>
          <w:szCs w:val="24"/>
        </w:rPr>
        <w:t xml:space="preserve"> and occupied </w:t>
      </w:r>
      <w:r w:rsidRPr="00497352">
        <w:rPr>
          <w:rFonts w:ascii="Times New Roman" w:hAnsi="Times New Roman" w:cs="Times New Roman"/>
          <w:sz w:val="24"/>
          <w:szCs w:val="24"/>
        </w:rPr>
        <w:t>it under the same descript</w:t>
      </w:r>
      <w:r w:rsidR="007D7990" w:rsidRPr="00497352">
        <w:rPr>
          <w:rFonts w:ascii="Times New Roman" w:hAnsi="Times New Roman" w:cs="Times New Roman"/>
          <w:sz w:val="24"/>
          <w:szCs w:val="24"/>
        </w:rPr>
        <w:t>ion</w:t>
      </w:r>
      <w:r w:rsidRPr="00497352">
        <w:rPr>
          <w:rFonts w:ascii="Times New Roman" w:hAnsi="Times New Roman" w:cs="Times New Roman"/>
          <w:sz w:val="24"/>
          <w:szCs w:val="24"/>
        </w:rPr>
        <w:t>.</w:t>
      </w:r>
    </w:p>
    <w:p w:rsidR="00762D44" w:rsidRPr="00497352" w:rsidRDefault="00762D44" w:rsidP="00670D88">
      <w:pPr>
        <w:spacing w:after="0" w:line="480" w:lineRule="auto"/>
        <w:ind w:firstLine="1134"/>
        <w:jc w:val="both"/>
        <w:rPr>
          <w:rFonts w:ascii="Times New Roman" w:hAnsi="Times New Roman" w:cs="Times New Roman"/>
          <w:sz w:val="24"/>
          <w:szCs w:val="24"/>
        </w:rPr>
      </w:pPr>
    </w:p>
    <w:p w:rsidR="00EF6A08" w:rsidRPr="00497352" w:rsidRDefault="00350665" w:rsidP="00670D88">
      <w:pPr>
        <w:spacing w:after="0" w:line="480" w:lineRule="auto"/>
        <w:ind w:firstLine="1134"/>
        <w:jc w:val="both"/>
        <w:rPr>
          <w:rFonts w:ascii="Times New Roman" w:hAnsi="Times New Roman" w:cs="Times New Roman"/>
          <w:sz w:val="24"/>
          <w:szCs w:val="24"/>
        </w:rPr>
      </w:pPr>
      <w:r w:rsidRPr="00497352">
        <w:rPr>
          <w:rFonts w:ascii="Times New Roman" w:hAnsi="Times New Roman" w:cs="Times New Roman"/>
          <w:sz w:val="24"/>
          <w:szCs w:val="24"/>
        </w:rPr>
        <w:t xml:space="preserve">There is therefore no merit in the appellants’ argument that the land in question was not properly identified and gazetted. For that </w:t>
      </w:r>
      <w:proofErr w:type="gramStart"/>
      <w:r w:rsidRPr="00497352">
        <w:rPr>
          <w:rFonts w:ascii="Times New Roman" w:hAnsi="Times New Roman" w:cs="Times New Roman"/>
          <w:sz w:val="24"/>
          <w:szCs w:val="24"/>
        </w:rPr>
        <w:t>reason</w:t>
      </w:r>
      <w:proofErr w:type="gramEnd"/>
      <w:r w:rsidRPr="00497352">
        <w:rPr>
          <w:rFonts w:ascii="Times New Roman" w:hAnsi="Times New Roman" w:cs="Times New Roman"/>
          <w:sz w:val="24"/>
          <w:szCs w:val="24"/>
        </w:rPr>
        <w:t xml:space="preserve"> the finding by the court </w:t>
      </w:r>
      <w:r w:rsidRPr="00497352">
        <w:rPr>
          <w:rFonts w:ascii="Times New Roman" w:hAnsi="Times New Roman" w:cs="Times New Roman"/>
          <w:i/>
          <w:sz w:val="24"/>
          <w:szCs w:val="24"/>
        </w:rPr>
        <w:t>a</w:t>
      </w:r>
      <w:r w:rsidR="00DC51C0" w:rsidRPr="00497352">
        <w:rPr>
          <w:rFonts w:ascii="Times New Roman" w:hAnsi="Times New Roman" w:cs="Times New Roman"/>
          <w:i/>
          <w:sz w:val="24"/>
          <w:szCs w:val="24"/>
        </w:rPr>
        <w:t xml:space="preserve"> </w:t>
      </w:r>
      <w:r w:rsidRPr="00497352">
        <w:rPr>
          <w:rFonts w:ascii="Times New Roman" w:hAnsi="Times New Roman" w:cs="Times New Roman"/>
          <w:i/>
          <w:sz w:val="24"/>
          <w:szCs w:val="24"/>
        </w:rPr>
        <w:t>quo</w:t>
      </w:r>
      <w:r w:rsidRPr="00497352">
        <w:rPr>
          <w:rFonts w:ascii="Times New Roman" w:hAnsi="Times New Roman" w:cs="Times New Roman"/>
          <w:sz w:val="24"/>
          <w:szCs w:val="24"/>
        </w:rPr>
        <w:t xml:space="preserve"> that the disputed land exists is beyond reproach.</w:t>
      </w:r>
      <w:r w:rsidR="003F20DB" w:rsidRPr="00497352">
        <w:rPr>
          <w:rFonts w:ascii="Times New Roman" w:hAnsi="Times New Roman" w:cs="Times New Roman"/>
          <w:sz w:val="24"/>
          <w:szCs w:val="24"/>
        </w:rPr>
        <w:t xml:space="preserve"> </w:t>
      </w:r>
    </w:p>
    <w:p w:rsidR="00762D44" w:rsidRPr="00497352" w:rsidRDefault="00762D44" w:rsidP="00670D88">
      <w:pPr>
        <w:spacing w:after="0" w:line="480" w:lineRule="auto"/>
        <w:ind w:firstLine="1134"/>
        <w:jc w:val="both"/>
        <w:rPr>
          <w:rFonts w:ascii="Times New Roman" w:hAnsi="Times New Roman" w:cs="Times New Roman"/>
          <w:sz w:val="24"/>
          <w:szCs w:val="24"/>
        </w:rPr>
      </w:pPr>
    </w:p>
    <w:p w:rsidR="00364CA6" w:rsidRPr="00497352" w:rsidRDefault="00B56A32" w:rsidP="00670D88">
      <w:pPr>
        <w:spacing w:after="0" w:line="480" w:lineRule="auto"/>
        <w:ind w:firstLine="1134"/>
        <w:jc w:val="both"/>
        <w:rPr>
          <w:rFonts w:ascii="Times New Roman" w:hAnsi="Times New Roman" w:cs="Times New Roman"/>
          <w:sz w:val="24"/>
          <w:szCs w:val="24"/>
        </w:rPr>
      </w:pPr>
      <w:r w:rsidRPr="00497352">
        <w:rPr>
          <w:rFonts w:ascii="Times New Roman" w:hAnsi="Times New Roman" w:cs="Times New Roman"/>
          <w:sz w:val="24"/>
          <w:szCs w:val="24"/>
        </w:rPr>
        <w:t xml:space="preserve">There can </w:t>
      </w:r>
      <w:r w:rsidR="004D6B06" w:rsidRPr="00497352">
        <w:rPr>
          <w:rFonts w:ascii="Times New Roman" w:hAnsi="Times New Roman" w:cs="Times New Roman"/>
          <w:sz w:val="24"/>
          <w:szCs w:val="24"/>
        </w:rPr>
        <w:t xml:space="preserve">however, </w:t>
      </w:r>
      <w:r w:rsidRPr="00497352">
        <w:rPr>
          <w:rFonts w:ascii="Times New Roman" w:hAnsi="Times New Roman" w:cs="Times New Roman"/>
          <w:sz w:val="24"/>
          <w:szCs w:val="24"/>
        </w:rPr>
        <w:t>be no denying that the process of identifying the</w:t>
      </w:r>
      <w:r w:rsidR="0090597A" w:rsidRPr="00497352">
        <w:rPr>
          <w:rFonts w:ascii="Times New Roman" w:hAnsi="Times New Roman" w:cs="Times New Roman"/>
          <w:sz w:val="24"/>
          <w:szCs w:val="24"/>
        </w:rPr>
        <w:t xml:space="preserve"> disputed land for purposes of compulsory acquisition was fraught with errors including the spelling of the </w:t>
      </w:r>
      <w:r w:rsidR="000D0401" w:rsidRPr="00497352">
        <w:rPr>
          <w:rFonts w:ascii="Times New Roman" w:hAnsi="Times New Roman" w:cs="Times New Roman"/>
          <w:sz w:val="24"/>
          <w:szCs w:val="24"/>
        </w:rPr>
        <w:t xml:space="preserve">name of the previous </w:t>
      </w:r>
      <w:r w:rsidR="0090597A" w:rsidRPr="00497352">
        <w:rPr>
          <w:rFonts w:ascii="Times New Roman" w:hAnsi="Times New Roman" w:cs="Times New Roman"/>
          <w:sz w:val="24"/>
          <w:szCs w:val="24"/>
        </w:rPr>
        <w:t>owner of the land</w:t>
      </w:r>
      <w:r w:rsidR="005F77C4" w:rsidRPr="00497352">
        <w:rPr>
          <w:rFonts w:ascii="Times New Roman" w:hAnsi="Times New Roman" w:cs="Times New Roman"/>
          <w:sz w:val="24"/>
          <w:szCs w:val="24"/>
        </w:rPr>
        <w:t>, i</w:t>
      </w:r>
      <w:r w:rsidR="0090597A" w:rsidRPr="00497352">
        <w:rPr>
          <w:rFonts w:ascii="Times New Roman" w:hAnsi="Times New Roman" w:cs="Times New Roman"/>
          <w:sz w:val="24"/>
          <w:szCs w:val="24"/>
        </w:rPr>
        <w:t xml:space="preserve">ts exact size and extent as correctly found by the court </w:t>
      </w:r>
      <w:r w:rsidR="0090597A" w:rsidRPr="00497352">
        <w:rPr>
          <w:rFonts w:ascii="Times New Roman" w:hAnsi="Times New Roman" w:cs="Times New Roman"/>
          <w:i/>
          <w:sz w:val="24"/>
          <w:szCs w:val="24"/>
        </w:rPr>
        <w:t>a quo.</w:t>
      </w:r>
      <w:r w:rsidR="0090597A" w:rsidRPr="00497352">
        <w:rPr>
          <w:rFonts w:ascii="Times New Roman" w:hAnsi="Times New Roman" w:cs="Times New Roman"/>
          <w:sz w:val="24"/>
          <w:szCs w:val="24"/>
        </w:rPr>
        <w:t xml:space="preserve"> These errors and more were not peculiar to this </w:t>
      </w:r>
      <w:proofErr w:type="gramStart"/>
      <w:r w:rsidR="0090597A" w:rsidRPr="00497352">
        <w:rPr>
          <w:rFonts w:ascii="Times New Roman" w:hAnsi="Times New Roman" w:cs="Times New Roman"/>
          <w:sz w:val="24"/>
          <w:szCs w:val="24"/>
        </w:rPr>
        <w:t>particular piece</w:t>
      </w:r>
      <w:proofErr w:type="gramEnd"/>
      <w:r w:rsidR="0090597A" w:rsidRPr="00497352">
        <w:rPr>
          <w:rFonts w:ascii="Times New Roman" w:hAnsi="Times New Roman" w:cs="Times New Roman"/>
          <w:sz w:val="24"/>
          <w:szCs w:val="24"/>
        </w:rPr>
        <w:t xml:space="preserve"> of </w:t>
      </w:r>
      <w:r w:rsidR="00D74887" w:rsidRPr="00497352">
        <w:rPr>
          <w:rFonts w:ascii="Times New Roman" w:hAnsi="Times New Roman" w:cs="Times New Roman"/>
          <w:sz w:val="24"/>
          <w:szCs w:val="24"/>
        </w:rPr>
        <w:t>land. The</w:t>
      </w:r>
      <w:r w:rsidR="00D46018" w:rsidRPr="00497352">
        <w:rPr>
          <w:rFonts w:ascii="Times New Roman" w:hAnsi="Times New Roman" w:cs="Times New Roman"/>
          <w:sz w:val="24"/>
          <w:szCs w:val="24"/>
        </w:rPr>
        <w:t xml:space="preserve"> mistakes were </w:t>
      </w:r>
      <w:r w:rsidR="00994CC0" w:rsidRPr="00497352">
        <w:rPr>
          <w:rFonts w:ascii="Times New Roman" w:hAnsi="Times New Roman" w:cs="Times New Roman"/>
          <w:sz w:val="24"/>
          <w:szCs w:val="24"/>
        </w:rPr>
        <w:t>many and varied</w:t>
      </w:r>
      <w:r w:rsidR="00A67CE7" w:rsidRPr="00497352">
        <w:rPr>
          <w:rFonts w:ascii="Times New Roman" w:hAnsi="Times New Roman" w:cs="Times New Roman"/>
          <w:sz w:val="24"/>
          <w:szCs w:val="24"/>
        </w:rPr>
        <w:t xml:space="preserve"> relating to various other pieces of land, thereby</w:t>
      </w:r>
      <w:r w:rsidR="0090597A" w:rsidRPr="00497352">
        <w:rPr>
          <w:rFonts w:ascii="Times New Roman" w:hAnsi="Times New Roman" w:cs="Times New Roman"/>
          <w:sz w:val="24"/>
          <w:szCs w:val="24"/>
        </w:rPr>
        <w:t xml:space="preserve"> t</w:t>
      </w:r>
      <w:r w:rsidR="00D46018" w:rsidRPr="00497352">
        <w:rPr>
          <w:rFonts w:ascii="Times New Roman" w:hAnsi="Times New Roman" w:cs="Times New Roman"/>
          <w:sz w:val="24"/>
          <w:szCs w:val="24"/>
        </w:rPr>
        <w:t>hreatening to derail the entire</w:t>
      </w:r>
      <w:r w:rsidR="005F77C4" w:rsidRPr="00497352">
        <w:rPr>
          <w:rFonts w:ascii="Times New Roman" w:hAnsi="Times New Roman" w:cs="Times New Roman"/>
          <w:sz w:val="24"/>
          <w:szCs w:val="24"/>
        </w:rPr>
        <w:t xml:space="preserve"> Land Reform Pr</w:t>
      </w:r>
      <w:r w:rsidR="0090597A" w:rsidRPr="00497352">
        <w:rPr>
          <w:rFonts w:ascii="Times New Roman" w:hAnsi="Times New Roman" w:cs="Times New Roman"/>
          <w:sz w:val="24"/>
          <w:szCs w:val="24"/>
        </w:rPr>
        <w:t>ogramme.</w:t>
      </w:r>
      <w:r w:rsidR="00A67CE7" w:rsidRPr="00497352">
        <w:rPr>
          <w:rFonts w:ascii="Times New Roman" w:hAnsi="Times New Roman" w:cs="Times New Roman"/>
          <w:sz w:val="24"/>
          <w:szCs w:val="24"/>
        </w:rPr>
        <w:t xml:space="preserve"> </w:t>
      </w:r>
    </w:p>
    <w:p w:rsidR="00762D44" w:rsidRPr="00497352" w:rsidRDefault="00762D44" w:rsidP="00670D88">
      <w:pPr>
        <w:spacing w:after="0" w:line="480" w:lineRule="auto"/>
        <w:ind w:firstLine="1134"/>
        <w:jc w:val="both"/>
        <w:rPr>
          <w:rFonts w:ascii="Times New Roman" w:hAnsi="Times New Roman" w:cs="Times New Roman"/>
          <w:sz w:val="24"/>
          <w:szCs w:val="24"/>
        </w:rPr>
      </w:pPr>
    </w:p>
    <w:p w:rsidR="00B908AB" w:rsidRPr="00497352" w:rsidRDefault="00AC4B4E" w:rsidP="00670D88">
      <w:pPr>
        <w:spacing w:after="0" w:line="480" w:lineRule="auto"/>
        <w:ind w:firstLine="1134"/>
        <w:jc w:val="both"/>
        <w:rPr>
          <w:rFonts w:ascii="Times New Roman" w:hAnsi="Times New Roman" w:cs="Times New Roman"/>
          <w:sz w:val="24"/>
          <w:szCs w:val="24"/>
        </w:rPr>
      </w:pPr>
      <w:proofErr w:type="gramStart"/>
      <w:r w:rsidRPr="00497352">
        <w:rPr>
          <w:rFonts w:ascii="Times New Roman" w:hAnsi="Times New Roman" w:cs="Times New Roman"/>
          <w:sz w:val="24"/>
          <w:szCs w:val="24"/>
        </w:rPr>
        <w:t>In order to</w:t>
      </w:r>
      <w:proofErr w:type="gramEnd"/>
      <w:r w:rsidRPr="00497352">
        <w:rPr>
          <w:rFonts w:ascii="Times New Roman" w:hAnsi="Times New Roman" w:cs="Times New Roman"/>
          <w:sz w:val="24"/>
          <w:szCs w:val="24"/>
        </w:rPr>
        <w:t xml:space="preserve"> protect and keep</w:t>
      </w:r>
      <w:r w:rsidR="00B908AB" w:rsidRPr="00497352">
        <w:rPr>
          <w:rFonts w:ascii="Times New Roman" w:hAnsi="Times New Roman" w:cs="Times New Roman"/>
          <w:sz w:val="24"/>
          <w:szCs w:val="24"/>
        </w:rPr>
        <w:t xml:space="preserve"> the Land Reform Programme on course</w:t>
      </w:r>
      <w:r w:rsidR="003677E5" w:rsidRPr="00497352">
        <w:rPr>
          <w:rFonts w:ascii="Times New Roman" w:hAnsi="Times New Roman" w:cs="Times New Roman"/>
          <w:sz w:val="24"/>
          <w:szCs w:val="24"/>
        </w:rPr>
        <w:t>,</w:t>
      </w:r>
      <w:r w:rsidR="00B908AB" w:rsidRPr="00497352">
        <w:rPr>
          <w:rFonts w:ascii="Times New Roman" w:hAnsi="Times New Roman" w:cs="Times New Roman"/>
          <w:sz w:val="24"/>
          <w:szCs w:val="24"/>
        </w:rPr>
        <w:t xml:space="preserve"> Parliament in its wisdom amended the </w:t>
      </w:r>
      <w:r w:rsidR="000C30B1" w:rsidRPr="00497352">
        <w:rPr>
          <w:rFonts w:ascii="Times New Roman" w:hAnsi="Times New Roman" w:cs="Times New Roman"/>
          <w:sz w:val="24"/>
          <w:szCs w:val="24"/>
        </w:rPr>
        <w:t xml:space="preserve">former </w:t>
      </w:r>
      <w:r w:rsidR="00B908AB" w:rsidRPr="00497352">
        <w:rPr>
          <w:rFonts w:ascii="Times New Roman" w:hAnsi="Times New Roman" w:cs="Times New Roman"/>
          <w:sz w:val="24"/>
          <w:szCs w:val="24"/>
        </w:rPr>
        <w:t>Constitution</w:t>
      </w:r>
      <w:r w:rsidR="00467AF4" w:rsidRPr="00497352">
        <w:rPr>
          <w:rFonts w:ascii="Times New Roman" w:hAnsi="Times New Roman" w:cs="Times New Roman"/>
          <w:sz w:val="24"/>
          <w:szCs w:val="24"/>
        </w:rPr>
        <w:t xml:space="preserve">. The intention of the legislature was </w:t>
      </w:r>
      <w:r w:rsidR="00B908AB" w:rsidRPr="00497352">
        <w:rPr>
          <w:rFonts w:ascii="Times New Roman" w:hAnsi="Times New Roman" w:cs="Times New Roman"/>
          <w:sz w:val="24"/>
          <w:szCs w:val="24"/>
        </w:rPr>
        <w:t xml:space="preserve">to </w:t>
      </w:r>
      <w:r w:rsidR="008A2ADD" w:rsidRPr="00497352">
        <w:rPr>
          <w:rFonts w:ascii="Times New Roman" w:hAnsi="Times New Roman" w:cs="Times New Roman"/>
          <w:sz w:val="24"/>
          <w:szCs w:val="24"/>
        </w:rPr>
        <w:t xml:space="preserve">automatically </w:t>
      </w:r>
      <w:r w:rsidR="00B908AB" w:rsidRPr="00497352">
        <w:rPr>
          <w:rFonts w:ascii="Times New Roman" w:hAnsi="Times New Roman" w:cs="Times New Roman"/>
          <w:sz w:val="24"/>
          <w:szCs w:val="24"/>
        </w:rPr>
        <w:t xml:space="preserve">validate the acquisition of </w:t>
      </w:r>
      <w:r w:rsidR="008A2ADD" w:rsidRPr="00497352">
        <w:rPr>
          <w:rFonts w:ascii="Times New Roman" w:hAnsi="Times New Roman" w:cs="Times New Roman"/>
          <w:sz w:val="24"/>
          <w:szCs w:val="24"/>
        </w:rPr>
        <w:t xml:space="preserve">all agricultural </w:t>
      </w:r>
      <w:r w:rsidR="00B908AB" w:rsidRPr="00497352">
        <w:rPr>
          <w:rFonts w:ascii="Times New Roman" w:hAnsi="Times New Roman" w:cs="Times New Roman"/>
          <w:sz w:val="24"/>
          <w:szCs w:val="24"/>
        </w:rPr>
        <w:t>land identified</w:t>
      </w:r>
      <w:r w:rsidR="008A2ADD" w:rsidRPr="00497352">
        <w:rPr>
          <w:rFonts w:ascii="Times New Roman" w:hAnsi="Times New Roman" w:cs="Times New Roman"/>
          <w:sz w:val="24"/>
          <w:szCs w:val="24"/>
        </w:rPr>
        <w:t xml:space="preserve"> and listed under schedule 7</w:t>
      </w:r>
      <w:r w:rsidR="00B64209" w:rsidRPr="00497352">
        <w:rPr>
          <w:rFonts w:ascii="Times New Roman" w:hAnsi="Times New Roman" w:cs="Times New Roman"/>
          <w:sz w:val="24"/>
          <w:szCs w:val="24"/>
        </w:rPr>
        <w:t xml:space="preserve"> for purposes of </w:t>
      </w:r>
      <w:r w:rsidR="00E338C1" w:rsidRPr="00497352">
        <w:rPr>
          <w:rFonts w:ascii="Times New Roman" w:hAnsi="Times New Roman" w:cs="Times New Roman"/>
          <w:sz w:val="24"/>
          <w:szCs w:val="24"/>
        </w:rPr>
        <w:t>the Land</w:t>
      </w:r>
      <w:r w:rsidR="00E328F8" w:rsidRPr="00497352">
        <w:rPr>
          <w:rFonts w:ascii="Times New Roman" w:hAnsi="Times New Roman" w:cs="Times New Roman"/>
          <w:sz w:val="24"/>
          <w:szCs w:val="24"/>
        </w:rPr>
        <w:t xml:space="preserve"> reform </w:t>
      </w:r>
      <w:r w:rsidR="00E338C1" w:rsidRPr="00497352">
        <w:rPr>
          <w:rFonts w:ascii="Times New Roman" w:hAnsi="Times New Roman" w:cs="Times New Roman"/>
          <w:sz w:val="24"/>
          <w:szCs w:val="24"/>
        </w:rPr>
        <w:t>programme on</w:t>
      </w:r>
      <w:r w:rsidR="00B908AB" w:rsidRPr="00497352">
        <w:rPr>
          <w:rFonts w:ascii="Times New Roman" w:hAnsi="Times New Roman" w:cs="Times New Roman"/>
          <w:sz w:val="24"/>
          <w:szCs w:val="24"/>
        </w:rPr>
        <w:t xml:space="preserve"> or before 8 July 2005 regardless of any errors or mistakes that may otherwise have nullified the acquisition</w:t>
      </w:r>
      <w:r w:rsidR="003677E5" w:rsidRPr="00497352">
        <w:rPr>
          <w:rFonts w:ascii="Times New Roman" w:hAnsi="Times New Roman" w:cs="Times New Roman"/>
          <w:sz w:val="24"/>
          <w:szCs w:val="24"/>
        </w:rPr>
        <w:t xml:space="preserve"> in the normal run of things</w:t>
      </w:r>
      <w:r w:rsidR="00B908AB" w:rsidRPr="00497352">
        <w:rPr>
          <w:rFonts w:ascii="Times New Roman" w:hAnsi="Times New Roman" w:cs="Times New Roman"/>
          <w:sz w:val="24"/>
          <w:szCs w:val="24"/>
        </w:rPr>
        <w:t>.</w:t>
      </w:r>
    </w:p>
    <w:p w:rsidR="00101D47" w:rsidRPr="00497352" w:rsidRDefault="006B1AF9" w:rsidP="00670D88">
      <w:pPr>
        <w:spacing w:after="0" w:line="480" w:lineRule="auto"/>
        <w:ind w:firstLine="1134"/>
        <w:jc w:val="both"/>
        <w:rPr>
          <w:rFonts w:ascii="Times New Roman" w:hAnsi="Times New Roman" w:cs="Times New Roman"/>
          <w:sz w:val="24"/>
          <w:szCs w:val="24"/>
        </w:rPr>
      </w:pPr>
      <w:r w:rsidRPr="00497352">
        <w:rPr>
          <w:rFonts w:ascii="Times New Roman" w:hAnsi="Times New Roman" w:cs="Times New Roman"/>
          <w:sz w:val="24"/>
          <w:szCs w:val="24"/>
        </w:rPr>
        <w:lastRenderedPageBreak/>
        <w:t xml:space="preserve">The disputed land was acquired under the former Constitution of which s 16B (2) </w:t>
      </w:r>
      <w:r w:rsidR="00101D47" w:rsidRPr="00497352">
        <w:rPr>
          <w:rFonts w:ascii="Times New Roman" w:hAnsi="Times New Roman" w:cs="Times New Roman"/>
          <w:sz w:val="24"/>
          <w:szCs w:val="24"/>
        </w:rPr>
        <w:t xml:space="preserve">as amended provides as follows: </w:t>
      </w:r>
    </w:p>
    <w:p w:rsidR="00101D47" w:rsidRPr="00497352" w:rsidRDefault="00101D47" w:rsidP="00762D44">
      <w:pPr>
        <w:spacing w:after="0" w:line="240" w:lineRule="auto"/>
        <w:jc w:val="both"/>
        <w:rPr>
          <w:rFonts w:ascii="Times New Roman" w:hAnsi="Times New Roman" w:cs="Times New Roman"/>
          <w:sz w:val="24"/>
          <w:szCs w:val="24"/>
        </w:rPr>
      </w:pPr>
      <w:r w:rsidRPr="00497352">
        <w:rPr>
          <w:rFonts w:ascii="Times New Roman" w:hAnsi="Times New Roman" w:cs="Times New Roman"/>
          <w:sz w:val="24"/>
          <w:szCs w:val="24"/>
        </w:rPr>
        <w:tab/>
        <w:t>“(a) All Agricultural land –</w:t>
      </w:r>
    </w:p>
    <w:p w:rsidR="00101D47" w:rsidRPr="00497352" w:rsidRDefault="00101D47" w:rsidP="00762D44">
      <w:pPr>
        <w:pStyle w:val="ListParagraph"/>
        <w:numPr>
          <w:ilvl w:val="0"/>
          <w:numId w:val="6"/>
        </w:numPr>
        <w:spacing w:after="0" w:line="240" w:lineRule="auto"/>
        <w:jc w:val="both"/>
        <w:rPr>
          <w:rFonts w:ascii="Times New Roman" w:hAnsi="Times New Roman" w:cs="Times New Roman"/>
          <w:sz w:val="24"/>
          <w:szCs w:val="24"/>
        </w:rPr>
      </w:pPr>
      <w:r w:rsidRPr="00497352">
        <w:rPr>
          <w:rFonts w:ascii="Times New Roman" w:hAnsi="Times New Roman" w:cs="Times New Roman"/>
          <w:sz w:val="24"/>
          <w:szCs w:val="24"/>
        </w:rPr>
        <w:t>That was identified on or before the 8</w:t>
      </w:r>
      <w:r w:rsidRPr="00497352">
        <w:rPr>
          <w:rFonts w:ascii="Times New Roman" w:hAnsi="Times New Roman" w:cs="Times New Roman"/>
          <w:sz w:val="24"/>
          <w:szCs w:val="24"/>
          <w:vertAlign w:val="superscript"/>
        </w:rPr>
        <w:t>th</w:t>
      </w:r>
      <w:r w:rsidRPr="00497352">
        <w:rPr>
          <w:rFonts w:ascii="Times New Roman" w:hAnsi="Times New Roman" w:cs="Times New Roman"/>
          <w:sz w:val="24"/>
          <w:szCs w:val="24"/>
        </w:rPr>
        <w:t xml:space="preserve"> July 2005</w:t>
      </w:r>
      <w:r w:rsidR="007B130D" w:rsidRPr="00497352">
        <w:rPr>
          <w:rFonts w:ascii="Times New Roman" w:hAnsi="Times New Roman" w:cs="Times New Roman"/>
          <w:sz w:val="24"/>
          <w:szCs w:val="24"/>
        </w:rPr>
        <w:t>, in the government Gazette or G</w:t>
      </w:r>
      <w:r w:rsidRPr="00497352">
        <w:rPr>
          <w:rFonts w:ascii="Times New Roman" w:hAnsi="Times New Roman" w:cs="Times New Roman"/>
          <w:sz w:val="24"/>
          <w:szCs w:val="24"/>
        </w:rPr>
        <w:t xml:space="preserve">azette Extraordinary under section 5 (1) Of the Land Acquisition Act [Chapter 20:10], and which is itemized in Schedule 7 being agricultural land required for resettlement purposes is acquired by and is vested in the State with full tittle </w:t>
      </w:r>
      <w:r w:rsidR="006B3E6C" w:rsidRPr="00497352">
        <w:rPr>
          <w:rFonts w:ascii="Times New Roman" w:hAnsi="Times New Roman" w:cs="Times New Roman"/>
          <w:sz w:val="24"/>
          <w:szCs w:val="24"/>
        </w:rPr>
        <w:t>therein with effect from the appointed date.</w:t>
      </w:r>
    </w:p>
    <w:p w:rsidR="006B3E6C" w:rsidRPr="00497352" w:rsidRDefault="006B3E6C" w:rsidP="00762D44">
      <w:pPr>
        <w:spacing w:after="0" w:line="240" w:lineRule="auto"/>
        <w:ind w:left="1080" w:firstLine="360"/>
        <w:jc w:val="both"/>
        <w:rPr>
          <w:rFonts w:ascii="Times New Roman" w:hAnsi="Times New Roman" w:cs="Times New Roman"/>
          <w:sz w:val="24"/>
          <w:szCs w:val="24"/>
        </w:rPr>
      </w:pPr>
      <w:r w:rsidRPr="00497352">
        <w:rPr>
          <w:rFonts w:ascii="Times New Roman" w:hAnsi="Times New Roman" w:cs="Times New Roman"/>
          <w:sz w:val="24"/>
          <w:szCs w:val="24"/>
        </w:rPr>
        <w:t>...</w:t>
      </w:r>
    </w:p>
    <w:p w:rsidR="006B3E6C" w:rsidRPr="00497352" w:rsidRDefault="006B3E6C" w:rsidP="00762D44">
      <w:pPr>
        <w:spacing w:after="0" w:line="240" w:lineRule="auto"/>
        <w:ind w:left="360" w:firstLine="360"/>
        <w:jc w:val="both"/>
        <w:rPr>
          <w:rFonts w:ascii="Times New Roman" w:hAnsi="Times New Roman" w:cs="Times New Roman"/>
          <w:sz w:val="24"/>
          <w:szCs w:val="24"/>
        </w:rPr>
      </w:pPr>
      <w:r w:rsidRPr="00497352">
        <w:rPr>
          <w:rFonts w:ascii="Times New Roman" w:hAnsi="Times New Roman" w:cs="Times New Roman"/>
          <w:sz w:val="24"/>
          <w:szCs w:val="24"/>
        </w:rPr>
        <w:t xml:space="preserve">(5) </w:t>
      </w:r>
      <w:r w:rsidRPr="00497352">
        <w:rPr>
          <w:rFonts w:ascii="Times New Roman" w:hAnsi="Times New Roman" w:cs="Times New Roman"/>
          <w:sz w:val="24"/>
          <w:szCs w:val="24"/>
        </w:rPr>
        <w:tab/>
        <w:t xml:space="preserve">Any inconsistency between anything contained in – </w:t>
      </w:r>
    </w:p>
    <w:p w:rsidR="006B3E6C" w:rsidRPr="00497352" w:rsidRDefault="006B3E6C" w:rsidP="00762D44">
      <w:pPr>
        <w:spacing w:after="0" w:line="240" w:lineRule="auto"/>
        <w:ind w:left="360"/>
        <w:jc w:val="both"/>
        <w:rPr>
          <w:rFonts w:ascii="Times New Roman" w:hAnsi="Times New Roman" w:cs="Times New Roman"/>
          <w:sz w:val="24"/>
          <w:szCs w:val="24"/>
        </w:rPr>
      </w:pPr>
    </w:p>
    <w:p w:rsidR="006B3E6C" w:rsidRPr="00497352" w:rsidRDefault="006B3E6C" w:rsidP="00762D44">
      <w:pPr>
        <w:pStyle w:val="ListParagraph"/>
        <w:numPr>
          <w:ilvl w:val="0"/>
          <w:numId w:val="7"/>
        </w:numPr>
        <w:spacing w:after="0" w:line="240" w:lineRule="auto"/>
        <w:jc w:val="both"/>
        <w:rPr>
          <w:rFonts w:ascii="Times New Roman" w:hAnsi="Times New Roman" w:cs="Times New Roman"/>
          <w:sz w:val="24"/>
          <w:szCs w:val="24"/>
        </w:rPr>
      </w:pPr>
      <w:r w:rsidRPr="00497352">
        <w:rPr>
          <w:rFonts w:ascii="Times New Roman" w:hAnsi="Times New Roman" w:cs="Times New Roman"/>
          <w:sz w:val="24"/>
          <w:szCs w:val="24"/>
        </w:rPr>
        <w:t xml:space="preserve">a notice itemized in schedule </w:t>
      </w:r>
      <w:proofErr w:type="gramStart"/>
      <w:r w:rsidRPr="00497352">
        <w:rPr>
          <w:rFonts w:ascii="Times New Roman" w:hAnsi="Times New Roman" w:cs="Times New Roman"/>
          <w:sz w:val="24"/>
          <w:szCs w:val="24"/>
        </w:rPr>
        <w:t>7 ;</w:t>
      </w:r>
      <w:proofErr w:type="gramEnd"/>
      <w:r w:rsidRPr="00497352">
        <w:rPr>
          <w:rFonts w:ascii="Times New Roman" w:hAnsi="Times New Roman" w:cs="Times New Roman"/>
          <w:sz w:val="24"/>
          <w:szCs w:val="24"/>
        </w:rPr>
        <w:t xml:space="preserve"> or </w:t>
      </w:r>
    </w:p>
    <w:p w:rsidR="00212736" w:rsidRPr="00497352" w:rsidRDefault="00212736" w:rsidP="00762D44">
      <w:pPr>
        <w:pStyle w:val="ListParagraph"/>
        <w:spacing w:after="0" w:line="240" w:lineRule="auto"/>
        <w:ind w:left="1080"/>
        <w:jc w:val="both"/>
        <w:rPr>
          <w:rFonts w:ascii="Times New Roman" w:hAnsi="Times New Roman" w:cs="Times New Roman"/>
          <w:sz w:val="24"/>
          <w:szCs w:val="24"/>
        </w:rPr>
      </w:pPr>
    </w:p>
    <w:p w:rsidR="00A65C5E" w:rsidRPr="00497352" w:rsidRDefault="006B3E6C" w:rsidP="00762D44">
      <w:pPr>
        <w:pStyle w:val="ListParagraph"/>
        <w:numPr>
          <w:ilvl w:val="0"/>
          <w:numId w:val="7"/>
        </w:numPr>
        <w:spacing w:after="0" w:line="240" w:lineRule="auto"/>
        <w:ind w:left="2127" w:hanging="687"/>
        <w:jc w:val="both"/>
        <w:rPr>
          <w:rFonts w:ascii="Times New Roman" w:hAnsi="Times New Roman" w:cs="Times New Roman"/>
          <w:sz w:val="24"/>
          <w:szCs w:val="24"/>
        </w:rPr>
      </w:pPr>
      <w:r w:rsidRPr="00497352">
        <w:rPr>
          <w:rFonts w:ascii="Times New Roman" w:hAnsi="Times New Roman" w:cs="Times New Roman"/>
          <w:sz w:val="24"/>
          <w:szCs w:val="24"/>
        </w:rPr>
        <w:t>a not</w:t>
      </w:r>
      <w:r w:rsidR="002C6C17" w:rsidRPr="00497352">
        <w:rPr>
          <w:rFonts w:ascii="Times New Roman" w:hAnsi="Times New Roman" w:cs="Times New Roman"/>
          <w:sz w:val="24"/>
          <w:szCs w:val="24"/>
        </w:rPr>
        <w:t>ice relating to land referred t</w:t>
      </w:r>
      <w:r w:rsidR="000C55C7" w:rsidRPr="00497352">
        <w:rPr>
          <w:rFonts w:ascii="Times New Roman" w:hAnsi="Times New Roman" w:cs="Times New Roman"/>
          <w:sz w:val="24"/>
          <w:szCs w:val="24"/>
        </w:rPr>
        <w:t>o in subsection (2) (ii) OR (iii</w:t>
      </w:r>
      <w:r w:rsidRPr="00497352">
        <w:rPr>
          <w:rFonts w:ascii="Times New Roman" w:hAnsi="Times New Roman" w:cs="Times New Roman"/>
          <w:sz w:val="24"/>
          <w:szCs w:val="24"/>
        </w:rPr>
        <w:t xml:space="preserve">); and the tittle deed to which it refers or is intended to refer, and any error whatsoever contained in such notice, shall not affect the operation of </w:t>
      </w:r>
      <w:r w:rsidR="00212736" w:rsidRPr="00497352">
        <w:rPr>
          <w:rFonts w:ascii="Times New Roman" w:hAnsi="Times New Roman" w:cs="Times New Roman"/>
          <w:sz w:val="24"/>
          <w:szCs w:val="24"/>
        </w:rPr>
        <w:t>subsection (2) (a) or invalidate the vesting of title in the State in terms of that provision.”</w:t>
      </w:r>
    </w:p>
    <w:p w:rsidR="00762D44" w:rsidRPr="00497352" w:rsidRDefault="00762D44" w:rsidP="00762D44">
      <w:pPr>
        <w:pStyle w:val="ListParagraph"/>
        <w:rPr>
          <w:rFonts w:ascii="Times New Roman" w:hAnsi="Times New Roman" w:cs="Times New Roman"/>
          <w:sz w:val="24"/>
          <w:szCs w:val="24"/>
        </w:rPr>
      </w:pPr>
    </w:p>
    <w:p w:rsidR="00762D44" w:rsidRPr="00497352" w:rsidRDefault="00762D44" w:rsidP="00762D44">
      <w:pPr>
        <w:pStyle w:val="ListParagraph"/>
        <w:rPr>
          <w:rFonts w:ascii="Times New Roman" w:hAnsi="Times New Roman" w:cs="Times New Roman"/>
          <w:sz w:val="24"/>
          <w:szCs w:val="24"/>
        </w:rPr>
      </w:pPr>
    </w:p>
    <w:p w:rsidR="00762D44" w:rsidRPr="00497352" w:rsidRDefault="00762D44" w:rsidP="00762D44">
      <w:pPr>
        <w:pStyle w:val="ListParagraph"/>
        <w:spacing w:after="0" w:line="240" w:lineRule="auto"/>
        <w:ind w:left="1440"/>
        <w:jc w:val="both"/>
        <w:rPr>
          <w:rFonts w:ascii="Times New Roman" w:hAnsi="Times New Roman" w:cs="Times New Roman"/>
          <w:sz w:val="24"/>
          <w:szCs w:val="24"/>
        </w:rPr>
      </w:pPr>
    </w:p>
    <w:p w:rsidR="0056687F" w:rsidRPr="00497352" w:rsidRDefault="0056687F" w:rsidP="00670D88">
      <w:pPr>
        <w:spacing w:after="0" w:line="480" w:lineRule="auto"/>
        <w:ind w:firstLine="1134"/>
        <w:jc w:val="both"/>
        <w:rPr>
          <w:rFonts w:ascii="Times New Roman" w:hAnsi="Times New Roman" w:cs="Times New Roman"/>
          <w:sz w:val="24"/>
          <w:szCs w:val="24"/>
        </w:rPr>
      </w:pPr>
      <w:r w:rsidRPr="00497352">
        <w:rPr>
          <w:rFonts w:ascii="Times New Roman" w:hAnsi="Times New Roman" w:cs="Times New Roman"/>
          <w:sz w:val="24"/>
          <w:szCs w:val="24"/>
        </w:rPr>
        <w:t>The effect of the above section was to revive, resuscitate and validate the acquisition of all identified agricultural land listed in</w:t>
      </w:r>
      <w:r w:rsidR="009A795D" w:rsidRPr="00497352">
        <w:rPr>
          <w:rFonts w:ascii="Times New Roman" w:hAnsi="Times New Roman" w:cs="Times New Roman"/>
          <w:sz w:val="24"/>
          <w:szCs w:val="24"/>
        </w:rPr>
        <w:t xml:space="preserve"> the</w:t>
      </w:r>
      <w:r w:rsidRPr="00497352">
        <w:rPr>
          <w:rFonts w:ascii="Times New Roman" w:hAnsi="Times New Roman" w:cs="Times New Roman"/>
          <w:sz w:val="24"/>
          <w:szCs w:val="24"/>
        </w:rPr>
        <w:t xml:space="preserve"> 7</w:t>
      </w:r>
      <w:r w:rsidRPr="00497352">
        <w:rPr>
          <w:rFonts w:ascii="Times New Roman" w:hAnsi="Times New Roman" w:cs="Times New Roman"/>
          <w:sz w:val="24"/>
          <w:szCs w:val="24"/>
          <w:vertAlign w:val="superscript"/>
        </w:rPr>
        <w:t>th</w:t>
      </w:r>
      <w:r w:rsidRPr="00497352">
        <w:rPr>
          <w:rFonts w:ascii="Times New Roman" w:hAnsi="Times New Roman" w:cs="Times New Roman"/>
          <w:sz w:val="24"/>
          <w:szCs w:val="24"/>
        </w:rPr>
        <w:t xml:space="preserve"> schedule for resettlement purposes prior to 8 July 2005 regardless of any error</w:t>
      </w:r>
      <w:r w:rsidR="009A795D" w:rsidRPr="00497352">
        <w:rPr>
          <w:rFonts w:ascii="Times New Roman" w:hAnsi="Times New Roman" w:cs="Times New Roman"/>
          <w:sz w:val="24"/>
          <w:szCs w:val="24"/>
        </w:rPr>
        <w:t>s or withdrawals</w:t>
      </w:r>
      <w:r w:rsidRPr="00497352">
        <w:rPr>
          <w:rFonts w:ascii="Times New Roman" w:hAnsi="Times New Roman" w:cs="Times New Roman"/>
          <w:sz w:val="24"/>
          <w:szCs w:val="24"/>
        </w:rPr>
        <w:t xml:space="preserve"> in the acquisition process. </w:t>
      </w:r>
      <w:r w:rsidR="001C1486" w:rsidRPr="00497352">
        <w:rPr>
          <w:rFonts w:ascii="Times New Roman" w:hAnsi="Times New Roman" w:cs="Times New Roman"/>
          <w:sz w:val="24"/>
          <w:szCs w:val="24"/>
        </w:rPr>
        <w:t>No limitation can be imposed on the acquisition process once the land is shown to have been gazetted and listed in the 7</w:t>
      </w:r>
      <w:r w:rsidR="001C1486" w:rsidRPr="00497352">
        <w:rPr>
          <w:rFonts w:ascii="Times New Roman" w:hAnsi="Times New Roman" w:cs="Times New Roman"/>
          <w:sz w:val="24"/>
          <w:szCs w:val="24"/>
          <w:vertAlign w:val="superscript"/>
        </w:rPr>
        <w:t>th</w:t>
      </w:r>
      <w:r w:rsidR="00762D44" w:rsidRPr="00497352">
        <w:rPr>
          <w:rFonts w:ascii="Times New Roman" w:hAnsi="Times New Roman" w:cs="Times New Roman"/>
          <w:sz w:val="24"/>
          <w:szCs w:val="24"/>
        </w:rPr>
        <w:t xml:space="preserve"> schedule prior to 8 July </w:t>
      </w:r>
      <w:r w:rsidR="001C1486" w:rsidRPr="00497352">
        <w:rPr>
          <w:rFonts w:ascii="Times New Roman" w:hAnsi="Times New Roman" w:cs="Times New Roman"/>
          <w:sz w:val="24"/>
          <w:szCs w:val="24"/>
        </w:rPr>
        <w:t>20</w:t>
      </w:r>
      <w:r w:rsidR="008729F3" w:rsidRPr="00497352">
        <w:rPr>
          <w:rFonts w:ascii="Times New Roman" w:hAnsi="Times New Roman" w:cs="Times New Roman"/>
          <w:sz w:val="24"/>
          <w:szCs w:val="24"/>
        </w:rPr>
        <w:t>0</w:t>
      </w:r>
      <w:r w:rsidR="001C1486" w:rsidRPr="00497352">
        <w:rPr>
          <w:rFonts w:ascii="Times New Roman" w:hAnsi="Times New Roman" w:cs="Times New Roman"/>
          <w:sz w:val="24"/>
          <w:szCs w:val="24"/>
        </w:rPr>
        <w:t>5.</w:t>
      </w:r>
    </w:p>
    <w:p w:rsidR="00762D44" w:rsidRPr="00497352" w:rsidRDefault="00762D44" w:rsidP="00670D88">
      <w:pPr>
        <w:spacing w:after="0" w:line="480" w:lineRule="auto"/>
        <w:ind w:firstLine="1134"/>
        <w:jc w:val="both"/>
        <w:rPr>
          <w:rFonts w:ascii="Times New Roman" w:hAnsi="Times New Roman" w:cs="Times New Roman"/>
          <w:sz w:val="24"/>
          <w:szCs w:val="24"/>
        </w:rPr>
      </w:pPr>
    </w:p>
    <w:p w:rsidR="003771B5" w:rsidRDefault="003F20DB" w:rsidP="00670D88">
      <w:pPr>
        <w:spacing w:after="0" w:line="480" w:lineRule="auto"/>
        <w:ind w:firstLine="1134"/>
        <w:jc w:val="both"/>
        <w:rPr>
          <w:rFonts w:ascii="Times New Roman" w:hAnsi="Times New Roman" w:cs="Times New Roman"/>
          <w:sz w:val="24"/>
          <w:szCs w:val="24"/>
        </w:rPr>
      </w:pPr>
      <w:r w:rsidRPr="00497352">
        <w:rPr>
          <w:rFonts w:ascii="Times New Roman" w:hAnsi="Times New Roman" w:cs="Times New Roman"/>
          <w:sz w:val="24"/>
          <w:szCs w:val="24"/>
        </w:rPr>
        <w:t xml:space="preserve">The language used in s </w:t>
      </w:r>
      <w:r w:rsidR="00D41ADF" w:rsidRPr="00497352">
        <w:rPr>
          <w:rFonts w:ascii="Times New Roman" w:hAnsi="Times New Roman" w:cs="Times New Roman"/>
          <w:sz w:val="24"/>
          <w:szCs w:val="24"/>
        </w:rPr>
        <w:t>16B (</w:t>
      </w:r>
      <w:r w:rsidRPr="00497352">
        <w:rPr>
          <w:rFonts w:ascii="Times New Roman" w:hAnsi="Times New Roman" w:cs="Times New Roman"/>
          <w:sz w:val="24"/>
          <w:szCs w:val="24"/>
        </w:rPr>
        <w:t xml:space="preserve">2) of the former Constitution is clear and unambiguous admitting no ambivalent interpretation. </w:t>
      </w:r>
      <w:r w:rsidR="00D41ADF" w:rsidRPr="00497352">
        <w:rPr>
          <w:rFonts w:ascii="Times New Roman" w:hAnsi="Times New Roman" w:cs="Times New Roman"/>
          <w:sz w:val="24"/>
          <w:szCs w:val="24"/>
        </w:rPr>
        <w:t>The only meaning to be ascribed to the section is that once land is gazetted and listed in schedule 7 it automatically stands acquired by the State with full title by operation of law.</w:t>
      </w:r>
      <w:r w:rsidR="007517DA" w:rsidRPr="00497352">
        <w:rPr>
          <w:rFonts w:ascii="Times New Roman" w:hAnsi="Times New Roman" w:cs="Times New Roman"/>
          <w:sz w:val="24"/>
          <w:szCs w:val="24"/>
        </w:rPr>
        <w:t xml:space="preserve"> The mere fact that the notice was at one time withdrawn or expired is irrelevant</w:t>
      </w:r>
      <w:r w:rsidR="003771B5">
        <w:rPr>
          <w:rFonts w:ascii="Times New Roman" w:hAnsi="Times New Roman" w:cs="Times New Roman"/>
          <w:sz w:val="24"/>
          <w:szCs w:val="24"/>
        </w:rPr>
        <w:t>.</w:t>
      </w:r>
    </w:p>
    <w:p w:rsidR="003F20DB" w:rsidRPr="00497352" w:rsidRDefault="008729F3" w:rsidP="00670D88">
      <w:pPr>
        <w:spacing w:after="0" w:line="480" w:lineRule="auto"/>
        <w:ind w:firstLine="1134"/>
        <w:jc w:val="both"/>
        <w:rPr>
          <w:rFonts w:ascii="Times New Roman" w:hAnsi="Times New Roman" w:cs="Times New Roman"/>
          <w:sz w:val="24"/>
          <w:szCs w:val="24"/>
        </w:rPr>
      </w:pPr>
      <w:r w:rsidRPr="00497352">
        <w:rPr>
          <w:rFonts w:ascii="Times New Roman" w:hAnsi="Times New Roman" w:cs="Times New Roman"/>
          <w:sz w:val="24"/>
          <w:szCs w:val="24"/>
        </w:rPr>
        <w:t xml:space="preserve"> </w:t>
      </w:r>
    </w:p>
    <w:p w:rsidR="003C582A" w:rsidRPr="00497352" w:rsidRDefault="00A65C5E" w:rsidP="00670D88">
      <w:pPr>
        <w:spacing w:after="0" w:line="480" w:lineRule="auto"/>
        <w:ind w:firstLine="1134"/>
        <w:jc w:val="both"/>
        <w:rPr>
          <w:rFonts w:ascii="Times New Roman" w:hAnsi="Times New Roman" w:cs="Times New Roman"/>
          <w:sz w:val="24"/>
          <w:szCs w:val="24"/>
        </w:rPr>
      </w:pPr>
      <w:r w:rsidRPr="00497352">
        <w:rPr>
          <w:rFonts w:ascii="Times New Roman" w:hAnsi="Times New Roman" w:cs="Times New Roman"/>
          <w:sz w:val="24"/>
          <w:szCs w:val="24"/>
        </w:rPr>
        <w:lastRenderedPageBreak/>
        <w:t xml:space="preserve">Applying the law to the facts, </w:t>
      </w:r>
      <w:proofErr w:type="gramStart"/>
      <w:r w:rsidR="00D36126" w:rsidRPr="00497352">
        <w:rPr>
          <w:rFonts w:ascii="Times New Roman" w:hAnsi="Times New Roman" w:cs="Times New Roman"/>
          <w:sz w:val="24"/>
          <w:szCs w:val="24"/>
        </w:rPr>
        <w:t xml:space="preserve">it is plain that </w:t>
      </w:r>
      <w:r w:rsidR="00B83E76" w:rsidRPr="00497352">
        <w:rPr>
          <w:rFonts w:ascii="Times New Roman" w:hAnsi="Times New Roman" w:cs="Times New Roman"/>
          <w:sz w:val="24"/>
          <w:szCs w:val="24"/>
        </w:rPr>
        <w:t>the</w:t>
      </w:r>
      <w:proofErr w:type="gramEnd"/>
      <w:r w:rsidR="00B83E76" w:rsidRPr="00497352">
        <w:rPr>
          <w:rFonts w:ascii="Times New Roman" w:hAnsi="Times New Roman" w:cs="Times New Roman"/>
          <w:sz w:val="24"/>
          <w:szCs w:val="24"/>
        </w:rPr>
        <w:t xml:space="preserve"> disputed land was identified and</w:t>
      </w:r>
      <w:r w:rsidR="00A76C06" w:rsidRPr="00497352">
        <w:rPr>
          <w:rFonts w:ascii="Times New Roman" w:hAnsi="Times New Roman" w:cs="Times New Roman"/>
          <w:sz w:val="24"/>
          <w:szCs w:val="24"/>
        </w:rPr>
        <w:t xml:space="preserve"> a preliminary notice</w:t>
      </w:r>
      <w:r w:rsidR="00B83E76" w:rsidRPr="00497352">
        <w:rPr>
          <w:rFonts w:ascii="Times New Roman" w:hAnsi="Times New Roman" w:cs="Times New Roman"/>
          <w:sz w:val="24"/>
          <w:szCs w:val="24"/>
        </w:rPr>
        <w:t xml:space="preserve"> of </w:t>
      </w:r>
      <w:r w:rsidR="00A76C06" w:rsidRPr="00497352">
        <w:rPr>
          <w:rFonts w:ascii="Times New Roman" w:hAnsi="Times New Roman" w:cs="Times New Roman"/>
          <w:sz w:val="24"/>
          <w:szCs w:val="24"/>
        </w:rPr>
        <w:t>intention to acquir</w:t>
      </w:r>
      <w:r w:rsidR="005578CE" w:rsidRPr="00497352">
        <w:rPr>
          <w:rFonts w:ascii="Times New Roman" w:hAnsi="Times New Roman" w:cs="Times New Roman"/>
          <w:sz w:val="24"/>
          <w:szCs w:val="24"/>
        </w:rPr>
        <w:t>e was gazetted on 25 </w:t>
      </w:r>
      <w:r w:rsidR="007C4FCB" w:rsidRPr="00497352">
        <w:rPr>
          <w:rFonts w:ascii="Times New Roman" w:hAnsi="Times New Roman" w:cs="Times New Roman"/>
          <w:sz w:val="24"/>
          <w:szCs w:val="24"/>
        </w:rPr>
        <w:t>August 2000</w:t>
      </w:r>
      <w:r w:rsidR="00A76C06" w:rsidRPr="00497352">
        <w:rPr>
          <w:rFonts w:ascii="Times New Roman" w:hAnsi="Times New Roman" w:cs="Times New Roman"/>
          <w:sz w:val="24"/>
          <w:szCs w:val="24"/>
        </w:rPr>
        <w:t xml:space="preserve">.  The same preliminary notice was re-gazetted twice in 2003. The land in dispute was duly itemised in schedule </w:t>
      </w:r>
      <w:r w:rsidR="00044359" w:rsidRPr="00497352">
        <w:rPr>
          <w:rFonts w:ascii="Times New Roman" w:hAnsi="Times New Roman" w:cs="Times New Roman"/>
          <w:sz w:val="24"/>
          <w:szCs w:val="24"/>
        </w:rPr>
        <w:t>7</w:t>
      </w:r>
      <w:r w:rsidR="002F30CE" w:rsidRPr="00497352">
        <w:rPr>
          <w:rFonts w:ascii="Times New Roman" w:hAnsi="Times New Roman" w:cs="Times New Roman"/>
          <w:sz w:val="24"/>
          <w:szCs w:val="24"/>
        </w:rPr>
        <w:t xml:space="preserve"> of the Government </w:t>
      </w:r>
      <w:r w:rsidR="00771758" w:rsidRPr="00497352">
        <w:rPr>
          <w:rFonts w:ascii="Times New Roman" w:hAnsi="Times New Roman" w:cs="Times New Roman"/>
          <w:sz w:val="24"/>
          <w:szCs w:val="24"/>
        </w:rPr>
        <w:t>gazette according</w:t>
      </w:r>
      <w:r w:rsidR="00044359" w:rsidRPr="00497352">
        <w:rPr>
          <w:rFonts w:ascii="Times New Roman" w:hAnsi="Times New Roman" w:cs="Times New Roman"/>
          <w:sz w:val="24"/>
          <w:szCs w:val="24"/>
        </w:rPr>
        <w:t xml:space="preserve"> to the prevailing law. The </w:t>
      </w:r>
      <w:r w:rsidR="000A1216" w:rsidRPr="00497352">
        <w:rPr>
          <w:rFonts w:ascii="Times New Roman" w:hAnsi="Times New Roman" w:cs="Times New Roman"/>
          <w:sz w:val="24"/>
          <w:szCs w:val="24"/>
        </w:rPr>
        <w:t>land</w:t>
      </w:r>
      <w:r w:rsidR="00CF4CBE" w:rsidRPr="00497352">
        <w:rPr>
          <w:rFonts w:ascii="Times New Roman" w:hAnsi="Times New Roman" w:cs="Times New Roman"/>
          <w:sz w:val="24"/>
          <w:szCs w:val="24"/>
        </w:rPr>
        <w:t>,</w:t>
      </w:r>
      <w:r w:rsidR="000A1216" w:rsidRPr="00497352">
        <w:rPr>
          <w:rFonts w:ascii="Times New Roman" w:hAnsi="Times New Roman" w:cs="Times New Roman"/>
          <w:sz w:val="24"/>
          <w:szCs w:val="24"/>
        </w:rPr>
        <w:t xml:space="preserve"> having</w:t>
      </w:r>
      <w:r w:rsidR="00044359" w:rsidRPr="00497352">
        <w:rPr>
          <w:rFonts w:ascii="Times New Roman" w:hAnsi="Times New Roman" w:cs="Times New Roman"/>
          <w:sz w:val="24"/>
          <w:szCs w:val="24"/>
        </w:rPr>
        <w:t xml:space="preserve"> been identif</w:t>
      </w:r>
      <w:r w:rsidR="00E8701F" w:rsidRPr="00497352">
        <w:rPr>
          <w:rFonts w:ascii="Times New Roman" w:hAnsi="Times New Roman" w:cs="Times New Roman"/>
          <w:sz w:val="24"/>
          <w:szCs w:val="24"/>
        </w:rPr>
        <w:t>ied and itemised in schedule 7,</w:t>
      </w:r>
      <w:r w:rsidR="002151AC" w:rsidRPr="00497352">
        <w:rPr>
          <w:rFonts w:ascii="Times New Roman" w:hAnsi="Times New Roman" w:cs="Times New Roman"/>
          <w:sz w:val="24"/>
          <w:szCs w:val="24"/>
        </w:rPr>
        <w:t xml:space="preserve"> it</w:t>
      </w:r>
      <w:r w:rsidR="00E8701F" w:rsidRPr="00497352">
        <w:rPr>
          <w:rFonts w:ascii="Times New Roman" w:hAnsi="Times New Roman" w:cs="Times New Roman"/>
          <w:sz w:val="24"/>
          <w:szCs w:val="24"/>
        </w:rPr>
        <w:t xml:space="preserve"> </w:t>
      </w:r>
      <w:r w:rsidR="00044359" w:rsidRPr="00497352">
        <w:rPr>
          <w:rFonts w:ascii="Times New Roman" w:hAnsi="Times New Roman" w:cs="Times New Roman"/>
          <w:sz w:val="24"/>
          <w:szCs w:val="24"/>
        </w:rPr>
        <w:t xml:space="preserve">fell squarely within the ambit of s 16B (2) of the former Constitution. </w:t>
      </w:r>
      <w:r w:rsidR="008729F3" w:rsidRPr="00497352">
        <w:rPr>
          <w:rFonts w:ascii="Times New Roman" w:hAnsi="Times New Roman" w:cs="Times New Roman"/>
          <w:sz w:val="24"/>
          <w:szCs w:val="24"/>
        </w:rPr>
        <w:t>By virtue of s 16</w:t>
      </w:r>
      <w:r w:rsidR="005D2081" w:rsidRPr="00497352">
        <w:rPr>
          <w:rFonts w:ascii="Times New Roman" w:hAnsi="Times New Roman" w:cs="Times New Roman"/>
          <w:sz w:val="24"/>
          <w:szCs w:val="24"/>
        </w:rPr>
        <w:t>B (5) of the former Constitution, the</w:t>
      </w:r>
      <w:r w:rsidR="00CF4CBE" w:rsidRPr="00497352">
        <w:rPr>
          <w:rFonts w:ascii="Times New Roman" w:hAnsi="Times New Roman" w:cs="Times New Roman"/>
          <w:sz w:val="24"/>
          <w:szCs w:val="24"/>
        </w:rPr>
        <w:t xml:space="preserve"> fact that at one time the </w:t>
      </w:r>
      <w:r w:rsidR="00F946A3" w:rsidRPr="00497352">
        <w:rPr>
          <w:rFonts w:ascii="Times New Roman" w:hAnsi="Times New Roman" w:cs="Times New Roman"/>
          <w:sz w:val="24"/>
          <w:szCs w:val="24"/>
        </w:rPr>
        <w:t>notice expired or was</w:t>
      </w:r>
      <w:r w:rsidR="004C3A45" w:rsidRPr="00497352">
        <w:rPr>
          <w:rFonts w:ascii="Times New Roman" w:hAnsi="Times New Roman" w:cs="Times New Roman"/>
          <w:sz w:val="24"/>
          <w:szCs w:val="24"/>
        </w:rPr>
        <w:t xml:space="preserve"> </w:t>
      </w:r>
      <w:r w:rsidR="00F946A3" w:rsidRPr="00497352">
        <w:rPr>
          <w:rFonts w:ascii="Times New Roman" w:hAnsi="Times New Roman" w:cs="Times New Roman"/>
          <w:sz w:val="24"/>
          <w:szCs w:val="24"/>
        </w:rPr>
        <w:t xml:space="preserve">withdrawn </w:t>
      </w:r>
      <w:r w:rsidR="00A438E8" w:rsidRPr="00497352">
        <w:rPr>
          <w:rFonts w:ascii="Times New Roman" w:hAnsi="Times New Roman" w:cs="Times New Roman"/>
          <w:sz w:val="24"/>
          <w:szCs w:val="24"/>
        </w:rPr>
        <w:t>and that it was bes</w:t>
      </w:r>
      <w:r w:rsidR="00F946A3" w:rsidRPr="00497352">
        <w:rPr>
          <w:rFonts w:ascii="Times New Roman" w:hAnsi="Times New Roman" w:cs="Times New Roman"/>
          <w:sz w:val="24"/>
          <w:szCs w:val="24"/>
        </w:rPr>
        <w:t>e</w:t>
      </w:r>
      <w:r w:rsidR="00A438E8" w:rsidRPr="00497352">
        <w:rPr>
          <w:rFonts w:ascii="Times New Roman" w:hAnsi="Times New Roman" w:cs="Times New Roman"/>
          <w:sz w:val="24"/>
          <w:szCs w:val="24"/>
        </w:rPr>
        <w:t>t by</w:t>
      </w:r>
      <w:r w:rsidR="00CF4CBE" w:rsidRPr="00497352">
        <w:rPr>
          <w:rFonts w:ascii="Times New Roman" w:hAnsi="Times New Roman" w:cs="Times New Roman"/>
          <w:sz w:val="24"/>
          <w:szCs w:val="24"/>
        </w:rPr>
        <w:t xml:space="preserve"> </w:t>
      </w:r>
      <w:proofErr w:type="gramStart"/>
      <w:r w:rsidR="00CF4CBE" w:rsidRPr="00497352">
        <w:rPr>
          <w:rFonts w:ascii="Times New Roman" w:hAnsi="Times New Roman" w:cs="Times New Roman"/>
          <w:sz w:val="24"/>
          <w:szCs w:val="24"/>
        </w:rPr>
        <w:t xml:space="preserve">other </w:t>
      </w:r>
      <w:r w:rsidR="005D2081" w:rsidRPr="00497352">
        <w:rPr>
          <w:rFonts w:ascii="Times New Roman" w:hAnsi="Times New Roman" w:cs="Times New Roman"/>
          <w:sz w:val="24"/>
          <w:szCs w:val="24"/>
        </w:rPr>
        <w:t xml:space="preserve"> errors</w:t>
      </w:r>
      <w:proofErr w:type="gramEnd"/>
      <w:r w:rsidR="005D2081" w:rsidRPr="00497352">
        <w:rPr>
          <w:rFonts w:ascii="Times New Roman" w:hAnsi="Times New Roman" w:cs="Times New Roman"/>
          <w:sz w:val="24"/>
          <w:szCs w:val="24"/>
        </w:rPr>
        <w:t xml:space="preserve"> complained of by the appellant were of no force or effect. They could not invalidate or adversely affect the vesting of title in the State whatsoever. Credible evidence was proffered before the trial court that upon acquisition the original title deeds were endorsed signifying the perfection of State acquisition of the disputed land.</w:t>
      </w:r>
      <w:r w:rsidR="00BA13E5" w:rsidRPr="00497352">
        <w:rPr>
          <w:rFonts w:ascii="Times New Roman" w:hAnsi="Times New Roman" w:cs="Times New Roman"/>
          <w:sz w:val="24"/>
          <w:szCs w:val="24"/>
        </w:rPr>
        <w:t xml:space="preserve"> The endorsed original title </w:t>
      </w:r>
      <w:r w:rsidR="00BE768B" w:rsidRPr="00497352">
        <w:rPr>
          <w:rFonts w:ascii="Times New Roman" w:hAnsi="Times New Roman" w:cs="Times New Roman"/>
          <w:sz w:val="24"/>
          <w:szCs w:val="24"/>
        </w:rPr>
        <w:t>Deeds however mysteriously disappeared in suspicious fraudulent circumstances to facilitate transfer for the benefit of the appellant.</w:t>
      </w:r>
    </w:p>
    <w:p w:rsidR="00762D44" w:rsidRPr="00497352" w:rsidRDefault="00762D44" w:rsidP="00762D44">
      <w:pPr>
        <w:spacing w:after="0" w:line="240" w:lineRule="auto"/>
        <w:ind w:firstLine="1134"/>
        <w:jc w:val="both"/>
        <w:rPr>
          <w:rFonts w:ascii="Times New Roman" w:hAnsi="Times New Roman" w:cs="Times New Roman"/>
          <w:sz w:val="24"/>
          <w:szCs w:val="24"/>
        </w:rPr>
      </w:pPr>
    </w:p>
    <w:p w:rsidR="00762D44" w:rsidRPr="00497352" w:rsidRDefault="000A1216" w:rsidP="00670D88">
      <w:pPr>
        <w:spacing w:before="240" w:after="0" w:line="480" w:lineRule="auto"/>
        <w:ind w:firstLine="1134"/>
        <w:jc w:val="both"/>
        <w:rPr>
          <w:rFonts w:ascii="Times New Roman" w:hAnsi="Times New Roman" w:cs="Times New Roman"/>
          <w:sz w:val="24"/>
          <w:szCs w:val="24"/>
        </w:rPr>
      </w:pPr>
      <w:r w:rsidRPr="00497352">
        <w:rPr>
          <w:rFonts w:ascii="Times New Roman" w:hAnsi="Times New Roman" w:cs="Times New Roman"/>
          <w:sz w:val="24"/>
          <w:szCs w:val="24"/>
        </w:rPr>
        <w:t>Once the land had been ide</w:t>
      </w:r>
      <w:r w:rsidR="00F005C3" w:rsidRPr="00497352">
        <w:rPr>
          <w:rFonts w:ascii="Times New Roman" w:hAnsi="Times New Roman" w:cs="Times New Roman"/>
          <w:sz w:val="24"/>
          <w:szCs w:val="24"/>
        </w:rPr>
        <w:t>ntified and itemised under schedule 7</w:t>
      </w:r>
      <w:r w:rsidR="00B14F73" w:rsidRPr="00497352">
        <w:rPr>
          <w:rFonts w:ascii="Times New Roman" w:hAnsi="Times New Roman" w:cs="Times New Roman"/>
          <w:sz w:val="24"/>
          <w:szCs w:val="24"/>
        </w:rPr>
        <w:t xml:space="preserve">, </w:t>
      </w:r>
      <w:r w:rsidR="00771758" w:rsidRPr="00497352">
        <w:rPr>
          <w:rFonts w:ascii="Times New Roman" w:hAnsi="Times New Roman" w:cs="Times New Roman"/>
          <w:sz w:val="24"/>
          <w:szCs w:val="24"/>
        </w:rPr>
        <w:t xml:space="preserve">title </w:t>
      </w:r>
      <w:r w:rsidR="00B14F73" w:rsidRPr="00497352">
        <w:rPr>
          <w:rFonts w:ascii="Times New Roman" w:hAnsi="Times New Roman" w:cs="Times New Roman"/>
          <w:sz w:val="24"/>
          <w:szCs w:val="24"/>
        </w:rPr>
        <w:t>to</w:t>
      </w:r>
      <w:r w:rsidR="00771758" w:rsidRPr="00497352">
        <w:rPr>
          <w:rFonts w:ascii="Times New Roman" w:hAnsi="Times New Roman" w:cs="Times New Roman"/>
          <w:sz w:val="24"/>
          <w:szCs w:val="24"/>
        </w:rPr>
        <w:t xml:space="preserve"> the land automatically vested in the </w:t>
      </w:r>
      <w:r w:rsidR="00F005C3" w:rsidRPr="00497352">
        <w:rPr>
          <w:rFonts w:ascii="Times New Roman" w:hAnsi="Times New Roman" w:cs="Times New Roman"/>
          <w:sz w:val="24"/>
          <w:szCs w:val="24"/>
        </w:rPr>
        <w:t>State</w:t>
      </w:r>
      <w:r w:rsidR="00F946A3" w:rsidRPr="00497352">
        <w:rPr>
          <w:rFonts w:ascii="Times New Roman" w:hAnsi="Times New Roman" w:cs="Times New Roman"/>
          <w:sz w:val="24"/>
          <w:szCs w:val="24"/>
        </w:rPr>
        <w:t xml:space="preserve"> w</w:t>
      </w:r>
      <w:r w:rsidR="00771758" w:rsidRPr="00497352">
        <w:rPr>
          <w:rFonts w:ascii="Times New Roman" w:hAnsi="Times New Roman" w:cs="Times New Roman"/>
          <w:sz w:val="24"/>
          <w:szCs w:val="24"/>
        </w:rPr>
        <w:t>ith the result that it automatically became State</w:t>
      </w:r>
      <w:r w:rsidR="00F005C3" w:rsidRPr="00497352">
        <w:rPr>
          <w:rFonts w:ascii="Times New Roman" w:hAnsi="Times New Roman" w:cs="Times New Roman"/>
          <w:sz w:val="24"/>
          <w:szCs w:val="24"/>
        </w:rPr>
        <w:t xml:space="preserve"> property by operat</w:t>
      </w:r>
      <w:r w:rsidR="002F30CE" w:rsidRPr="00497352">
        <w:rPr>
          <w:rFonts w:ascii="Times New Roman" w:hAnsi="Times New Roman" w:cs="Times New Roman"/>
          <w:sz w:val="24"/>
          <w:szCs w:val="24"/>
        </w:rPr>
        <w:t>i</w:t>
      </w:r>
      <w:r w:rsidR="00F005C3" w:rsidRPr="00497352">
        <w:rPr>
          <w:rFonts w:ascii="Times New Roman" w:hAnsi="Times New Roman" w:cs="Times New Roman"/>
          <w:sz w:val="24"/>
          <w:szCs w:val="24"/>
        </w:rPr>
        <w:t>on of law.</w:t>
      </w:r>
      <w:r w:rsidR="00240D14" w:rsidRPr="00497352">
        <w:rPr>
          <w:rFonts w:ascii="Times New Roman" w:hAnsi="Times New Roman" w:cs="Times New Roman"/>
          <w:sz w:val="24"/>
          <w:szCs w:val="24"/>
        </w:rPr>
        <w:t xml:space="preserve"> In consequence </w:t>
      </w:r>
      <w:proofErr w:type="gramStart"/>
      <w:r w:rsidR="00240D14" w:rsidRPr="00497352">
        <w:rPr>
          <w:rFonts w:ascii="Times New Roman" w:hAnsi="Times New Roman" w:cs="Times New Roman"/>
          <w:sz w:val="24"/>
          <w:szCs w:val="24"/>
        </w:rPr>
        <w:t>whereof</w:t>
      </w:r>
      <w:proofErr w:type="gramEnd"/>
      <w:r w:rsidR="00240D14" w:rsidRPr="00497352">
        <w:rPr>
          <w:rFonts w:ascii="Times New Roman" w:hAnsi="Times New Roman" w:cs="Times New Roman"/>
          <w:sz w:val="24"/>
          <w:szCs w:val="24"/>
        </w:rPr>
        <w:t xml:space="preserve"> the previous owner was divested of his title to the land and stripped of all rights of ownership to the acquired land</w:t>
      </w:r>
      <w:r w:rsidR="00FF6B3F" w:rsidRPr="00497352">
        <w:rPr>
          <w:rFonts w:ascii="Times New Roman" w:hAnsi="Times New Roman" w:cs="Times New Roman"/>
          <w:sz w:val="24"/>
          <w:szCs w:val="24"/>
        </w:rPr>
        <w:t xml:space="preserve"> thereto</w:t>
      </w:r>
      <w:r w:rsidR="00240D14" w:rsidRPr="00497352">
        <w:rPr>
          <w:rFonts w:ascii="Times New Roman" w:hAnsi="Times New Roman" w:cs="Times New Roman"/>
          <w:sz w:val="24"/>
          <w:szCs w:val="24"/>
        </w:rPr>
        <w:t>.</w:t>
      </w:r>
    </w:p>
    <w:p w:rsidR="00B83E76" w:rsidRPr="00497352" w:rsidRDefault="00DB2A69" w:rsidP="003771B5">
      <w:pPr>
        <w:spacing w:before="240" w:after="0" w:line="240" w:lineRule="auto"/>
        <w:ind w:firstLine="1134"/>
        <w:jc w:val="both"/>
        <w:rPr>
          <w:rFonts w:ascii="Times New Roman" w:hAnsi="Times New Roman" w:cs="Times New Roman"/>
          <w:sz w:val="24"/>
          <w:szCs w:val="24"/>
        </w:rPr>
      </w:pPr>
      <w:r w:rsidRPr="00497352">
        <w:rPr>
          <w:rFonts w:ascii="Times New Roman" w:hAnsi="Times New Roman" w:cs="Times New Roman"/>
          <w:sz w:val="24"/>
          <w:szCs w:val="24"/>
        </w:rPr>
        <w:t xml:space="preserve"> </w:t>
      </w:r>
    </w:p>
    <w:p w:rsidR="005D2081" w:rsidRPr="00497352" w:rsidRDefault="005D2081" w:rsidP="00670D88">
      <w:pPr>
        <w:spacing w:after="0" w:line="480" w:lineRule="auto"/>
        <w:ind w:firstLine="1134"/>
        <w:jc w:val="both"/>
        <w:rPr>
          <w:rFonts w:ascii="Times New Roman" w:hAnsi="Times New Roman" w:cs="Times New Roman"/>
          <w:sz w:val="24"/>
          <w:szCs w:val="24"/>
        </w:rPr>
      </w:pPr>
      <w:r w:rsidRPr="00497352">
        <w:rPr>
          <w:rFonts w:ascii="Times New Roman" w:hAnsi="Times New Roman" w:cs="Times New Roman"/>
          <w:sz w:val="24"/>
          <w:szCs w:val="24"/>
        </w:rPr>
        <w:t>The learned judge i</w:t>
      </w:r>
      <w:r w:rsidR="00F828E2" w:rsidRPr="00497352">
        <w:rPr>
          <w:rFonts w:ascii="Times New Roman" w:hAnsi="Times New Roman" w:cs="Times New Roman"/>
          <w:sz w:val="24"/>
          <w:szCs w:val="24"/>
        </w:rPr>
        <w:t xml:space="preserve">n the court </w:t>
      </w:r>
      <w:r w:rsidR="00F828E2" w:rsidRPr="00497352">
        <w:rPr>
          <w:rFonts w:ascii="Times New Roman" w:hAnsi="Times New Roman" w:cs="Times New Roman"/>
          <w:i/>
          <w:sz w:val="24"/>
          <w:szCs w:val="24"/>
        </w:rPr>
        <w:t>a quo</w:t>
      </w:r>
      <w:r w:rsidR="00F828E2" w:rsidRPr="00497352">
        <w:rPr>
          <w:rFonts w:ascii="Times New Roman" w:hAnsi="Times New Roman" w:cs="Times New Roman"/>
          <w:sz w:val="24"/>
          <w:szCs w:val="24"/>
        </w:rPr>
        <w:t xml:space="preserve"> was therefore, </w:t>
      </w:r>
      <w:r w:rsidRPr="00497352">
        <w:rPr>
          <w:rFonts w:ascii="Times New Roman" w:hAnsi="Times New Roman" w:cs="Times New Roman"/>
          <w:sz w:val="24"/>
          <w:szCs w:val="24"/>
        </w:rPr>
        <w:t>correct when he remarked at page 24 of his judgment that:</w:t>
      </w:r>
    </w:p>
    <w:p w:rsidR="005D2081" w:rsidRPr="00497352" w:rsidRDefault="005D2081" w:rsidP="00762D44">
      <w:pPr>
        <w:spacing w:after="0" w:line="240" w:lineRule="auto"/>
        <w:ind w:left="720"/>
        <w:jc w:val="both"/>
        <w:rPr>
          <w:rFonts w:ascii="Times New Roman" w:hAnsi="Times New Roman" w:cs="Times New Roman"/>
          <w:sz w:val="24"/>
          <w:szCs w:val="24"/>
        </w:rPr>
      </w:pPr>
      <w:proofErr w:type="gramStart"/>
      <w:r w:rsidRPr="00497352">
        <w:rPr>
          <w:rFonts w:ascii="Times New Roman" w:hAnsi="Times New Roman" w:cs="Times New Roman"/>
          <w:sz w:val="24"/>
          <w:szCs w:val="24"/>
        </w:rPr>
        <w:t>”TBIC</w:t>
      </w:r>
      <w:proofErr w:type="gramEnd"/>
      <w:r w:rsidRPr="00497352">
        <w:rPr>
          <w:rFonts w:ascii="Times New Roman" w:hAnsi="Times New Roman" w:cs="Times New Roman"/>
          <w:sz w:val="24"/>
          <w:szCs w:val="24"/>
        </w:rPr>
        <w:t xml:space="preserve"> obtained transfer of the remaining extend of </w:t>
      </w:r>
      <w:proofErr w:type="spellStart"/>
      <w:r w:rsidRPr="00497352">
        <w:rPr>
          <w:rFonts w:ascii="Times New Roman" w:hAnsi="Times New Roman" w:cs="Times New Roman"/>
          <w:sz w:val="24"/>
          <w:szCs w:val="24"/>
        </w:rPr>
        <w:t>Stuhm</w:t>
      </w:r>
      <w:proofErr w:type="spellEnd"/>
      <w:r w:rsidRPr="00497352">
        <w:rPr>
          <w:rFonts w:ascii="Times New Roman" w:hAnsi="Times New Roman" w:cs="Times New Roman"/>
          <w:sz w:val="24"/>
          <w:szCs w:val="24"/>
        </w:rPr>
        <w:t xml:space="preserve"> only in 2009. Until it did</w:t>
      </w:r>
      <w:r w:rsidR="00DA58F5" w:rsidRPr="00497352">
        <w:rPr>
          <w:rFonts w:ascii="Times New Roman" w:hAnsi="Times New Roman" w:cs="Times New Roman"/>
          <w:sz w:val="24"/>
          <w:szCs w:val="24"/>
        </w:rPr>
        <w:t>,</w:t>
      </w:r>
      <w:r w:rsidRPr="00497352">
        <w:rPr>
          <w:rFonts w:ascii="Times New Roman" w:hAnsi="Times New Roman" w:cs="Times New Roman"/>
          <w:sz w:val="24"/>
          <w:szCs w:val="24"/>
        </w:rPr>
        <w:t xml:space="preserve"> it had no real rights over it. But most importantly Reimer who purported to transfer the property to it had lost all rights over the property, save the rights to a fair compensation. By 3 November 2005 the property had beco</w:t>
      </w:r>
      <w:r w:rsidR="00A438E8" w:rsidRPr="00497352">
        <w:rPr>
          <w:rFonts w:ascii="Times New Roman" w:hAnsi="Times New Roman" w:cs="Times New Roman"/>
          <w:sz w:val="24"/>
          <w:szCs w:val="24"/>
        </w:rPr>
        <w:t>me State land by virtue of s 16</w:t>
      </w:r>
      <w:r w:rsidRPr="00497352">
        <w:rPr>
          <w:rFonts w:ascii="Times New Roman" w:hAnsi="Times New Roman" w:cs="Times New Roman"/>
          <w:sz w:val="24"/>
          <w:szCs w:val="24"/>
        </w:rPr>
        <w:t xml:space="preserve">B of the then </w:t>
      </w:r>
      <w:proofErr w:type="gramStart"/>
      <w:r w:rsidRPr="00497352">
        <w:rPr>
          <w:rFonts w:ascii="Times New Roman" w:hAnsi="Times New Roman" w:cs="Times New Roman"/>
          <w:sz w:val="24"/>
          <w:szCs w:val="24"/>
        </w:rPr>
        <w:t>Constitution.“</w:t>
      </w:r>
      <w:proofErr w:type="gramEnd"/>
    </w:p>
    <w:p w:rsidR="00762D44" w:rsidRPr="00497352" w:rsidRDefault="00762D44" w:rsidP="00762D44">
      <w:pPr>
        <w:spacing w:after="0" w:line="240" w:lineRule="auto"/>
        <w:ind w:left="720"/>
        <w:jc w:val="both"/>
        <w:rPr>
          <w:rFonts w:ascii="Times New Roman" w:hAnsi="Times New Roman" w:cs="Times New Roman"/>
          <w:sz w:val="24"/>
          <w:szCs w:val="24"/>
        </w:rPr>
      </w:pPr>
    </w:p>
    <w:p w:rsidR="00762D44" w:rsidRPr="00497352" w:rsidRDefault="00762D44" w:rsidP="00762D44">
      <w:pPr>
        <w:spacing w:after="0" w:line="240" w:lineRule="auto"/>
        <w:ind w:left="720"/>
        <w:jc w:val="both"/>
        <w:rPr>
          <w:rFonts w:ascii="Times New Roman" w:hAnsi="Times New Roman" w:cs="Times New Roman"/>
          <w:sz w:val="24"/>
          <w:szCs w:val="24"/>
        </w:rPr>
      </w:pPr>
    </w:p>
    <w:p w:rsidR="00A01210" w:rsidRPr="00497352" w:rsidRDefault="001D467C" w:rsidP="00670D88">
      <w:pPr>
        <w:spacing w:before="240" w:after="0" w:line="480" w:lineRule="auto"/>
        <w:ind w:firstLine="1134"/>
        <w:jc w:val="both"/>
        <w:rPr>
          <w:rFonts w:ascii="Times New Roman" w:hAnsi="Times New Roman" w:cs="Times New Roman"/>
          <w:sz w:val="24"/>
          <w:szCs w:val="24"/>
        </w:rPr>
      </w:pPr>
      <w:r w:rsidRPr="00497352">
        <w:rPr>
          <w:rFonts w:ascii="Times New Roman" w:hAnsi="Times New Roman" w:cs="Times New Roman"/>
          <w:sz w:val="24"/>
          <w:szCs w:val="24"/>
        </w:rPr>
        <w:lastRenderedPageBreak/>
        <w:t xml:space="preserve">For that </w:t>
      </w:r>
      <w:proofErr w:type="gramStart"/>
      <w:r w:rsidRPr="00497352">
        <w:rPr>
          <w:rFonts w:ascii="Times New Roman" w:hAnsi="Times New Roman" w:cs="Times New Roman"/>
          <w:sz w:val="24"/>
          <w:szCs w:val="24"/>
        </w:rPr>
        <w:t>reason</w:t>
      </w:r>
      <w:proofErr w:type="gramEnd"/>
      <w:r w:rsidRPr="00497352">
        <w:rPr>
          <w:rFonts w:ascii="Times New Roman" w:hAnsi="Times New Roman" w:cs="Times New Roman"/>
          <w:sz w:val="24"/>
          <w:szCs w:val="24"/>
        </w:rPr>
        <w:t xml:space="preserve"> Deed o</w:t>
      </w:r>
      <w:r w:rsidR="00762D44" w:rsidRPr="00497352">
        <w:rPr>
          <w:rFonts w:ascii="Times New Roman" w:hAnsi="Times New Roman" w:cs="Times New Roman"/>
          <w:sz w:val="24"/>
          <w:szCs w:val="24"/>
        </w:rPr>
        <w:t>f Transfer No. 1724/09 dated 18 </w:t>
      </w:r>
      <w:r w:rsidRPr="00497352">
        <w:rPr>
          <w:rFonts w:ascii="Times New Roman" w:hAnsi="Times New Roman" w:cs="Times New Roman"/>
          <w:sz w:val="24"/>
          <w:szCs w:val="24"/>
        </w:rPr>
        <w:t>March 2009 in favour of TBIC (Pvt) Ltd was a nullity at law and of no force or effect.</w:t>
      </w:r>
      <w:r w:rsidR="005C1B25" w:rsidRPr="00497352">
        <w:rPr>
          <w:rFonts w:ascii="Times New Roman" w:hAnsi="Times New Roman" w:cs="Times New Roman"/>
          <w:sz w:val="24"/>
          <w:szCs w:val="24"/>
        </w:rPr>
        <w:t xml:space="preserve"> </w:t>
      </w:r>
      <w:r w:rsidRPr="00497352">
        <w:rPr>
          <w:rFonts w:ascii="Times New Roman" w:hAnsi="Times New Roman" w:cs="Times New Roman"/>
          <w:sz w:val="24"/>
          <w:szCs w:val="24"/>
        </w:rPr>
        <w:t xml:space="preserve">That </w:t>
      </w:r>
      <w:r w:rsidR="000550B4" w:rsidRPr="00497352">
        <w:rPr>
          <w:rFonts w:ascii="Times New Roman" w:hAnsi="Times New Roman" w:cs="Times New Roman"/>
          <w:sz w:val="24"/>
          <w:szCs w:val="24"/>
        </w:rPr>
        <w:t xml:space="preserve">factual finding </w:t>
      </w:r>
      <w:r w:rsidR="00DA58F5" w:rsidRPr="00497352">
        <w:rPr>
          <w:rFonts w:ascii="Times New Roman" w:hAnsi="Times New Roman" w:cs="Times New Roman"/>
          <w:sz w:val="24"/>
          <w:szCs w:val="24"/>
        </w:rPr>
        <w:t xml:space="preserve">and </w:t>
      </w:r>
      <w:r w:rsidR="00D5218C" w:rsidRPr="00497352">
        <w:rPr>
          <w:rFonts w:ascii="Times New Roman" w:hAnsi="Times New Roman" w:cs="Times New Roman"/>
          <w:sz w:val="24"/>
          <w:szCs w:val="24"/>
        </w:rPr>
        <w:t>interpretat</w:t>
      </w:r>
      <w:r w:rsidR="00A01210" w:rsidRPr="00497352">
        <w:rPr>
          <w:rFonts w:ascii="Times New Roman" w:hAnsi="Times New Roman" w:cs="Times New Roman"/>
          <w:sz w:val="24"/>
          <w:szCs w:val="24"/>
        </w:rPr>
        <w:t xml:space="preserve">ion of </w:t>
      </w:r>
      <w:r w:rsidR="00D5218C" w:rsidRPr="00497352">
        <w:rPr>
          <w:rFonts w:ascii="Times New Roman" w:hAnsi="Times New Roman" w:cs="Times New Roman"/>
          <w:sz w:val="24"/>
          <w:szCs w:val="24"/>
        </w:rPr>
        <w:t xml:space="preserve">the </w:t>
      </w:r>
      <w:r w:rsidR="00A01210" w:rsidRPr="00497352">
        <w:rPr>
          <w:rFonts w:ascii="Times New Roman" w:hAnsi="Times New Roman" w:cs="Times New Roman"/>
          <w:sz w:val="24"/>
          <w:szCs w:val="24"/>
        </w:rPr>
        <w:t>law cannot be faulted at all as it finds support in a plethora of precedents, chief among them</w:t>
      </w:r>
      <w:r w:rsidR="00452E35" w:rsidRPr="00497352">
        <w:rPr>
          <w:rFonts w:ascii="Times New Roman" w:hAnsi="Times New Roman" w:cs="Times New Roman"/>
          <w:sz w:val="24"/>
          <w:szCs w:val="24"/>
        </w:rPr>
        <w:t>,</w:t>
      </w:r>
      <w:r w:rsidR="00A01210" w:rsidRPr="00497352">
        <w:rPr>
          <w:rFonts w:ascii="Times New Roman" w:hAnsi="Times New Roman" w:cs="Times New Roman"/>
          <w:sz w:val="24"/>
          <w:szCs w:val="24"/>
        </w:rPr>
        <w:t xml:space="preserve"> </w:t>
      </w:r>
      <w:proofErr w:type="spellStart"/>
      <w:r w:rsidR="00A01210" w:rsidRPr="00497352">
        <w:rPr>
          <w:rFonts w:ascii="Times New Roman" w:hAnsi="Times New Roman" w:cs="Times New Roman"/>
          <w:i/>
          <w:sz w:val="24"/>
          <w:szCs w:val="24"/>
        </w:rPr>
        <w:t>Agro</w:t>
      </w:r>
      <w:proofErr w:type="spellEnd"/>
      <w:r w:rsidR="00A01210" w:rsidRPr="00497352">
        <w:rPr>
          <w:rFonts w:ascii="Times New Roman" w:hAnsi="Times New Roman" w:cs="Times New Roman"/>
          <w:i/>
          <w:sz w:val="24"/>
          <w:szCs w:val="24"/>
        </w:rPr>
        <w:t xml:space="preserve"> </w:t>
      </w:r>
      <w:proofErr w:type="spellStart"/>
      <w:r w:rsidR="00A01210" w:rsidRPr="00497352">
        <w:rPr>
          <w:rFonts w:ascii="Times New Roman" w:hAnsi="Times New Roman" w:cs="Times New Roman"/>
          <w:i/>
          <w:sz w:val="24"/>
          <w:szCs w:val="24"/>
        </w:rPr>
        <w:t>Chem</w:t>
      </w:r>
      <w:proofErr w:type="spellEnd"/>
      <w:r w:rsidR="00A01210" w:rsidRPr="00497352">
        <w:rPr>
          <w:rFonts w:ascii="Times New Roman" w:hAnsi="Times New Roman" w:cs="Times New Roman"/>
          <w:i/>
          <w:sz w:val="24"/>
          <w:szCs w:val="24"/>
        </w:rPr>
        <w:t xml:space="preserve"> Dealers (Pvt) </w:t>
      </w:r>
      <w:r w:rsidR="005578CE" w:rsidRPr="00497352">
        <w:rPr>
          <w:rFonts w:ascii="Times New Roman" w:hAnsi="Times New Roman" w:cs="Times New Roman"/>
          <w:i/>
          <w:sz w:val="24"/>
          <w:szCs w:val="24"/>
        </w:rPr>
        <w:t>Ltd</w:t>
      </w:r>
      <w:r w:rsidR="003056F3" w:rsidRPr="00497352">
        <w:rPr>
          <w:rFonts w:ascii="Times New Roman" w:hAnsi="Times New Roman" w:cs="Times New Roman"/>
          <w:i/>
          <w:sz w:val="24"/>
          <w:szCs w:val="24"/>
        </w:rPr>
        <w:t xml:space="preserve"> </w:t>
      </w:r>
      <w:r w:rsidR="005578CE" w:rsidRPr="00497352">
        <w:rPr>
          <w:rFonts w:ascii="Times New Roman" w:hAnsi="Times New Roman" w:cs="Times New Roman"/>
          <w:i/>
          <w:sz w:val="24"/>
          <w:szCs w:val="24"/>
        </w:rPr>
        <w:t>v</w:t>
      </w:r>
      <w:r w:rsidR="003056F3" w:rsidRPr="00497352">
        <w:rPr>
          <w:rFonts w:ascii="Times New Roman" w:hAnsi="Times New Roman" w:cs="Times New Roman"/>
          <w:i/>
          <w:sz w:val="24"/>
          <w:szCs w:val="24"/>
        </w:rPr>
        <w:t xml:space="preserve"> </w:t>
      </w:r>
      <w:proofErr w:type="spellStart"/>
      <w:r w:rsidR="003056F3" w:rsidRPr="00497352">
        <w:rPr>
          <w:rFonts w:ascii="Times New Roman" w:hAnsi="Times New Roman" w:cs="Times New Roman"/>
          <w:i/>
          <w:sz w:val="24"/>
          <w:szCs w:val="24"/>
        </w:rPr>
        <w:t>Gomo</w:t>
      </w:r>
      <w:proofErr w:type="spellEnd"/>
      <w:r w:rsidR="003056F3" w:rsidRPr="00497352">
        <w:rPr>
          <w:rFonts w:ascii="Times New Roman" w:hAnsi="Times New Roman" w:cs="Times New Roman"/>
          <w:i/>
          <w:sz w:val="24"/>
          <w:szCs w:val="24"/>
        </w:rPr>
        <w:t xml:space="preserve"> &amp; Others </w:t>
      </w:r>
      <w:r w:rsidR="008C4B16" w:rsidRPr="00497352">
        <w:rPr>
          <w:rFonts w:ascii="Times New Roman" w:hAnsi="Times New Roman" w:cs="Times New Roman"/>
          <w:sz w:val="24"/>
          <w:szCs w:val="24"/>
        </w:rPr>
        <w:t xml:space="preserve">2009 ZLR 255 </w:t>
      </w:r>
      <w:r w:rsidR="003056F3" w:rsidRPr="00497352">
        <w:rPr>
          <w:rFonts w:ascii="Times New Roman" w:hAnsi="Times New Roman" w:cs="Times New Roman"/>
          <w:sz w:val="24"/>
          <w:szCs w:val="24"/>
        </w:rPr>
        <w:t>where</w:t>
      </w:r>
      <w:r w:rsidR="00D5218C" w:rsidRPr="00497352">
        <w:rPr>
          <w:rFonts w:ascii="Times New Roman" w:hAnsi="Times New Roman" w:cs="Times New Roman"/>
          <w:sz w:val="24"/>
          <w:szCs w:val="24"/>
        </w:rPr>
        <w:t xml:space="preserve"> GOWORA </w:t>
      </w:r>
      <w:r w:rsidR="003056F3" w:rsidRPr="00497352">
        <w:rPr>
          <w:rFonts w:ascii="Times New Roman" w:hAnsi="Times New Roman" w:cs="Times New Roman"/>
          <w:sz w:val="24"/>
          <w:szCs w:val="24"/>
        </w:rPr>
        <w:t>J, as she then was made it clear that:</w:t>
      </w:r>
    </w:p>
    <w:p w:rsidR="003056F3" w:rsidRPr="00497352" w:rsidRDefault="00A94799" w:rsidP="00762D44">
      <w:pPr>
        <w:spacing w:after="0" w:line="240" w:lineRule="auto"/>
        <w:ind w:left="720"/>
        <w:jc w:val="both"/>
        <w:rPr>
          <w:rFonts w:ascii="Times New Roman" w:hAnsi="Times New Roman" w:cs="Times New Roman"/>
          <w:i/>
          <w:sz w:val="24"/>
          <w:szCs w:val="24"/>
        </w:rPr>
      </w:pPr>
      <w:r w:rsidRPr="00497352">
        <w:rPr>
          <w:rFonts w:ascii="Times New Roman" w:hAnsi="Times New Roman" w:cs="Times New Roman"/>
          <w:sz w:val="24"/>
          <w:szCs w:val="24"/>
        </w:rPr>
        <w:t>“</w:t>
      </w:r>
      <w:r w:rsidR="003056F3" w:rsidRPr="00497352">
        <w:rPr>
          <w:rFonts w:ascii="Times New Roman" w:hAnsi="Times New Roman" w:cs="Times New Roman"/>
          <w:sz w:val="24"/>
          <w:szCs w:val="24"/>
        </w:rPr>
        <w:t>… N</w:t>
      </w:r>
      <w:r w:rsidRPr="00497352">
        <w:rPr>
          <w:rFonts w:ascii="Times New Roman" w:hAnsi="Times New Roman" w:cs="Times New Roman"/>
          <w:sz w:val="24"/>
          <w:szCs w:val="24"/>
        </w:rPr>
        <w:t xml:space="preserve">o person who is not the owner can transfer ownership in anything whether or not such transferor was acting in good faith or </w:t>
      </w:r>
      <w:r w:rsidR="00D52024" w:rsidRPr="00497352">
        <w:rPr>
          <w:rFonts w:ascii="Times New Roman" w:hAnsi="Times New Roman" w:cs="Times New Roman"/>
          <w:i/>
          <w:sz w:val="24"/>
          <w:szCs w:val="24"/>
        </w:rPr>
        <w:t>mala fide.”</w:t>
      </w:r>
    </w:p>
    <w:p w:rsidR="00762D44" w:rsidRPr="00497352" w:rsidRDefault="00762D44" w:rsidP="00762D44">
      <w:pPr>
        <w:spacing w:after="0" w:line="240" w:lineRule="auto"/>
        <w:ind w:left="720"/>
        <w:jc w:val="both"/>
        <w:rPr>
          <w:rFonts w:ascii="Times New Roman" w:hAnsi="Times New Roman" w:cs="Times New Roman"/>
          <w:i/>
          <w:sz w:val="24"/>
          <w:szCs w:val="24"/>
        </w:rPr>
      </w:pPr>
    </w:p>
    <w:p w:rsidR="00762D44" w:rsidRPr="00497352" w:rsidRDefault="00762D44" w:rsidP="00762D44">
      <w:pPr>
        <w:spacing w:after="0" w:line="240" w:lineRule="auto"/>
        <w:ind w:left="720"/>
        <w:jc w:val="both"/>
        <w:rPr>
          <w:rFonts w:ascii="Times New Roman" w:hAnsi="Times New Roman" w:cs="Times New Roman"/>
          <w:i/>
          <w:sz w:val="24"/>
          <w:szCs w:val="24"/>
        </w:rPr>
      </w:pPr>
    </w:p>
    <w:p w:rsidR="00762D44" w:rsidRPr="00497352" w:rsidRDefault="00762D44" w:rsidP="00762D44">
      <w:pPr>
        <w:spacing w:after="0" w:line="240" w:lineRule="auto"/>
        <w:ind w:left="720"/>
        <w:jc w:val="both"/>
        <w:rPr>
          <w:rFonts w:ascii="Times New Roman" w:hAnsi="Times New Roman" w:cs="Times New Roman"/>
          <w:i/>
          <w:sz w:val="24"/>
          <w:szCs w:val="24"/>
        </w:rPr>
      </w:pPr>
    </w:p>
    <w:p w:rsidR="00A22023" w:rsidRPr="00497352" w:rsidRDefault="00670C89" w:rsidP="00670D88">
      <w:pPr>
        <w:spacing w:after="0" w:line="480" w:lineRule="auto"/>
        <w:ind w:firstLine="1134"/>
        <w:jc w:val="both"/>
        <w:rPr>
          <w:rFonts w:ascii="Times New Roman" w:hAnsi="Times New Roman" w:cs="Times New Roman"/>
          <w:sz w:val="24"/>
          <w:szCs w:val="24"/>
        </w:rPr>
      </w:pPr>
      <w:r w:rsidRPr="00497352">
        <w:rPr>
          <w:rFonts w:ascii="Times New Roman" w:hAnsi="Times New Roman" w:cs="Times New Roman"/>
          <w:sz w:val="24"/>
          <w:szCs w:val="24"/>
        </w:rPr>
        <w:t>That interpretation and conclusion of the law find</w:t>
      </w:r>
      <w:r w:rsidR="00D5218C" w:rsidRPr="00497352">
        <w:rPr>
          <w:rFonts w:ascii="Times New Roman" w:hAnsi="Times New Roman" w:cs="Times New Roman"/>
          <w:sz w:val="24"/>
          <w:szCs w:val="24"/>
        </w:rPr>
        <w:t>s solid</w:t>
      </w:r>
      <w:r w:rsidRPr="00497352">
        <w:rPr>
          <w:rFonts w:ascii="Times New Roman" w:hAnsi="Times New Roman" w:cs="Times New Roman"/>
          <w:sz w:val="24"/>
          <w:szCs w:val="24"/>
        </w:rPr>
        <w:t xml:space="preserve"> support from RH Christie, </w:t>
      </w:r>
      <w:r w:rsidRPr="00497352">
        <w:rPr>
          <w:rFonts w:ascii="Times New Roman" w:hAnsi="Times New Roman" w:cs="Times New Roman"/>
          <w:i/>
          <w:sz w:val="24"/>
          <w:szCs w:val="24"/>
        </w:rPr>
        <w:t>Business Law in Zimbabwe,</w:t>
      </w:r>
      <w:r w:rsidR="00D5218C" w:rsidRPr="00497352">
        <w:rPr>
          <w:rFonts w:ascii="Times New Roman" w:hAnsi="Times New Roman" w:cs="Times New Roman"/>
          <w:sz w:val="24"/>
          <w:szCs w:val="24"/>
        </w:rPr>
        <w:t xml:space="preserve"> </w:t>
      </w:r>
      <w:r w:rsidR="00A22023" w:rsidRPr="00497352">
        <w:rPr>
          <w:rFonts w:ascii="Times New Roman" w:hAnsi="Times New Roman" w:cs="Times New Roman"/>
          <w:sz w:val="24"/>
          <w:szCs w:val="24"/>
        </w:rPr>
        <w:t>2</w:t>
      </w:r>
      <w:r w:rsidR="005578CE" w:rsidRPr="00497352">
        <w:rPr>
          <w:rFonts w:ascii="Times New Roman" w:hAnsi="Times New Roman" w:cs="Times New Roman"/>
          <w:sz w:val="24"/>
          <w:szCs w:val="24"/>
          <w:vertAlign w:val="superscript"/>
        </w:rPr>
        <w:t>nd</w:t>
      </w:r>
      <w:r w:rsidR="005578CE" w:rsidRPr="00497352">
        <w:rPr>
          <w:rFonts w:ascii="Times New Roman" w:hAnsi="Times New Roman" w:cs="Times New Roman"/>
          <w:sz w:val="24"/>
          <w:szCs w:val="24"/>
        </w:rPr>
        <w:t xml:space="preserve"> </w:t>
      </w:r>
      <w:r w:rsidRPr="00497352">
        <w:rPr>
          <w:rFonts w:ascii="Times New Roman" w:hAnsi="Times New Roman" w:cs="Times New Roman"/>
          <w:sz w:val="24"/>
          <w:szCs w:val="24"/>
        </w:rPr>
        <w:t xml:space="preserve">ED Juta &amp; Co Ltd at 149 </w:t>
      </w:r>
      <w:r w:rsidR="00A22023" w:rsidRPr="00497352">
        <w:rPr>
          <w:rFonts w:ascii="Times New Roman" w:hAnsi="Times New Roman" w:cs="Times New Roman"/>
          <w:sz w:val="24"/>
          <w:szCs w:val="24"/>
        </w:rPr>
        <w:t>where the learned author states that:</w:t>
      </w:r>
    </w:p>
    <w:p w:rsidR="00A22023" w:rsidRPr="00497352" w:rsidRDefault="00A22023" w:rsidP="00762D44">
      <w:pPr>
        <w:spacing w:after="0" w:line="240" w:lineRule="auto"/>
        <w:ind w:left="720"/>
        <w:jc w:val="both"/>
        <w:rPr>
          <w:rFonts w:ascii="Times New Roman" w:hAnsi="Times New Roman" w:cs="Times New Roman"/>
          <w:sz w:val="24"/>
          <w:szCs w:val="24"/>
        </w:rPr>
      </w:pPr>
      <w:r w:rsidRPr="00497352">
        <w:rPr>
          <w:rFonts w:ascii="Times New Roman" w:hAnsi="Times New Roman" w:cs="Times New Roman"/>
          <w:sz w:val="24"/>
          <w:szCs w:val="24"/>
        </w:rPr>
        <w:t>“An owner whose property has been sold and delivered without his consent remains the owner, as the seller cannot pass title that was</w:t>
      </w:r>
      <w:r w:rsidR="00DA58F5" w:rsidRPr="00497352">
        <w:rPr>
          <w:rFonts w:ascii="Times New Roman" w:hAnsi="Times New Roman" w:cs="Times New Roman"/>
          <w:sz w:val="24"/>
          <w:szCs w:val="24"/>
        </w:rPr>
        <w:t xml:space="preserve"> </w:t>
      </w:r>
      <w:r w:rsidRPr="00497352">
        <w:rPr>
          <w:rFonts w:ascii="Times New Roman" w:hAnsi="Times New Roman" w:cs="Times New Roman"/>
          <w:sz w:val="24"/>
          <w:szCs w:val="24"/>
        </w:rPr>
        <w:t>not his.”</w:t>
      </w:r>
    </w:p>
    <w:p w:rsidR="00762D44" w:rsidRPr="00497352" w:rsidRDefault="00762D44" w:rsidP="00670D88">
      <w:pPr>
        <w:spacing w:after="0" w:line="480" w:lineRule="auto"/>
        <w:ind w:left="720"/>
        <w:jc w:val="both"/>
        <w:rPr>
          <w:rFonts w:ascii="Times New Roman" w:hAnsi="Times New Roman" w:cs="Times New Roman"/>
          <w:sz w:val="24"/>
          <w:szCs w:val="24"/>
        </w:rPr>
      </w:pPr>
    </w:p>
    <w:p w:rsidR="00762D44" w:rsidRPr="00497352" w:rsidRDefault="00762D44" w:rsidP="00762D44">
      <w:pPr>
        <w:spacing w:after="0" w:line="240" w:lineRule="auto"/>
        <w:ind w:left="720"/>
        <w:jc w:val="both"/>
        <w:rPr>
          <w:rFonts w:ascii="Times New Roman" w:hAnsi="Times New Roman" w:cs="Times New Roman"/>
          <w:sz w:val="24"/>
          <w:szCs w:val="24"/>
        </w:rPr>
      </w:pPr>
    </w:p>
    <w:p w:rsidR="005D2081" w:rsidRPr="00497352" w:rsidRDefault="00AD3A50" w:rsidP="00670D88">
      <w:pPr>
        <w:spacing w:after="0" w:line="480" w:lineRule="auto"/>
        <w:ind w:firstLine="1134"/>
        <w:jc w:val="both"/>
        <w:rPr>
          <w:rFonts w:ascii="Times New Roman" w:hAnsi="Times New Roman" w:cs="Times New Roman"/>
          <w:sz w:val="24"/>
          <w:szCs w:val="24"/>
        </w:rPr>
      </w:pPr>
      <w:r w:rsidRPr="00497352">
        <w:rPr>
          <w:rFonts w:ascii="Times New Roman" w:hAnsi="Times New Roman" w:cs="Times New Roman"/>
          <w:sz w:val="24"/>
          <w:szCs w:val="24"/>
        </w:rPr>
        <w:t>On the authorities</w:t>
      </w:r>
      <w:r w:rsidR="00F828E2" w:rsidRPr="00497352">
        <w:rPr>
          <w:rFonts w:ascii="Times New Roman" w:hAnsi="Times New Roman" w:cs="Times New Roman"/>
          <w:sz w:val="24"/>
          <w:szCs w:val="24"/>
        </w:rPr>
        <w:t>,</w:t>
      </w:r>
      <w:r w:rsidR="00323186" w:rsidRPr="00497352">
        <w:rPr>
          <w:rFonts w:ascii="Times New Roman" w:hAnsi="Times New Roman" w:cs="Times New Roman"/>
          <w:sz w:val="24"/>
          <w:szCs w:val="24"/>
        </w:rPr>
        <w:t xml:space="preserve"> a buyer who </w:t>
      </w:r>
      <w:r w:rsidR="00B5754C" w:rsidRPr="00497352">
        <w:rPr>
          <w:rFonts w:ascii="Times New Roman" w:hAnsi="Times New Roman" w:cs="Times New Roman"/>
          <w:sz w:val="24"/>
          <w:szCs w:val="24"/>
        </w:rPr>
        <w:t xml:space="preserve">acquires property </w:t>
      </w:r>
      <w:r w:rsidR="001D467C" w:rsidRPr="00497352">
        <w:rPr>
          <w:rFonts w:ascii="Times New Roman" w:hAnsi="Times New Roman" w:cs="Times New Roman"/>
          <w:sz w:val="24"/>
          <w:szCs w:val="24"/>
        </w:rPr>
        <w:t xml:space="preserve">from a seller who is </w:t>
      </w:r>
      <w:r w:rsidR="0013326C" w:rsidRPr="00497352">
        <w:rPr>
          <w:rFonts w:ascii="Times New Roman" w:hAnsi="Times New Roman" w:cs="Times New Roman"/>
          <w:sz w:val="24"/>
          <w:szCs w:val="24"/>
        </w:rPr>
        <w:t xml:space="preserve">not the </w:t>
      </w:r>
      <w:r w:rsidR="00E607A0" w:rsidRPr="00497352">
        <w:rPr>
          <w:rFonts w:ascii="Times New Roman" w:hAnsi="Times New Roman" w:cs="Times New Roman"/>
          <w:sz w:val="24"/>
          <w:szCs w:val="24"/>
        </w:rPr>
        <w:t>owner and without</w:t>
      </w:r>
      <w:r w:rsidR="00B5754C" w:rsidRPr="00497352">
        <w:rPr>
          <w:rFonts w:ascii="Times New Roman" w:hAnsi="Times New Roman" w:cs="Times New Roman"/>
          <w:sz w:val="24"/>
          <w:szCs w:val="24"/>
        </w:rPr>
        <w:t xml:space="preserve"> </w:t>
      </w:r>
      <w:r w:rsidRPr="00497352">
        <w:rPr>
          <w:rFonts w:ascii="Times New Roman" w:hAnsi="Times New Roman" w:cs="Times New Roman"/>
          <w:sz w:val="24"/>
          <w:szCs w:val="24"/>
        </w:rPr>
        <w:t xml:space="preserve">valid </w:t>
      </w:r>
      <w:r w:rsidR="00B5754C" w:rsidRPr="00497352">
        <w:rPr>
          <w:rFonts w:ascii="Times New Roman" w:hAnsi="Times New Roman" w:cs="Times New Roman"/>
          <w:sz w:val="24"/>
          <w:szCs w:val="24"/>
        </w:rPr>
        <w:t>mandate to sell the property</w:t>
      </w:r>
      <w:r w:rsidR="002951B3" w:rsidRPr="00497352">
        <w:rPr>
          <w:rFonts w:ascii="Times New Roman" w:hAnsi="Times New Roman" w:cs="Times New Roman"/>
          <w:sz w:val="24"/>
          <w:szCs w:val="24"/>
        </w:rPr>
        <w:t>,</w:t>
      </w:r>
      <w:r w:rsidR="00B5754C" w:rsidRPr="00497352">
        <w:rPr>
          <w:rFonts w:ascii="Times New Roman" w:hAnsi="Times New Roman" w:cs="Times New Roman"/>
          <w:sz w:val="24"/>
          <w:szCs w:val="24"/>
        </w:rPr>
        <w:t xml:space="preserve"> as happened in this case, acquires defective title which is a nullity at law</w:t>
      </w:r>
      <w:r w:rsidR="00BC5A36" w:rsidRPr="00497352">
        <w:rPr>
          <w:rFonts w:ascii="Times New Roman" w:hAnsi="Times New Roman" w:cs="Times New Roman"/>
          <w:sz w:val="24"/>
          <w:szCs w:val="24"/>
        </w:rPr>
        <w:t>. A nullity is an event that never happened in the eyes of the law.</w:t>
      </w:r>
      <w:r w:rsidR="000E7FBB" w:rsidRPr="00497352">
        <w:rPr>
          <w:rFonts w:ascii="Times New Roman" w:hAnsi="Times New Roman" w:cs="Times New Roman"/>
          <w:sz w:val="24"/>
          <w:szCs w:val="24"/>
        </w:rPr>
        <w:t xml:space="preserve"> As Reimer had lost all rights of ownership to the land in dispute, the sale of the land to </w:t>
      </w:r>
      <w:r w:rsidR="002951B3" w:rsidRPr="00497352">
        <w:rPr>
          <w:rFonts w:ascii="Times New Roman" w:hAnsi="Times New Roman" w:cs="Times New Roman"/>
          <w:sz w:val="24"/>
          <w:szCs w:val="24"/>
        </w:rPr>
        <w:t>TBIC (</w:t>
      </w:r>
      <w:r w:rsidR="000E7FBB" w:rsidRPr="00497352">
        <w:rPr>
          <w:rFonts w:ascii="Times New Roman" w:hAnsi="Times New Roman" w:cs="Times New Roman"/>
          <w:sz w:val="24"/>
          <w:szCs w:val="24"/>
        </w:rPr>
        <w:t>Pvt) Ltd was patently unlawful and a nullity at law.</w:t>
      </w:r>
      <w:r w:rsidR="002951B3" w:rsidRPr="00497352">
        <w:rPr>
          <w:rFonts w:ascii="Times New Roman" w:hAnsi="Times New Roman" w:cs="Times New Roman"/>
          <w:sz w:val="24"/>
          <w:szCs w:val="24"/>
        </w:rPr>
        <w:t xml:space="preserve"> No valid title </w:t>
      </w:r>
      <w:r w:rsidR="00E607A0" w:rsidRPr="00497352">
        <w:rPr>
          <w:rFonts w:ascii="Times New Roman" w:hAnsi="Times New Roman" w:cs="Times New Roman"/>
          <w:sz w:val="24"/>
          <w:szCs w:val="24"/>
        </w:rPr>
        <w:t>can be founded on an illegality</w:t>
      </w:r>
      <w:r w:rsidR="004C2ADD" w:rsidRPr="00497352">
        <w:rPr>
          <w:rFonts w:ascii="Times New Roman" w:hAnsi="Times New Roman" w:cs="Times New Roman"/>
          <w:sz w:val="24"/>
          <w:szCs w:val="24"/>
        </w:rPr>
        <w:t xml:space="preserve">. In </w:t>
      </w:r>
      <w:proofErr w:type="spellStart"/>
      <w:r w:rsidR="004C2ADD" w:rsidRPr="00497352">
        <w:rPr>
          <w:rFonts w:ascii="Times New Roman" w:hAnsi="Times New Roman" w:cs="Times New Roman"/>
          <w:i/>
          <w:sz w:val="24"/>
          <w:szCs w:val="24"/>
        </w:rPr>
        <w:t>Guoxing</w:t>
      </w:r>
      <w:proofErr w:type="spellEnd"/>
      <w:r w:rsidR="004C2ADD" w:rsidRPr="00497352">
        <w:rPr>
          <w:rFonts w:ascii="Times New Roman" w:hAnsi="Times New Roman" w:cs="Times New Roman"/>
          <w:i/>
          <w:sz w:val="24"/>
          <w:szCs w:val="24"/>
        </w:rPr>
        <w:t xml:space="preserve"> Gong v Mayor Logistics (Pvt) Ltd</w:t>
      </w:r>
      <w:r w:rsidR="00D14548" w:rsidRPr="00497352">
        <w:rPr>
          <w:rFonts w:ascii="Times New Roman" w:hAnsi="Times New Roman" w:cs="Times New Roman"/>
          <w:sz w:val="24"/>
          <w:szCs w:val="24"/>
        </w:rPr>
        <w:t xml:space="preserve"> SC</w:t>
      </w:r>
      <w:r w:rsidR="004C2ADD" w:rsidRPr="00497352">
        <w:rPr>
          <w:rFonts w:ascii="Times New Roman" w:hAnsi="Times New Roman" w:cs="Times New Roman"/>
          <w:sz w:val="24"/>
          <w:szCs w:val="24"/>
        </w:rPr>
        <w:t xml:space="preserve"> –2–2017 at p</w:t>
      </w:r>
      <w:r w:rsidR="005578CE" w:rsidRPr="00497352">
        <w:rPr>
          <w:rFonts w:ascii="Times New Roman" w:hAnsi="Times New Roman" w:cs="Times New Roman"/>
          <w:sz w:val="24"/>
          <w:szCs w:val="24"/>
        </w:rPr>
        <w:t xml:space="preserve"> </w:t>
      </w:r>
      <w:r w:rsidR="004C2ADD" w:rsidRPr="00497352">
        <w:rPr>
          <w:rFonts w:ascii="Times New Roman" w:hAnsi="Times New Roman" w:cs="Times New Roman"/>
          <w:sz w:val="24"/>
          <w:szCs w:val="24"/>
        </w:rPr>
        <w:t xml:space="preserve">6 this </w:t>
      </w:r>
      <w:r w:rsidR="00762D44" w:rsidRPr="00497352">
        <w:rPr>
          <w:rFonts w:ascii="Times New Roman" w:hAnsi="Times New Roman" w:cs="Times New Roman"/>
          <w:sz w:val="24"/>
          <w:szCs w:val="24"/>
        </w:rPr>
        <w:t>C</w:t>
      </w:r>
      <w:r w:rsidR="004C2ADD" w:rsidRPr="00497352">
        <w:rPr>
          <w:rFonts w:ascii="Times New Roman" w:hAnsi="Times New Roman" w:cs="Times New Roman"/>
          <w:sz w:val="24"/>
          <w:szCs w:val="24"/>
        </w:rPr>
        <w:t>ourt made it abundantly clear that anything done contrary to the law is a nullity.</w:t>
      </w:r>
    </w:p>
    <w:p w:rsidR="00762D44" w:rsidRPr="00497352" w:rsidRDefault="00762D44" w:rsidP="00670D88">
      <w:pPr>
        <w:spacing w:after="0" w:line="480" w:lineRule="auto"/>
        <w:ind w:firstLine="1134"/>
        <w:jc w:val="both"/>
        <w:rPr>
          <w:rFonts w:ascii="Times New Roman" w:hAnsi="Times New Roman" w:cs="Times New Roman"/>
          <w:sz w:val="24"/>
          <w:szCs w:val="24"/>
        </w:rPr>
      </w:pPr>
    </w:p>
    <w:p w:rsidR="00DC52ED" w:rsidRPr="00497352" w:rsidRDefault="0039438D" w:rsidP="00670D88">
      <w:pPr>
        <w:spacing w:after="0" w:line="480" w:lineRule="auto"/>
        <w:ind w:firstLine="1134"/>
        <w:jc w:val="both"/>
        <w:rPr>
          <w:rFonts w:ascii="Times New Roman" w:hAnsi="Times New Roman" w:cs="Times New Roman"/>
          <w:sz w:val="24"/>
          <w:szCs w:val="24"/>
        </w:rPr>
      </w:pPr>
      <w:r w:rsidRPr="00497352">
        <w:rPr>
          <w:rFonts w:ascii="Times New Roman" w:hAnsi="Times New Roman" w:cs="Times New Roman"/>
          <w:sz w:val="24"/>
          <w:szCs w:val="24"/>
        </w:rPr>
        <w:t xml:space="preserve">To </w:t>
      </w:r>
      <w:r w:rsidR="00D409BC" w:rsidRPr="00497352">
        <w:rPr>
          <w:rFonts w:ascii="Times New Roman" w:hAnsi="Times New Roman" w:cs="Times New Roman"/>
          <w:sz w:val="24"/>
          <w:szCs w:val="24"/>
        </w:rPr>
        <w:t>make</w:t>
      </w:r>
      <w:r w:rsidRPr="00497352">
        <w:rPr>
          <w:rFonts w:ascii="Times New Roman" w:hAnsi="Times New Roman" w:cs="Times New Roman"/>
          <w:sz w:val="24"/>
          <w:szCs w:val="24"/>
        </w:rPr>
        <w:t xml:space="preserve"> matters worse, as correctly found by the learned Judge</w:t>
      </w:r>
      <w:r w:rsidR="00D14548" w:rsidRPr="00497352">
        <w:rPr>
          <w:rFonts w:ascii="Times New Roman" w:hAnsi="Times New Roman" w:cs="Times New Roman"/>
          <w:sz w:val="24"/>
          <w:szCs w:val="24"/>
        </w:rPr>
        <w:t xml:space="preserve"> in the court </w:t>
      </w:r>
      <w:r w:rsidR="00D14548" w:rsidRPr="00497352">
        <w:rPr>
          <w:rFonts w:ascii="Times New Roman" w:hAnsi="Times New Roman" w:cs="Times New Roman"/>
          <w:i/>
          <w:sz w:val="24"/>
          <w:szCs w:val="24"/>
        </w:rPr>
        <w:t>a quo</w:t>
      </w:r>
      <w:r w:rsidRPr="00497352">
        <w:rPr>
          <w:rFonts w:ascii="Times New Roman" w:hAnsi="Times New Roman" w:cs="Times New Roman"/>
          <w:sz w:val="24"/>
          <w:szCs w:val="24"/>
        </w:rPr>
        <w:t>, the appellant ob</w:t>
      </w:r>
      <w:r w:rsidR="00D409BC" w:rsidRPr="00497352">
        <w:rPr>
          <w:rFonts w:ascii="Times New Roman" w:hAnsi="Times New Roman" w:cs="Times New Roman"/>
          <w:sz w:val="24"/>
          <w:szCs w:val="24"/>
        </w:rPr>
        <w:t>tained dubious title in circumstances where the original title deeds with the endorsement of State title had been fraudulently removed from the Deeds Registry.</w:t>
      </w:r>
      <w:r w:rsidR="000E3137" w:rsidRPr="00497352">
        <w:rPr>
          <w:rFonts w:ascii="Times New Roman" w:hAnsi="Times New Roman" w:cs="Times New Roman"/>
          <w:sz w:val="24"/>
          <w:szCs w:val="24"/>
        </w:rPr>
        <w:t xml:space="preserve"> </w:t>
      </w:r>
      <w:r w:rsidR="00BE768B" w:rsidRPr="00497352">
        <w:rPr>
          <w:rFonts w:ascii="Times New Roman" w:hAnsi="Times New Roman" w:cs="Times New Roman"/>
          <w:sz w:val="24"/>
          <w:szCs w:val="24"/>
        </w:rPr>
        <w:t xml:space="preserve"> It is trite that one cannot transfer ownership </w:t>
      </w:r>
      <w:r w:rsidR="00C93304" w:rsidRPr="00497352">
        <w:rPr>
          <w:rFonts w:ascii="Times New Roman" w:hAnsi="Times New Roman" w:cs="Times New Roman"/>
          <w:sz w:val="24"/>
          <w:szCs w:val="24"/>
        </w:rPr>
        <w:t xml:space="preserve">of rights that he does not have </w:t>
      </w:r>
      <w:proofErr w:type="gramStart"/>
      <w:r w:rsidR="00C93304" w:rsidRPr="00497352">
        <w:rPr>
          <w:rFonts w:ascii="Times New Roman" w:hAnsi="Times New Roman" w:cs="Times New Roman"/>
          <w:sz w:val="24"/>
          <w:szCs w:val="24"/>
        </w:rPr>
        <w:t>nor</w:t>
      </w:r>
      <w:proofErr w:type="gramEnd"/>
      <w:r w:rsidR="00C93304" w:rsidRPr="00497352">
        <w:rPr>
          <w:rFonts w:ascii="Times New Roman" w:hAnsi="Times New Roman" w:cs="Times New Roman"/>
          <w:sz w:val="24"/>
          <w:szCs w:val="24"/>
        </w:rPr>
        <w:t xml:space="preserve"> can rights be </w:t>
      </w:r>
      <w:r w:rsidR="00AD3A50" w:rsidRPr="00497352">
        <w:rPr>
          <w:rFonts w:ascii="Times New Roman" w:hAnsi="Times New Roman" w:cs="Times New Roman"/>
          <w:sz w:val="24"/>
          <w:szCs w:val="24"/>
        </w:rPr>
        <w:t xml:space="preserve">lawfully </w:t>
      </w:r>
      <w:r w:rsidR="00C93304" w:rsidRPr="00497352">
        <w:rPr>
          <w:rFonts w:ascii="Times New Roman" w:hAnsi="Times New Roman" w:cs="Times New Roman"/>
          <w:sz w:val="24"/>
          <w:szCs w:val="24"/>
        </w:rPr>
        <w:lastRenderedPageBreak/>
        <w:t>transferred through fraudulent means</w:t>
      </w:r>
      <w:r w:rsidR="00583E38" w:rsidRPr="00497352">
        <w:rPr>
          <w:rFonts w:ascii="Times New Roman" w:hAnsi="Times New Roman" w:cs="Times New Roman"/>
          <w:sz w:val="24"/>
          <w:szCs w:val="24"/>
        </w:rPr>
        <w:t>. This is</w:t>
      </w:r>
      <w:r w:rsidR="003C2686" w:rsidRPr="00497352">
        <w:rPr>
          <w:rFonts w:ascii="Times New Roman" w:hAnsi="Times New Roman" w:cs="Times New Roman"/>
          <w:sz w:val="24"/>
          <w:szCs w:val="24"/>
        </w:rPr>
        <w:t xml:space="preserve"> because the law prohibits anyone from deriving benefit from criminality</w:t>
      </w:r>
      <w:r w:rsidR="00FC3D48" w:rsidRPr="00497352">
        <w:rPr>
          <w:rFonts w:ascii="Times New Roman" w:hAnsi="Times New Roman" w:cs="Times New Roman"/>
          <w:sz w:val="24"/>
          <w:szCs w:val="24"/>
        </w:rPr>
        <w:t xml:space="preserve"> regardless of the origin of the criminal conduct</w:t>
      </w:r>
      <w:r w:rsidR="003C2686" w:rsidRPr="00497352">
        <w:rPr>
          <w:rFonts w:ascii="Times New Roman" w:hAnsi="Times New Roman" w:cs="Times New Roman"/>
          <w:sz w:val="24"/>
          <w:szCs w:val="24"/>
        </w:rPr>
        <w:t>.</w:t>
      </w:r>
    </w:p>
    <w:p w:rsidR="00762D44" w:rsidRPr="00497352" w:rsidRDefault="00762D44" w:rsidP="00670D88">
      <w:pPr>
        <w:spacing w:after="0" w:line="480" w:lineRule="auto"/>
        <w:ind w:firstLine="1134"/>
        <w:jc w:val="both"/>
        <w:rPr>
          <w:rFonts w:ascii="Times New Roman" w:hAnsi="Times New Roman" w:cs="Times New Roman"/>
          <w:sz w:val="24"/>
          <w:szCs w:val="24"/>
        </w:rPr>
      </w:pPr>
    </w:p>
    <w:p w:rsidR="00EB065E" w:rsidRPr="00497352" w:rsidRDefault="00250BC5" w:rsidP="00670D88">
      <w:pPr>
        <w:spacing w:after="0" w:line="480" w:lineRule="auto"/>
        <w:ind w:firstLine="1134"/>
        <w:jc w:val="both"/>
        <w:rPr>
          <w:rFonts w:ascii="Times New Roman" w:hAnsi="Times New Roman" w:cs="Times New Roman"/>
          <w:sz w:val="24"/>
          <w:szCs w:val="24"/>
        </w:rPr>
      </w:pPr>
      <w:r w:rsidRPr="00497352">
        <w:rPr>
          <w:rFonts w:ascii="Times New Roman" w:hAnsi="Times New Roman" w:cs="Times New Roman"/>
          <w:sz w:val="24"/>
          <w:szCs w:val="24"/>
        </w:rPr>
        <w:t>I note in passing that the prevalence of fraudulent and corrupt disappearance of records and documents in the Deeds Registry has now reached alarming proportions.</w:t>
      </w:r>
      <w:r w:rsidR="00EB065E" w:rsidRPr="00497352">
        <w:rPr>
          <w:rFonts w:ascii="Times New Roman" w:hAnsi="Times New Roman" w:cs="Times New Roman"/>
          <w:sz w:val="24"/>
          <w:szCs w:val="24"/>
        </w:rPr>
        <w:t xml:space="preserve"> This prompted MATHONS</w:t>
      </w:r>
      <w:r w:rsidR="00337BD7" w:rsidRPr="00497352">
        <w:rPr>
          <w:rFonts w:ascii="Times New Roman" w:hAnsi="Times New Roman" w:cs="Times New Roman"/>
          <w:sz w:val="24"/>
          <w:szCs w:val="24"/>
        </w:rPr>
        <w:t>I</w:t>
      </w:r>
      <w:r w:rsidR="00EB065E" w:rsidRPr="00497352">
        <w:rPr>
          <w:rFonts w:ascii="Times New Roman" w:hAnsi="Times New Roman" w:cs="Times New Roman"/>
          <w:sz w:val="24"/>
          <w:szCs w:val="24"/>
        </w:rPr>
        <w:t xml:space="preserve"> J to lament in the case of </w:t>
      </w:r>
      <w:r w:rsidR="00337BD7" w:rsidRPr="00497352">
        <w:rPr>
          <w:rFonts w:ascii="Times New Roman" w:hAnsi="Times New Roman" w:cs="Times New Roman"/>
          <w:i/>
          <w:sz w:val="24"/>
          <w:szCs w:val="24"/>
        </w:rPr>
        <w:t>Cosmas</w:t>
      </w:r>
      <w:r w:rsidR="00EB065E" w:rsidRPr="00497352">
        <w:rPr>
          <w:rFonts w:ascii="Times New Roman" w:hAnsi="Times New Roman" w:cs="Times New Roman"/>
          <w:i/>
          <w:sz w:val="24"/>
          <w:szCs w:val="24"/>
        </w:rPr>
        <w:t xml:space="preserve"> </w:t>
      </w:r>
      <w:proofErr w:type="spellStart"/>
      <w:r w:rsidR="00EB065E" w:rsidRPr="00497352">
        <w:rPr>
          <w:rFonts w:ascii="Times New Roman" w:hAnsi="Times New Roman" w:cs="Times New Roman"/>
          <w:i/>
          <w:sz w:val="24"/>
          <w:szCs w:val="24"/>
        </w:rPr>
        <w:t>Luckson</w:t>
      </w:r>
      <w:proofErr w:type="spellEnd"/>
      <w:r w:rsidR="00EB065E" w:rsidRPr="00497352">
        <w:rPr>
          <w:rFonts w:ascii="Times New Roman" w:hAnsi="Times New Roman" w:cs="Times New Roman"/>
          <w:i/>
          <w:sz w:val="24"/>
          <w:szCs w:val="24"/>
        </w:rPr>
        <w:t xml:space="preserve"> </w:t>
      </w:r>
      <w:proofErr w:type="spellStart"/>
      <w:r w:rsidR="00EB065E" w:rsidRPr="00497352">
        <w:rPr>
          <w:rFonts w:ascii="Times New Roman" w:hAnsi="Times New Roman" w:cs="Times New Roman"/>
          <w:i/>
          <w:sz w:val="24"/>
          <w:szCs w:val="24"/>
        </w:rPr>
        <w:t>Zavazava</w:t>
      </w:r>
      <w:proofErr w:type="spellEnd"/>
      <w:r w:rsidR="00EB065E" w:rsidRPr="00497352">
        <w:rPr>
          <w:rFonts w:ascii="Times New Roman" w:hAnsi="Times New Roman" w:cs="Times New Roman"/>
          <w:i/>
          <w:sz w:val="24"/>
          <w:szCs w:val="24"/>
        </w:rPr>
        <w:t xml:space="preserve"> and Anor v Tendai </w:t>
      </w:r>
      <w:proofErr w:type="spellStart"/>
      <w:r w:rsidR="00EB065E" w:rsidRPr="00497352">
        <w:rPr>
          <w:rFonts w:ascii="Times New Roman" w:hAnsi="Times New Roman" w:cs="Times New Roman"/>
          <w:i/>
          <w:sz w:val="24"/>
          <w:szCs w:val="24"/>
        </w:rPr>
        <w:t>Anania</w:t>
      </w:r>
      <w:proofErr w:type="spellEnd"/>
      <w:r w:rsidR="00EB065E" w:rsidRPr="00497352">
        <w:rPr>
          <w:rFonts w:ascii="Times New Roman" w:hAnsi="Times New Roman" w:cs="Times New Roman"/>
          <w:i/>
          <w:sz w:val="24"/>
          <w:szCs w:val="24"/>
        </w:rPr>
        <w:t xml:space="preserve"> </w:t>
      </w:r>
      <w:proofErr w:type="spellStart"/>
      <w:r w:rsidR="00EB065E" w:rsidRPr="00497352">
        <w:rPr>
          <w:rFonts w:ascii="Times New Roman" w:hAnsi="Times New Roman" w:cs="Times New Roman"/>
          <w:i/>
          <w:sz w:val="24"/>
          <w:szCs w:val="24"/>
        </w:rPr>
        <w:t>Tendere</w:t>
      </w:r>
      <w:proofErr w:type="spellEnd"/>
      <w:r w:rsidR="00EB065E" w:rsidRPr="00497352">
        <w:rPr>
          <w:rFonts w:ascii="Times New Roman" w:hAnsi="Times New Roman" w:cs="Times New Roman"/>
          <w:i/>
          <w:sz w:val="24"/>
          <w:szCs w:val="24"/>
        </w:rPr>
        <w:t xml:space="preserve"> and 2 </w:t>
      </w:r>
      <w:proofErr w:type="spellStart"/>
      <w:r w:rsidR="00EB065E" w:rsidRPr="00497352">
        <w:rPr>
          <w:rFonts w:ascii="Times New Roman" w:hAnsi="Times New Roman" w:cs="Times New Roman"/>
          <w:i/>
          <w:sz w:val="24"/>
          <w:szCs w:val="24"/>
        </w:rPr>
        <w:t>Ors</w:t>
      </w:r>
      <w:proofErr w:type="spellEnd"/>
      <w:r w:rsidR="00EB065E" w:rsidRPr="00497352">
        <w:rPr>
          <w:rFonts w:ascii="Times New Roman" w:hAnsi="Times New Roman" w:cs="Times New Roman"/>
          <w:sz w:val="24"/>
          <w:szCs w:val="24"/>
        </w:rPr>
        <w:t xml:space="preserve"> HH 740/15 to </w:t>
      </w:r>
      <w:r w:rsidR="00337BD7" w:rsidRPr="00497352">
        <w:rPr>
          <w:rFonts w:ascii="Times New Roman" w:hAnsi="Times New Roman" w:cs="Times New Roman"/>
          <w:sz w:val="24"/>
          <w:szCs w:val="24"/>
        </w:rPr>
        <w:t>remark</w:t>
      </w:r>
      <w:r w:rsidR="00EB065E" w:rsidRPr="00497352">
        <w:rPr>
          <w:rFonts w:ascii="Times New Roman" w:hAnsi="Times New Roman" w:cs="Times New Roman"/>
          <w:sz w:val="24"/>
          <w:szCs w:val="24"/>
        </w:rPr>
        <w:t xml:space="preserve"> as follows:</w:t>
      </w:r>
    </w:p>
    <w:p w:rsidR="00EB065E" w:rsidRPr="00497352" w:rsidRDefault="00EB065E" w:rsidP="00E20833">
      <w:pPr>
        <w:spacing w:after="0" w:line="240" w:lineRule="auto"/>
        <w:ind w:left="720"/>
        <w:jc w:val="both"/>
        <w:rPr>
          <w:rFonts w:ascii="Times New Roman" w:hAnsi="Times New Roman" w:cs="Times New Roman"/>
          <w:sz w:val="24"/>
          <w:szCs w:val="24"/>
        </w:rPr>
      </w:pPr>
      <w:r w:rsidRPr="00497352">
        <w:rPr>
          <w:rFonts w:ascii="Times New Roman" w:hAnsi="Times New Roman" w:cs="Times New Roman"/>
          <w:sz w:val="24"/>
          <w:szCs w:val="24"/>
        </w:rPr>
        <w:t>“It would appear that conveyancing laws of this country are not fool</w:t>
      </w:r>
      <w:r w:rsidR="00337BD7" w:rsidRPr="00497352">
        <w:rPr>
          <w:rFonts w:ascii="Times New Roman" w:hAnsi="Times New Roman" w:cs="Times New Roman"/>
          <w:sz w:val="24"/>
          <w:szCs w:val="24"/>
        </w:rPr>
        <w:t>-</w:t>
      </w:r>
      <w:r w:rsidRPr="00497352">
        <w:rPr>
          <w:rFonts w:ascii="Times New Roman" w:hAnsi="Times New Roman" w:cs="Times New Roman"/>
          <w:sz w:val="24"/>
          <w:szCs w:val="24"/>
        </w:rPr>
        <w:t xml:space="preserve">proof because fraudsters continue to exploit the weaknesses in the procedure for registration </w:t>
      </w:r>
      <w:r w:rsidR="000710A8" w:rsidRPr="00497352">
        <w:rPr>
          <w:rFonts w:ascii="Times New Roman" w:hAnsi="Times New Roman" w:cs="Times New Roman"/>
          <w:sz w:val="24"/>
          <w:szCs w:val="24"/>
        </w:rPr>
        <w:t>of transfers to defraud innocent property seekers. The leakages</w:t>
      </w:r>
      <w:r w:rsidR="000D31B5" w:rsidRPr="00497352">
        <w:rPr>
          <w:rFonts w:ascii="Times New Roman" w:hAnsi="Times New Roman" w:cs="Times New Roman"/>
          <w:sz w:val="24"/>
          <w:szCs w:val="24"/>
        </w:rPr>
        <w:t xml:space="preserve"> in the system</w:t>
      </w:r>
      <w:r w:rsidR="000710A8" w:rsidRPr="00497352">
        <w:rPr>
          <w:rFonts w:ascii="Times New Roman" w:hAnsi="Times New Roman" w:cs="Times New Roman"/>
          <w:sz w:val="24"/>
          <w:szCs w:val="24"/>
        </w:rPr>
        <w:t xml:space="preserve"> have meant that cases of unlawful transfers of immovable property continue to reach the courts with alarming frequency. For how long will these fraudsters, who strut among communities, continue to</w:t>
      </w:r>
      <w:r w:rsidR="000D31B5" w:rsidRPr="00497352">
        <w:rPr>
          <w:rFonts w:ascii="Times New Roman" w:hAnsi="Times New Roman" w:cs="Times New Roman"/>
          <w:sz w:val="24"/>
          <w:szCs w:val="24"/>
        </w:rPr>
        <w:t xml:space="preserve"> </w:t>
      </w:r>
      <w:r w:rsidR="000710A8" w:rsidRPr="00497352">
        <w:rPr>
          <w:rFonts w:ascii="Times New Roman" w:hAnsi="Times New Roman" w:cs="Times New Roman"/>
          <w:sz w:val="24"/>
          <w:szCs w:val="24"/>
        </w:rPr>
        <w:t xml:space="preserve">hold sway, to make a mockery of transfer rules to milk unsuspecting home seekers dry </w:t>
      </w:r>
      <w:proofErr w:type="gramStart"/>
      <w:r w:rsidR="000D31B5" w:rsidRPr="00497352">
        <w:rPr>
          <w:rFonts w:ascii="Times New Roman" w:hAnsi="Times New Roman" w:cs="Times New Roman"/>
          <w:sz w:val="24"/>
          <w:szCs w:val="24"/>
        </w:rPr>
        <w:t>in order</w:t>
      </w:r>
      <w:r w:rsidR="000710A8" w:rsidRPr="00497352">
        <w:rPr>
          <w:rFonts w:ascii="Times New Roman" w:hAnsi="Times New Roman" w:cs="Times New Roman"/>
          <w:sz w:val="24"/>
          <w:szCs w:val="24"/>
        </w:rPr>
        <w:t xml:space="preserve"> to</w:t>
      </w:r>
      <w:proofErr w:type="gramEnd"/>
      <w:r w:rsidR="000710A8" w:rsidRPr="00497352">
        <w:rPr>
          <w:rFonts w:ascii="Times New Roman" w:hAnsi="Times New Roman" w:cs="Times New Roman"/>
          <w:sz w:val="24"/>
          <w:szCs w:val="24"/>
        </w:rPr>
        <w:t xml:space="preserve"> make a dishonest living?</w:t>
      </w:r>
      <w:r w:rsidR="000D31B5" w:rsidRPr="00497352">
        <w:rPr>
          <w:rFonts w:ascii="Times New Roman" w:hAnsi="Times New Roman" w:cs="Times New Roman"/>
          <w:sz w:val="24"/>
          <w:szCs w:val="24"/>
        </w:rPr>
        <w:t xml:space="preserve"> These shameless individuals bring the </w:t>
      </w:r>
      <w:proofErr w:type="gramStart"/>
      <w:r w:rsidR="000D31B5" w:rsidRPr="00497352">
        <w:rPr>
          <w:rFonts w:ascii="Times New Roman" w:hAnsi="Times New Roman" w:cs="Times New Roman"/>
          <w:sz w:val="24"/>
          <w:szCs w:val="24"/>
        </w:rPr>
        <w:t>whole process</w:t>
      </w:r>
      <w:proofErr w:type="gramEnd"/>
      <w:r w:rsidR="000D31B5" w:rsidRPr="00497352">
        <w:rPr>
          <w:rFonts w:ascii="Times New Roman" w:hAnsi="Times New Roman" w:cs="Times New Roman"/>
          <w:sz w:val="24"/>
          <w:szCs w:val="24"/>
        </w:rPr>
        <w:t xml:space="preserve"> of private ownership of property to disrepute.”</w:t>
      </w:r>
    </w:p>
    <w:p w:rsidR="00E20833" w:rsidRPr="00497352" w:rsidRDefault="00E20833" w:rsidP="00670D88">
      <w:pPr>
        <w:spacing w:after="0" w:line="480" w:lineRule="auto"/>
        <w:ind w:left="720"/>
        <w:jc w:val="both"/>
        <w:rPr>
          <w:rFonts w:ascii="Times New Roman" w:hAnsi="Times New Roman" w:cs="Times New Roman"/>
          <w:sz w:val="24"/>
          <w:szCs w:val="24"/>
        </w:rPr>
      </w:pPr>
    </w:p>
    <w:p w:rsidR="00E20833" w:rsidRPr="00497352" w:rsidRDefault="00E20833" w:rsidP="00E20833">
      <w:pPr>
        <w:spacing w:after="0" w:line="240" w:lineRule="auto"/>
        <w:ind w:left="720"/>
        <w:jc w:val="both"/>
        <w:rPr>
          <w:rFonts w:ascii="Times New Roman" w:hAnsi="Times New Roman" w:cs="Times New Roman"/>
          <w:sz w:val="24"/>
          <w:szCs w:val="24"/>
        </w:rPr>
      </w:pPr>
    </w:p>
    <w:p w:rsidR="00E20833" w:rsidRPr="00497352" w:rsidRDefault="003720B7" w:rsidP="00670D88">
      <w:pPr>
        <w:spacing w:after="0" w:line="480" w:lineRule="auto"/>
        <w:ind w:firstLine="1134"/>
        <w:jc w:val="both"/>
        <w:rPr>
          <w:rFonts w:ascii="Times New Roman" w:hAnsi="Times New Roman" w:cs="Times New Roman"/>
          <w:sz w:val="24"/>
          <w:szCs w:val="24"/>
        </w:rPr>
      </w:pPr>
      <w:r w:rsidRPr="00497352">
        <w:rPr>
          <w:rFonts w:ascii="Times New Roman" w:hAnsi="Times New Roman" w:cs="Times New Roman"/>
          <w:sz w:val="24"/>
          <w:szCs w:val="24"/>
        </w:rPr>
        <w:t>In this case</w:t>
      </w:r>
      <w:r w:rsidR="0047798F" w:rsidRPr="00497352">
        <w:rPr>
          <w:rFonts w:ascii="Times New Roman" w:hAnsi="Times New Roman" w:cs="Times New Roman"/>
          <w:sz w:val="24"/>
          <w:szCs w:val="24"/>
        </w:rPr>
        <w:t>,</w:t>
      </w:r>
      <w:r w:rsidRPr="00497352">
        <w:rPr>
          <w:rFonts w:ascii="Times New Roman" w:hAnsi="Times New Roman" w:cs="Times New Roman"/>
          <w:sz w:val="24"/>
          <w:szCs w:val="24"/>
        </w:rPr>
        <w:t xml:space="preserve"> the fraudulent disappearance of the original Title D</w:t>
      </w:r>
      <w:r w:rsidR="00934802" w:rsidRPr="00497352">
        <w:rPr>
          <w:rFonts w:ascii="Times New Roman" w:hAnsi="Times New Roman" w:cs="Times New Roman"/>
          <w:sz w:val="24"/>
          <w:szCs w:val="24"/>
        </w:rPr>
        <w:t xml:space="preserve">eeds </w:t>
      </w:r>
      <w:r w:rsidRPr="00497352">
        <w:rPr>
          <w:rFonts w:ascii="Times New Roman" w:hAnsi="Times New Roman" w:cs="Times New Roman"/>
          <w:sz w:val="24"/>
          <w:szCs w:val="24"/>
        </w:rPr>
        <w:t>dully endorsed with State Title</w:t>
      </w:r>
      <w:r w:rsidR="00337BD7" w:rsidRPr="00497352">
        <w:rPr>
          <w:rFonts w:ascii="Times New Roman" w:hAnsi="Times New Roman" w:cs="Times New Roman"/>
          <w:sz w:val="24"/>
          <w:szCs w:val="24"/>
        </w:rPr>
        <w:t xml:space="preserve"> in the Deeds Office</w:t>
      </w:r>
      <w:r w:rsidRPr="00497352">
        <w:rPr>
          <w:rFonts w:ascii="Times New Roman" w:hAnsi="Times New Roman" w:cs="Times New Roman"/>
          <w:sz w:val="24"/>
          <w:szCs w:val="24"/>
        </w:rPr>
        <w:t xml:space="preserve"> could only have benefitted the parties to the illegal sale of </w:t>
      </w:r>
      <w:r w:rsidR="00934802" w:rsidRPr="00497352">
        <w:rPr>
          <w:rFonts w:ascii="Times New Roman" w:hAnsi="Times New Roman" w:cs="Times New Roman"/>
          <w:sz w:val="24"/>
          <w:szCs w:val="24"/>
        </w:rPr>
        <w:t xml:space="preserve">the </w:t>
      </w:r>
      <w:r w:rsidRPr="00497352">
        <w:rPr>
          <w:rFonts w:ascii="Times New Roman" w:hAnsi="Times New Roman" w:cs="Times New Roman"/>
          <w:sz w:val="24"/>
          <w:szCs w:val="24"/>
        </w:rPr>
        <w:t>State land</w:t>
      </w:r>
      <w:r w:rsidR="00934802" w:rsidRPr="00497352">
        <w:rPr>
          <w:rFonts w:ascii="Times New Roman" w:hAnsi="Times New Roman" w:cs="Times New Roman"/>
          <w:sz w:val="24"/>
          <w:szCs w:val="24"/>
        </w:rPr>
        <w:t xml:space="preserve"> in question</w:t>
      </w:r>
      <w:r w:rsidR="00337BD7" w:rsidRPr="00497352">
        <w:rPr>
          <w:rFonts w:ascii="Times New Roman" w:hAnsi="Times New Roman" w:cs="Times New Roman"/>
          <w:sz w:val="24"/>
          <w:szCs w:val="24"/>
        </w:rPr>
        <w:t xml:space="preserve">. The fraudulent transfer was then perpetrated </w:t>
      </w:r>
      <w:r w:rsidR="008C4231" w:rsidRPr="00497352">
        <w:rPr>
          <w:rFonts w:ascii="Times New Roman" w:hAnsi="Times New Roman" w:cs="Times New Roman"/>
          <w:sz w:val="24"/>
          <w:szCs w:val="24"/>
        </w:rPr>
        <w:t>using a copy of the seller’s tittle Deeds without endorsement of State Tittle.</w:t>
      </w:r>
      <w:r w:rsidR="00934802" w:rsidRPr="00497352">
        <w:rPr>
          <w:rFonts w:ascii="Times New Roman" w:hAnsi="Times New Roman" w:cs="Times New Roman"/>
          <w:sz w:val="24"/>
          <w:szCs w:val="24"/>
        </w:rPr>
        <w:t xml:space="preserve"> This was meant t</w:t>
      </w:r>
      <w:r w:rsidRPr="00497352">
        <w:rPr>
          <w:rFonts w:ascii="Times New Roman" w:hAnsi="Times New Roman" w:cs="Times New Roman"/>
          <w:sz w:val="24"/>
          <w:szCs w:val="24"/>
        </w:rPr>
        <w:t xml:space="preserve">o facilitate </w:t>
      </w:r>
      <w:r w:rsidR="00934802" w:rsidRPr="00497352">
        <w:rPr>
          <w:rFonts w:ascii="Times New Roman" w:hAnsi="Times New Roman" w:cs="Times New Roman"/>
          <w:sz w:val="24"/>
          <w:szCs w:val="24"/>
        </w:rPr>
        <w:t>the bogus transfer of State Land to the appellant.</w:t>
      </w:r>
    </w:p>
    <w:p w:rsidR="008C4231" w:rsidRPr="00497352" w:rsidRDefault="00934802" w:rsidP="00670D88">
      <w:pPr>
        <w:spacing w:after="0" w:line="480" w:lineRule="auto"/>
        <w:ind w:firstLine="1134"/>
        <w:jc w:val="both"/>
        <w:rPr>
          <w:rFonts w:ascii="Times New Roman" w:hAnsi="Times New Roman" w:cs="Times New Roman"/>
          <w:sz w:val="24"/>
          <w:szCs w:val="24"/>
        </w:rPr>
      </w:pPr>
      <w:r w:rsidRPr="00497352">
        <w:rPr>
          <w:rFonts w:ascii="Times New Roman" w:hAnsi="Times New Roman" w:cs="Times New Roman"/>
          <w:sz w:val="24"/>
          <w:szCs w:val="24"/>
        </w:rPr>
        <w:t xml:space="preserve"> </w:t>
      </w:r>
    </w:p>
    <w:p w:rsidR="003720B7" w:rsidRPr="00497352" w:rsidRDefault="00F111E0" w:rsidP="00670D88">
      <w:pPr>
        <w:spacing w:after="0" w:line="480" w:lineRule="auto"/>
        <w:ind w:firstLine="1134"/>
        <w:jc w:val="both"/>
        <w:rPr>
          <w:rFonts w:ascii="Times New Roman" w:hAnsi="Times New Roman" w:cs="Times New Roman"/>
          <w:sz w:val="24"/>
          <w:szCs w:val="24"/>
        </w:rPr>
      </w:pPr>
      <w:r w:rsidRPr="00497352">
        <w:rPr>
          <w:rFonts w:ascii="Times New Roman" w:hAnsi="Times New Roman" w:cs="Times New Roman"/>
          <w:sz w:val="24"/>
          <w:szCs w:val="24"/>
        </w:rPr>
        <w:t>In the absence of any other credible evidence to the contrary</w:t>
      </w:r>
      <w:r w:rsidR="00AC69CD" w:rsidRPr="00497352">
        <w:rPr>
          <w:rFonts w:ascii="Times New Roman" w:hAnsi="Times New Roman" w:cs="Times New Roman"/>
          <w:sz w:val="24"/>
          <w:szCs w:val="24"/>
        </w:rPr>
        <w:t xml:space="preserve">, </w:t>
      </w:r>
      <w:r w:rsidR="00C67E93" w:rsidRPr="00497352">
        <w:rPr>
          <w:rFonts w:ascii="Times New Roman" w:hAnsi="Times New Roman" w:cs="Times New Roman"/>
          <w:sz w:val="24"/>
          <w:szCs w:val="24"/>
        </w:rPr>
        <w:t>the only reasonable inference that can be drawn is that the</w:t>
      </w:r>
      <w:r w:rsidRPr="00497352">
        <w:rPr>
          <w:rFonts w:ascii="Times New Roman" w:hAnsi="Times New Roman" w:cs="Times New Roman"/>
          <w:sz w:val="24"/>
          <w:szCs w:val="24"/>
        </w:rPr>
        <w:t xml:space="preserve"> app</w:t>
      </w:r>
      <w:r w:rsidR="00C67E93" w:rsidRPr="00497352">
        <w:rPr>
          <w:rFonts w:ascii="Times New Roman" w:hAnsi="Times New Roman" w:cs="Times New Roman"/>
          <w:sz w:val="24"/>
          <w:szCs w:val="24"/>
        </w:rPr>
        <w:t xml:space="preserve">ellant and </w:t>
      </w:r>
      <w:r w:rsidR="00D17CC8" w:rsidRPr="00497352">
        <w:rPr>
          <w:rFonts w:ascii="Times New Roman" w:hAnsi="Times New Roman" w:cs="Times New Roman"/>
          <w:sz w:val="24"/>
          <w:szCs w:val="24"/>
        </w:rPr>
        <w:t xml:space="preserve">Cecil </w:t>
      </w:r>
      <w:r w:rsidR="00C67E93" w:rsidRPr="00497352">
        <w:rPr>
          <w:rFonts w:ascii="Times New Roman" w:hAnsi="Times New Roman" w:cs="Times New Roman"/>
          <w:sz w:val="24"/>
          <w:szCs w:val="24"/>
        </w:rPr>
        <w:t>Michael Reimer were</w:t>
      </w:r>
      <w:r w:rsidRPr="00497352">
        <w:rPr>
          <w:rFonts w:ascii="Times New Roman" w:hAnsi="Times New Roman" w:cs="Times New Roman"/>
          <w:sz w:val="24"/>
          <w:szCs w:val="24"/>
        </w:rPr>
        <w:t xml:space="preserve"> co-conspirators in the perpetration of the fraud.</w:t>
      </w:r>
      <w:r w:rsidR="00AC69CD" w:rsidRPr="00497352">
        <w:rPr>
          <w:rFonts w:ascii="Times New Roman" w:hAnsi="Times New Roman" w:cs="Times New Roman"/>
          <w:sz w:val="24"/>
          <w:szCs w:val="24"/>
        </w:rPr>
        <w:t xml:space="preserve"> This uncouth reprehensible behaviour </w:t>
      </w:r>
      <w:r w:rsidR="00606E18" w:rsidRPr="00497352">
        <w:rPr>
          <w:rFonts w:ascii="Times New Roman" w:hAnsi="Times New Roman" w:cs="Times New Roman"/>
          <w:sz w:val="24"/>
          <w:szCs w:val="24"/>
        </w:rPr>
        <w:t>cannot be sanctioned by the courts.</w:t>
      </w:r>
      <w:r w:rsidR="008C4231" w:rsidRPr="00497352">
        <w:rPr>
          <w:rFonts w:ascii="Times New Roman" w:hAnsi="Times New Roman" w:cs="Times New Roman"/>
          <w:sz w:val="24"/>
          <w:szCs w:val="24"/>
        </w:rPr>
        <w:t xml:space="preserve"> That type of criminal conduct discredits </w:t>
      </w:r>
      <w:proofErr w:type="gramStart"/>
      <w:r w:rsidR="00C67E93" w:rsidRPr="00497352">
        <w:rPr>
          <w:rFonts w:ascii="Times New Roman" w:hAnsi="Times New Roman" w:cs="Times New Roman"/>
          <w:sz w:val="24"/>
          <w:szCs w:val="24"/>
        </w:rPr>
        <w:t>both of them</w:t>
      </w:r>
      <w:proofErr w:type="gramEnd"/>
      <w:r w:rsidR="00C67E93" w:rsidRPr="00497352">
        <w:rPr>
          <w:rFonts w:ascii="Times New Roman" w:hAnsi="Times New Roman" w:cs="Times New Roman"/>
          <w:sz w:val="24"/>
          <w:szCs w:val="24"/>
        </w:rPr>
        <w:t xml:space="preserve"> as witnesses. It </w:t>
      </w:r>
      <w:r w:rsidR="008C4231" w:rsidRPr="00497352">
        <w:rPr>
          <w:rFonts w:ascii="Times New Roman" w:hAnsi="Times New Roman" w:cs="Times New Roman"/>
          <w:sz w:val="24"/>
          <w:szCs w:val="24"/>
        </w:rPr>
        <w:t xml:space="preserve">betrays knowledge </w:t>
      </w:r>
      <w:r w:rsidR="00C67E93" w:rsidRPr="00497352">
        <w:rPr>
          <w:rFonts w:ascii="Times New Roman" w:hAnsi="Times New Roman" w:cs="Times New Roman"/>
          <w:sz w:val="24"/>
          <w:szCs w:val="24"/>
        </w:rPr>
        <w:t xml:space="preserve">on their part </w:t>
      </w:r>
      <w:r w:rsidR="008C4231" w:rsidRPr="00497352">
        <w:rPr>
          <w:rFonts w:ascii="Times New Roman" w:hAnsi="Times New Roman" w:cs="Times New Roman"/>
          <w:sz w:val="24"/>
          <w:szCs w:val="24"/>
        </w:rPr>
        <w:t xml:space="preserve">that the land had indeed </w:t>
      </w:r>
      <w:r w:rsidR="0010746E" w:rsidRPr="00497352">
        <w:rPr>
          <w:rFonts w:ascii="Times New Roman" w:hAnsi="Times New Roman" w:cs="Times New Roman"/>
          <w:sz w:val="24"/>
          <w:szCs w:val="24"/>
        </w:rPr>
        <w:t xml:space="preserve">been lawfully acquired by the State prior </w:t>
      </w:r>
      <w:r w:rsidR="004B0B98" w:rsidRPr="00497352">
        <w:rPr>
          <w:rFonts w:ascii="Times New Roman" w:hAnsi="Times New Roman" w:cs="Times New Roman"/>
          <w:sz w:val="24"/>
          <w:szCs w:val="24"/>
        </w:rPr>
        <w:t xml:space="preserve">to </w:t>
      </w:r>
      <w:r w:rsidR="0010746E" w:rsidRPr="00497352">
        <w:rPr>
          <w:rFonts w:ascii="Times New Roman" w:hAnsi="Times New Roman" w:cs="Times New Roman"/>
          <w:sz w:val="24"/>
          <w:szCs w:val="24"/>
        </w:rPr>
        <w:t>the sale. Otherwise</w:t>
      </w:r>
      <w:r w:rsidR="00C67E93" w:rsidRPr="00497352">
        <w:rPr>
          <w:rFonts w:ascii="Times New Roman" w:hAnsi="Times New Roman" w:cs="Times New Roman"/>
          <w:sz w:val="24"/>
          <w:szCs w:val="24"/>
        </w:rPr>
        <w:t>,</w:t>
      </w:r>
      <w:r w:rsidR="0010746E" w:rsidRPr="00497352">
        <w:rPr>
          <w:rFonts w:ascii="Times New Roman" w:hAnsi="Times New Roman" w:cs="Times New Roman"/>
          <w:sz w:val="24"/>
          <w:szCs w:val="24"/>
        </w:rPr>
        <w:t xml:space="preserve"> why act unlawfully if the deal was clean and above board?</w:t>
      </w:r>
    </w:p>
    <w:p w:rsidR="00E20833" w:rsidRPr="00497352" w:rsidRDefault="00E20833" w:rsidP="00670D88">
      <w:pPr>
        <w:spacing w:after="0" w:line="480" w:lineRule="auto"/>
        <w:ind w:firstLine="1134"/>
        <w:jc w:val="both"/>
        <w:rPr>
          <w:rFonts w:ascii="Times New Roman" w:hAnsi="Times New Roman" w:cs="Times New Roman"/>
          <w:sz w:val="24"/>
          <w:szCs w:val="24"/>
        </w:rPr>
      </w:pPr>
    </w:p>
    <w:p w:rsidR="006C2691" w:rsidRPr="00497352" w:rsidRDefault="00812B50" w:rsidP="00670D88">
      <w:pPr>
        <w:spacing w:after="0" w:line="480" w:lineRule="auto"/>
        <w:ind w:firstLine="1134"/>
        <w:jc w:val="both"/>
        <w:rPr>
          <w:rFonts w:ascii="Times New Roman" w:hAnsi="Times New Roman" w:cs="Times New Roman"/>
          <w:sz w:val="24"/>
          <w:szCs w:val="24"/>
        </w:rPr>
      </w:pPr>
      <w:r w:rsidRPr="00497352">
        <w:rPr>
          <w:rFonts w:ascii="Times New Roman" w:hAnsi="Times New Roman" w:cs="Times New Roman"/>
          <w:sz w:val="24"/>
          <w:szCs w:val="24"/>
        </w:rPr>
        <w:lastRenderedPageBreak/>
        <w:t xml:space="preserve">Having lawfully acquired the disputed land, the acquiring authority </w:t>
      </w:r>
      <w:r w:rsidR="00AD3A50" w:rsidRPr="00497352">
        <w:rPr>
          <w:rFonts w:ascii="Times New Roman" w:hAnsi="Times New Roman" w:cs="Times New Roman"/>
          <w:sz w:val="24"/>
          <w:szCs w:val="24"/>
        </w:rPr>
        <w:t xml:space="preserve">remained </w:t>
      </w:r>
      <w:r w:rsidR="00F828E2" w:rsidRPr="00497352">
        <w:rPr>
          <w:rFonts w:ascii="Times New Roman" w:hAnsi="Times New Roman" w:cs="Times New Roman"/>
          <w:sz w:val="24"/>
          <w:szCs w:val="24"/>
        </w:rPr>
        <w:t>the lawful</w:t>
      </w:r>
      <w:r w:rsidR="00A02B21" w:rsidRPr="00497352">
        <w:rPr>
          <w:rFonts w:ascii="Times New Roman" w:hAnsi="Times New Roman" w:cs="Times New Roman"/>
          <w:sz w:val="24"/>
          <w:szCs w:val="24"/>
        </w:rPr>
        <w:t xml:space="preserve"> owner</w:t>
      </w:r>
      <w:r w:rsidR="00583E38" w:rsidRPr="00497352">
        <w:rPr>
          <w:rFonts w:ascii="Times New Roman" w:hAnsi="Times New Roman" w:cs="Times New Roman"/>
          <w:sz w:val="24"/>
          <w:szCs w:val="24"/>
        </w:rPr>
        <w:t xml:space="preserve"> regardless of the</w:t>
      </w:r>
      <w:r w:rsidR="00AD3A50" w:rsidRPr="00497352">
        <w:rPr>
          <w:rFonts w:ascii="Times New Roman" w:hAnsi="Times New Roman" w:cs="Times New Roman"/>
          <w:sz w:val="24"/>
          <w:szCs w:val="24"/>
        </w:rPr>
        <w:t xml:space="preserve"> </w:t>
      </w:r>
      <w:r w:rsidR="00583E38" w:rsidRPr="00497352">
        <w:rPr>
          <w:rFonts w:ascii="Times New Roman" w:hAnsi="Times New Roman" w:cs="Times New Roman"/>
          <w:sz w:val="24"/>
          <w:szCs w:val="24"/>
        </w:rPr>
        <w:t>unlawful</w:t>
      </w:r>
      <w:r w:rsidR="009E6D92" w:rsidRPr="00497352">
        <w:rPr>
          <w:rFonts w:ascii="Times New Roman" w:hAnsi="Times New Roman" w:cs="Times New Roman"/>
          <w:sz w:val="24"/>
          <w:szCs w:val="24"/>
        </w:rPr>
        <w:t xml:space="preserve"> purported</w:t>
      </w:r>
      <w:r w:rsidR="00583E38" w:rsidRPr="00497352">
        <w:rPr>
          <w:rFonts w:ascii="Times New Roman" w:hAnsi="Times New Roman" w:cs="Times New Roman"/>
          <w:sz w:val="24"/>
          <w:szCs w:val="24"/>
        </w:rPr>
        <w:t xml:space="preserve"> </w:t>
      </w:r>
      <w:r w:rsidR="00F828E2" w:rsidRPr="00497352">
        <w:rPr>
          <w:rFonts w:ascii="Times New Roman" w:hAnsi="Times New Roman" w:cs="Times New Roman"/>
          <w:sz w:val="24"/>
          <w:szCs w:val="24"/>
        </w:rPr>
        <w:t xml:space="preserve">sale and transfer of the land to the </w:t>
      </w:r>
      <w:r w:rsidR="00213AD7">
        <w:rPr>
          <w:rFonts w:ascii="Times New Roman" w:hAnsi="Times New Roman" w:cs="Times New Roman"/>
          <w:sz w:val="24"/>
          <w:szCs w:val="24"/>
        </w:rPr>
        <w:t>first</w:t>
      </w:r>
      <w:r w:rsidR="00F828E2" w:rsidRPr="00497352">
        <w:rPr>
          <w:rFonts w:ascii="Times New Roman" w:hAnsi="Times New Roman" w:cs="Times New Roman"/>
          <w:sz w:val="24"/>
          <w:szCs w:val="24"/>
        </w:rPr>
        <w:t xml:space="preserve"> appellant. The Acquiring authority </w:t>
      </w:r>
      <w:r w:rsidRPr="00497352">
        <w:rPr>
          <w:rFonts w:ascii="Times New Roman" w:hAnsi="Times New Roman" w:cs="Times New Roman"/>
          <w:sz w:val="24"/>
          <w:szCs w:val="24"/>
        </w:rPr>
        <w:t>was</w:t>
      </w:r>
      <w:r w:rsidR="00F828E2" w:rsidRPr="00497352">
        <w:rPr>
          <w:rFonts w:ascii="Times New Roman" w:hAnsi="Times New Roman" w:cs="Times New Roman"/>
          <w:sz w:val="24"/>
          <w:szCs w:val="24"/>
        </w:rPr>
        <w:t xml:space="preserve"> therefore within its rights when it</w:t>
      </w:r>
      <w:r w:rsidRPr="00497352">
        <w:rPr>
          <w:rFonts w:ascii="Times New Roman" w:hAnsi="Times New Roman" w:cs="Times New Roman"/>
          <w:sz w:val="24"/>
          <w:szCs w:val="24"/>
        </w:rPr>
        <w:t xml:space="preserve"> offer</w:t>
      </w:r>
      <w:r w:rsidR="00F828E2" w:rsidRPr="00497352">
        <w:rPr>
          <w:rFonts w:ascii="Times New Roman" w:hAnsi="Times New Roman" w:cs="Times New Roman"/>
          <w:sz w:val="24"/>
          <w:szCs w:val="24"/>
        </w:rPr>
        <w:t>ed the disputed land</w:t>
      </w:r>
      <w:r w:rsidRPr="00497352">
        <w:rPr>
          <w:rFonts w:ascii="Times New Roman" w:hAnsi="Times New Roman" w:cs="Times New Roman"/>
          <w:sz w:val="24"/>
          <w:szCs w:val="24"/>
        </w:rPr>
        <w:t xml:space="preserve"> to the respondent for resettlement purposes.</w:t>
      </w:r>
      <w:r w:rsidR="00700200" w:rsidRPr="00497352">
        <w:rPr>
          <w:rFonts w:ascii="Times New Roman" w:hAnsi="Times New Roman" w:cs="Times New Roman"/>
          <w:sz w:val="24"/>
          <w:szCs w:val="24"/>
        </w:rPr>
        <w:t xml:space="preserve"> The respondent</w:t>
      </w:r>
      <w:r w:rsidR="003A7DD6" w:rsidRPr="00497352">
        <w:rPr>
          <w:rFonts w:ascii="Times New Roman" w:hAnsi="Times New Roman" w:cs="Times New Roman"/>
          <w:sz w:val="24"/>
          <w:szCs w:val="24"/>
        </w:rPr>
        <w:t xml:space="preserve"> in turn had the right to accept the offer as he did ther</w:t>
      </w:r>
      <w:r w:rsidR="00504A52" w:rsidRPr="00497352">
        <w:rPr>
          <w:rFonts w:ascii="Times New Roman" w:hAnsi="Times New Roman" w:cs="Times New Roman"/>
          <w:sz w:val="24"/>
          <w:szCs w:val="24"/>
        </w:rPr>
        <w:t xml:space="preserve">eby concluding a valid contract </w:t>
      </w:r>
      <w:r w:rsidR="006B6E0D" w:rsidRPr="00497352">
        <w:rPr>
          <w:rFonts w:ascii="Times New Roman" w:hAnsi="Times New Roman" w:cs="Times New Roman"/>
          <w:sz w:val="24"/>
          <w:szCs w:val="24"/>
        </w:rPr>
        <w:t>with the acquiring authority</w:t>
      </w:r>
      <w:r w:rsidR="003A7DD6" w:rsidRPr="00497352">
        <w:rPr>
          <w:rFonts w:ascii="Times New Roman" w:hAnsi="Times New Roman" w:cs="Times New Roman"/>
          <w:sz w:val="24"/>
          <w:szCs w:val="24"/>
        </w:rPr>
        <w:t>.</w:t>
      </w:r>
      <w:r w:rsidR="000E3137" w:rsidRPr="00497352">
        <w:rPr>
          <w:rFonts w:ascii="Times New Roman" w:hAnsi="Times New Roman" w:cs="Times New Roman"/>
          <w:sz w:val="24"/>
          <w:szCs w:val="24"/>
        </w:rPr>
        <w:t xml:space="preserve"> The </w:t>
      </w:r>
      <w:r w:rsidR="005F0569" w:rsidRPr="00497352">
        <w:rPr>
          <w:rFonts w:ascii="Times New Roman" w:hAnsi="Times New Roman" w:cs="Times New Roman"/>
          <w:sz w:val="24"/>
          <w:szCs w:val="24"/>
        </w:rPr>
        <w:t>conclusion</w:t>
      </w:r>
      <w:r w:rsidR="000E3137" w:rsidRPr="00497352">
        <w:rPr>
          <w:rFonts w:ascii="Times New Roman" w:hAnsi="Times New Roman" w:cs="Times New Roman"/>
          <w:sz w:val="24"/>
          <w:szCs w:val="24"/>
        </w:rPr>
        <w:t xml:space="preserve"> that the respondent’</w:t>
      </w:r>
      <w:r w:rsidR="005F0569" w:rsidRPr="00497352">
        <w:rPr>
          <w:rFonts w:ascii="Times New Roman" w:hAnsi="Times New Roman" w:cs="Times New Roman"/>
          <w:sz w:val="24"/>
          <w:szCs w:val="24"/>
        </w:rPr>
        <w:t>s O</w:t>
      </w:r>
      <w:r w:rsidR="000E3137" w:rsidRPr="00497352">
        <w:rPr>
          <w:rFonts w:ascii="Times New Roman" w:hAnsi="Times New Roman" w:cs="Times New Roman"/>
          <w:sz w:val="24"/>
          <w:szCs w:val="24"/>
        </w:rPr>
        <w:t>ffer</w:t>
      </w:r>
      <w:r w:rsidR="005F0569" w:rsidRPr="00497352">
        <w:rPr>
          <w:rFonts w:ascii="Times New Roman" w:hAnsi="Times New Roman" w:cs="Times New Roman"/>
          <w:sz w:val="24"/>
          <w:szCs w:val="24"/>
        </w:rPr>
        <w:t xml:space="preserve"> Letter is valid and enforceable is</w:t>
      </w:r>
      <w:r w:rsidR="00F828E2" w:rsidRPr="00497352">
        <w:rPr>
          <w:rFonts w:ascii="Times New Roman" w:hAnsi="Times New Roman" w:cs="Times New Roman"/>
          <w:sz w:val="24"/>
          <w:szCs w:val="24"/>
        </w:rPr>
        <w:t xml:space="preserve"> in the </w:t>
      </w:r>
      <w:r w:rsidR="00C03B53" w:rsidRPr="00497352">
        <w:rPr>
          <w:rFonts w:ascii="Times New Roman" w:hAnsi="Times New Roman" w:cs="Times New Roman"/>
          <w:sz w:val="24"/>
          <w:szCs w:val="24"/>
        </w:rPr>
        <w:t>circumstances beyond</w:t>
      </w:r>
      <w:r w:rsidR="004B0B98" w:rsidRPr="00497352">
        <w:rPr>
          <w:rFonts w:ascii="Times New Roman" w:hAnsi="Times New Roman" w:cs="Times New Roman"/>
          <w:sz w:val="24"/>
          <w:szCs w:val="24"/>
        </w:rPr>
        <w:t xml:space="preserve"> reproach</w:t>
      </w:r>
    </w:p>
    <w:p w:rsidR="00E20833" w:rsidRPr="00497352" w:rsidRDefault="00E20833" w:rsidP="00670D88">
      <w:pPr>
        <w:spacing w:after="0" w:line="480" w:lineRule="auto"/>
        <w:ind w:firstLine="1134"/>
        <w:jc w:val="both"/>
        <w:rPr>
          <w:rFonts w:ascii="Times New Roman" w:hAnsi="Times New Roman" w:cs="Times New Roman"/>
          <w:sz w:val="24"/>
          <w:szCs w:val="24"/>
        </w:rPr>
      </w:pPr>
    </w:p>
    <w:p w:rsidR="00812B50" w:rsidRPr="00497352" w:rsidRDefault="006C2691" w:rsidP="00670D88">
      <w:pPr>
        <w:spacing w:after="0" w:line="480" w:lineRule="auto"/>
        <w:ind w:firstLine="1134"/>
        <w:jc w:val="both"/>
        <w:rPr>
          <w:rFonts w:ascii="Times New Roman" w:hAnsi="Times New Roman" w:cs="Times New Roman"/>
          <w:sz w:val="24"/>
          <w:szCs w:val="24"/>
        </w:rPr>
      </w:pPr>
      <w:r w:rsidRPr="00497352">
        <w:rPr>
          <w:rFonts w:ascii="Times New Roman" w:hAnsi="Times New Roman" w:cs="Times New Roman"/>
          <w:sz w:val="24"/>
          <w:szCs w:val="24"/>
        </w:rPr>
        <w:t>That conclusion of law renders both appellants strangers to the contract between the acquiring authority and the respondent. This brin</w:t>
      </w:r>
      <w:r w:rsidR="007D1C91" w:rsidRPr="00497352">
        <w:rPr>
          <w:rFonts w:ascii="Times New Roman" w:hAnsi="Times New Roman" w:cs="Times New Roman"/>
          <w:sz w:val="24"/>
          <w:szCs w:val="24"/>
        </w:rPr>
        <w:t>gs us to the doctrine of privity</w:t>
      </w:r>
      <w:r w:rsidRPr="00497352">
        <w:rPr>
          <w:rFonts w:ascii="Times New Roman" w:hAnsi="Times New Roman" w:cs="Times New Roman"/>
          <w:sz w:val="24"/>
          <w:szCs w:val="24"/>
        </w:rPr>
        <w:t xml:space="preserve"> of contract.</w:t>
      </w:r>
      <w:r w:rsidR="00D5218C" w:rsidRPr="00497352">
        <w:rPr>
          <w:rFonts w:ascii="Times New Roman" w:hAnsi="Times New Roman" w:cs="Times New Roman"/>
          <w:sz w:val="24"/>
          <w:szCs w:val="24"/>
        </w:rPr>
        <w:t xml:space="preserve"> </w:t>
      </w:r>
      <w:r w:rsidR="003C2686" w:rsidRPr="00497352">
        <w:rPr>
          <w:rFonts w:ascii="Times New Roman" w:hAnsi="Times New Roman" w:cs="Times New Roman"/>
          <w:sz w:val="24"/>
          <w:szCs w:val="24"/>
        </w:rPr>
        <w:t xml:space="preserve"> </w:t>
      </w:r>
      <w:r w:rsidR="007D1C91" w:rsidRPr="00497352">
        <w:rPr>
          <w:rFonts w:ascii="Times New Roman" w:hAnsi="Times New Roman" w:cs="Times New Roman"/>
          <w:sz w:val="24"/>
          <w:szCs w:val="24"/>
        </w:rPr>
        <w:t xml:space="preserve">That doctrine restricts the enforcement of </w:t>
      </w:r>
      <w:r w:rsidR="00E333F1" w:rsidRPr="00497352">
        <w:rPr>
          <w:rFonts w:ascii="Times New Roman" w:hAnsi="Times New Roman" w:cs="Times New Roman"/>
          <w:sz w:val="24"/>
          <w:szCs w:val="24"/>
        </w:rPr>
        <w:t xml:space="preserve">contractual rights and remedies to the contracting parties, to the exclusion of third parties. The learned author Innocent Maja </w:t>
      </w:r>
      <w:r w:rsidR="00183259" w:rsidRPr="00497352">
        <w:rPr>
          <w:rFonts w:ascii="Times New Roman" w:hAnsi="Times New Roman" w:cs="Times New Roman"/>
          <w:sz w:val="24"/>
          <w:szCs w:val="24"/>
        </w:rPr>
        <w:t>in his</w:t>
      </w:r>
      <w:r w:rsidR="00E333F1" w:rsidRPr="00497352">
        <w:rPr>
          <w:rFonts w:ascii="Times New Roman" w:hAnsi="Times New Roman" w:cs="Times New Roman"/>
          <w:sz w:val="24"/>
          <w:szCs w:val="24"/>
        </w:rPr>
        <w:t xml:space="preserve"> book </w:t>
      </w:r>
      <w:r w:rsidR="00E333F1" w:rsidRPr="00497352">
        <w:rPr>
          <w:rFonts w:ascii="Times New Roman" w:hAnsi="Times New Roman" w:cs="Times New Roman"/>
          <w:i/>
          <w:sz w:val="24"/>
          <w:szCs w:val="24"/>
        </w:rPr>
        <w:t xml:space="preserve">The Law </w:t>
      </w:r>
      <w:r w:rsidR="00183259" w:rsidRPr="00497352">
        <w:rPr>
          <w:rFonts w:ascii="Times New Roman" w:hAnsi="Times New Roman" w:cs="Times New Roman"/>
          <w:i/>
          <w:sz w:val="24"/>
          <w:szCs w:val="24"/>
        </w:rPr>
        <w:t>of Contract in</w:t>
      </w:r>
      <w:r w:rsidR="00E333F1" w:rsidRPr="00497352">
        <w:rPr>
          <w:rFonts w:ascii="Times New Roman" w:hAnsi="Times New Roman" w:cs="Times New Roman"/>
          <w:i/>
          <w:sz w:val="24"/>
          <w:szCs w:val="24"/>
        </w:rPr>
        <w:t xml:space="preserve"> Zimbabwe</w:t>
      </w:r>
      <w:r w:rsidR="00033385" w:rsidRPr="00497352">
        <w:rPr>
          <w:rFonts w:ascii="Times New Roman" w:hAnsi="Times New Roman" w:cs="Times New Roman"/>
          <w:sz w:val="24"/>
          <w:szCs w:val="24"/>
        </w:rPr>
        <w:t xml:space="preserve"> at p 27 para 1.5</w:t>
      </w:r>
      <w:r w:rsidR="00E333F1" w:rsidRPr="00497352">
        <w:rPr>
          <w:rFonts w:ascii="Times New Roman" w:hAnsi="Times New Roman" w:cs="Times New Roman"/>
          <w:sz w:val="24"/>
          <w:szCs w:val="24"/>
        </w:rPr>
        <w:t>.3 graphically explains the doctrine as follows:</w:t>
      </w:r>
    </w:p>
    <w:p w:rsidR="00E333F1" w:rsidRPr="00497352" w:rsidRDefault="00E333F1" w:rsidP="00E20833">
      <w:pPr>
        <w:spacing w:after="0" w:line="240" w:lineRule="auto"/>
        <w:ind w:left="720"/>
        <w:jc w:val="both"/>
        <w:rPr>
          <w:rFonts w:ascii="Times New Roman" w:hAnsi="Times New Roman" w:cs="Times New Roman"/>
          <w:sz w:val="24"/>
          <w:szCs w:val="24"/>
        </w:rPr>
      </w:pPr>
      <w:r w:rsidRPr="00497352">
        <w:rPr>
          <w:rFonts w:ascii="Times New Roman" w:hAnsi="Times New Roman" w:cs="Times New Roman"/>
          <w:sz w:val="24"/>
          <w:szCs w:val="24"/>
        </w:rPr>
        <w:t>“The doctrine of privity of contract provides that contractual remedies are enforceable only by o</w:t>
      </w:r>
      <w:r w:rsidR="006C3871" w:rsidRPr="00497352">
        <w:rPr>
          <w:rFonts w:ascii="Times New Roman" w:hAnsi="Times New Roman" w:cs="Times New Roman"/>
          <w:sz w:val="24"/>
          <w:szCs w:val="24"/>
        </w:rPr>
        <w:t xml:space="preserve">r against parties to a contract, and not third parties, since contracts only create personal rights. According to Lilienthal, privity of contract is the general proposition that an agreement between </w:t>
      </w:r>
      <w:r w:rsidR="00E74075" w:rsidRPr="00497352">
        <w:rPr>
          <w:rFonts w:ascii="Times New Roman" w:hAnsi="Times New Roman" w:cs="Times New Roman"/>
          <w:sz w:val="24"/>
          <w:szCs w:val="24"/>
        </w:rPr>
        <w:t>A and B cannot be sued upon by C</w:t>
      </w:r>
      <w:r w:rsidR="006C3871" w:rsidRPr="00497352">
        <w:rPr>
          <w:rFonts w:ascii="Times New Roman" w:hAnsi="Times New Roman" w:cs="Times New Roman"/>
          <w:sz w:val="24"/>
          <w:szCs w:val="24"/>
        </w:rPr>
        <w:t xml:space="preserve"> </w:t>
      </w:r>
      <w:r w:rsidR="00E74075" w:rsidRPr="00497352">
        <w:rPr>
          <w:rFonts w:ascii="Times New Roman" w:hAnsi="Times New Roman" w:cs="Times New Roman"/>
          <w:sz w:val="24"/>
          <w:szCs w:val="24"/>
        </w:rPr>
        <w:t>even though C would be benefited by its performance. Lilienthal further posts that privity of contract is premised upon the principle that rights founded on contract belong to the person who has stipulated them and that even the most express agreement of contracting parties would not confer any right of action on the contract upon one who is not a party to it.”</w:t>
      </w:r>
    </w:p>
    <w:p w:rsidR="00E20833" w:rsidRPr="00497352" w:rsidRDefault="00E20833" w:rsidP="00670D88">
      <w:pPr>
        <w:spacing w:after="0" w:line="480" w:lineRule="auto"/>
        <w:ind w:left="720"/>
        <w:jc w:val="both"/>
        <w:rPr>
          <w:rFonts w:ascii="Times New Roman" w:hAnsi="Times New Roman" w:cs="Times New Roman"/>
          <w:sz w:val="24"/>
          <w:szCs w:val="24"/>
        </w:rPr>
      </w:pPr>
    </w:p>
    <w:p w:rsidR="00E20833" w:rsidRPr="00497352" w:rsidRDefault="00E20833" w:rsidP="00E20833">
      <w:pPr>
        <w:spacing w:after="0" w:line="240" w:lineRule="auto"/>
        <w:ind w:left="720"/>
        <w:jc w:val="both"/>
        <w:rPr>
          <w:rFonts w:ascii="Times New Roman" w:hAnsi="Times New Roman" w:cs="Times New Roman"/>
          <w:sz w:val="24"/>
          <w:szCs w:val="24"/>
        </w:rPr>
      </w:pPr>
    </w:p>
    <w:p w:rsidR="00E20833" w:rsidRPr="00497352" w:rsidRDefault="00C87914" w:rsidP="00670D88">
      <w:pPr>
        <w:spacing w:after="0" w:line="480" w:lineRule="auto"/>
        <w:ind w:firstLine="1134"/>
        <w:jc w:val="both"/>
        <w:rPr>
          <w:rFonts w:ascii="Times New Roman" w:hAnsi="Times New Roman" w:cs="Times New Roman"/>
          <w:sz w:val="24"/>
          <w:szCs w:val="24"/>
        </w:rPr>
      </w:pPr>
      <w:r w:rsidRPr="00497352">
        <w:rPr>
          <w:rFonts w:ascii="Times New Roman" w:hAnsi="Times New Roman" w:cs="Times New Roman"/>
          <w:sz w:val="24"/>
          <w:szCs w:val="24"/>
        </w:rPr>
        <w:t xml:space="preserve">The court </w:t>
      </w:r>
      <w:r w:rsidRPr="00497352">
        <w:rPr>
          <w:rFonts w:ascii="Times New Roman" w:hAnsi="Times New Roman" w:cs="Times New Roman"/>
          <w:i/>
          <w:sz w:val="24"/>
          <w:szCs w:val="24"/>
        </w:rPr>
        <w:t>a quo</w:t>
      </w:r>
      <w:r w:rsidRPr="00497352">
        <w:rPr>
          <w:rFonts w:ascii="Times New Roman" w:hAnsi="Times New Roman" w:cs="Times New Roman"/>
          <w:sz w:val="24"/>
          <w:szCs w:val="24"/>
        </w:rPr>
        <w:t xml:space="preserve"> having correctly found that the sale of the land in dispute to the </w:t>
      </w:r>
      <w:r w:rsidR="005578CE" w:rsidRPr="00497352">
        <w:rPr>
          <w:rFonts w:ascii="Times New Roman" w:hAnsi="Times New Roman" w:cs="Times New Roman"/>
          <w:sz w:val="24"/>
          <w:szCs w:val="24"/>
        </w:rPr>
        <w:t>first</w:t>
      </w:r>
      <w:r w:rsidRPr="00497352">
        <w:rPr>
          <w:rFonts w:ascii="Times New Roman" w:hAnsi="Times New Roman" w:cs="Times New Roman"/>
          <w:sz w:val="24"/>
          <w:szCs w:val="24"/>
        </w:rPr>
        <w:t xml:space="preserve"> appellant was a nullity and that the acquiring </w:t>
      </w:r>
      <w:r w:rsidR="00693103" w:rsidRPr="00497352">
        <w:rPr>
          <w:rFonts w:ascii="Times New Roman" w:hAnsi="Times New Roman" w:cs="Times New Roman"/>
          <w:sz w:val="24"/>
          <w:szCs w:val="24"/>
        </w:rPr>
        <w:t>authority remains</w:t>
      </w:r>
      <w:r w:rsidRPr="00497352">
        <w:rPr>
          <w:rFonts w:ascii="Times New Roman" w:hAnsi="Times New Roman" w:cs="Times New Roman"/>
          <w:sz w:val="24"/>
          <w:szCs w:val="24"/>
        </w:rPr>
        <w:t xml:space="preserve"> the lawful owner of the land in dispute, it follows that both appellants were </w:t>
      </w:r>
      <w:r w:rsidR="00183259" w:rsidRPr="00497352">
        <w:rPr>
          <w:rFonts w:ascii="Times New Roman" w:hAnsi="Times New Roman" w:cs="Times New Roman"/>
          <w:sz w:val="24"/>
          <w:szCs w:val="24"/>
        </w:rPr>
        <w:t>not privy to that</w:t>
      </w:r>
      <w:r w:rsidR="00464886" w:rsidRPr="00497352">
        <w:rPr>
          <w:rFonts w:ascii="Times New Roman" w:hAnsi="Times New Roman" w:cs="Times New Roman"/>
          <w:sz w:val="24"/>
          <w:szCs w:val="24"/>
        </w:rPr>
        <w:t xml:space="preserve"> contract. That being the case, the doctrine of privity of contract </w:t>
      </w:r>
      <w:r w:rsidRPr="00497352">
        <w:rPr>
          <w:rFonts w:ascii="Times New Roman" w:hAnsi="Times New Roman" w:cs="Times New Roman"/>
          <w:sz w:val="24"/>
          <w:szCs w:val="24"/>
        </w:rPr>
        <w:t>excluded</w:t>
      </w:r>
      <w:r w:rsidR="00E17738" w:rsidRPr="00497352">
        <w:rPr>
          <w:rFonts w:ascii="Times New Roman" w:hAnsi="Times New Roman" w:cs="Times New Roman"/>
          <w:sz w:val="24"/>
          <w:szCs w:val="24"/>
        </w:rPr>
        <w:t xml:space="preserve"> them</w:t>
      </w:r>
      <w:r w:rsidRPr="00497352">
        <w:rPr>
          <w:rFonts w:ascii="Times New Roman" w:hAnsi="Times New Roman" w:cs="Times New Roman"/>
          <w:sz w:val="24"/>
          <w:szCs w:val="24"/>
        </w:rPr>
        <w:t xml:space="preserve"> from </w:t>
      </w:r>
      <w:r w:rsidR="00464886" w:rsidRPr="00497352">
        <w:rPr>
          <w:rFonts w:ascii="Times New Roman" w:hAnsi="Times New Roman" w:cs="Times New Roman"/>
          <w:sz w:val="24"/>
          <w:szCs w:val="24"/>
        </w:rPr>
        <w:t xml:space="preserve">suing for cancellation of the contract between the </w:t>
      </w:r>
      <w:r w:rsidR="005578CE" w:rsidRPr="00497352">
        <w:rPr>
          <w:rFonts w:ascii="Times New Roman" w:hAnsi="Times New Roman" w:cs="Times New Roman"/>
          <w:sz w:val="24"/>
          <w:szCs w:val="24"/>
        </w:rPr>
        <w:t>first</w:t>
      </w:r>
      <w:r w:rsidR="00464886" w:rsidRPr="00497352">
        <w:rPr>
          <w:rFonts w:ascii="Times New Roman" w:hAnsi="Times New Roman" w:cs="Times New Roman"/>
          <w:sz w:val="24"/>
          <w:szCs w:val="24"/>
        </w:rPr>
        <w:t xml:space="preserve"> and </w:t>
      </w:r>
      <w:r w:rsidR="005578CE" w:rsidRPr="00497352">
        <w:rPr>
          <w:rFonts w:ascii="Times New Roman" w:hAnsi="Times New Roman" w:cs="Times New Roman"/>
          <w:sz w:val="24"/>
          <w:szCs w:val="24"/>
        </w:rPr>
        <w:t>second</w:t>
      </w:r>
      <w:r w:rsidR="00464886" w:rsidRPr="00497352">
        <w:rPr>
          <w:rFonts w:ascii="Times New Roman" w:hAnsi="Times New Roman" w:cs="Times New Roman"/>
          <w:sz w:val="24"/>
          <w:szCs w:val="24"/>
        </w:rPr>
        <w:t xml:space="preserve"> respondents</w:t>
      </w:r>
      <w:r w:rsidR="006C0CAC" w:rsidRPr="00497352">
        <w:rPr>
          <w:rFonts w:ascii="Times New Roman" w:hAnsi="Times New Roman" w:cs="Times New Roman"/>
          <w:sz w:val="24"/>
          <w:szCs w:val="24"/>
        </w:rPr>
        <w:t xml:space="preserve"> in the form of the </w:t>
      </w:r>
      <w:r w:rsidR="005578CE" w:rsidRPr="00497352">
        <w:rPr>
          <w:rFonts w:ascii="Times New Roman" w:hAnsi="Times New Roman" w:cs="Times New Roman"/>
          <w:sz w:val="24"/>
          <w:szCs w:val="24"/>
        </w:rPr>
        <w:t>first respondent’s o</w:t>
      </w:r>
      <w:r w:rsidR="006C0CAC" w:rsidRPr="00497352">
        <w:rPr>
          <w:rFonts w:ascii="Times New Roman" w:hAnsi="Times New Roman" w:cs="Times New Roman"/>
          <w:sz w:val="24"/>
          <w:szCs w:val="24"/>
        </w:rPr>
        <w:t>ffer letter.</w:t>
      </w:r>
      <w:r w:rsidR="00464886" w:rsidRPr="00497352">
        <w:rPr>
          <w:rFonts w:ascii="Times New Roman" w:hAnsi="Times New Roman" w:cs="Times New Roman"/>
          <w:sz w:val="24"/>
          <w:szCs w:val="24"/>
        </w:rPr>
        <w:t xml:space="preserve"> </w:t>
      </w:r>
    </w:p>
    <w:p w:rsidR="00C87914" w:rsidRPr="00497352" w:rsidRDefault="00464886" w:rsidP="00670D88">
      <w:pPr>
        <w:spacing w:after="0" w:line="480" w:lineRule="auto"/>
        <w:ind w:firstLine="1134"/>
        <w:jc w:val="both"/>
        <w:rPr>
          <w:rFonts w:ascii="Times New Roman" w:hAnsi="Times New Roman" w:cs="Times New Roman"/>
          <w:sz w:val="24"/>
          <w:szCs w:val="24"/>
        </w:rPr>
      </w:pPr>
      <w:r w:rsidRPr="00497352">
        <w:rPr>
          <w:rFonts w:ascii="Times New Roman" w:hAnsi="Times New Roman" w:cs="Times New Roman"/>
          <w:sz w:val="24"/>
          <w:szCs w:val="24"/>
        </w:rPr>
        <w:t xml:space="preserve"> </w:t>
      </w:r>
    </w:p>
    <w:p w:rsidR="00CB6F07" w:rsidRPr="00497352" w:rsidRDefault="00CB6F07" w:rsidP="00670D88">
      <w:pPr>
        <w:spacing w:after="0" w:line="480" w:lineRule="auto"/>
        <w:ind w:firstLine="1134"/>
        <w:jc w:val="both"/>
        <w:rPr>
          <w:rFonts w:ascii="Times New Roman" w:hAnsi="Times New Roman" w:cs="Times New Roman"/>
          <w:sz w:val="24"/>
          <w:szCs w:val="24"/>
        </w:rPr>
      </w:pPr>
      <w:r w:rsidRPr="00497352">
        <w:rPr>
          <w:rFonts w:ascii="Times New Roman" w:hAnsi="Times New Roman" w:cs="Times New Roman"/>
          <w:sz w:val="24"/>
          <w:szCs w:val="24"/>
        </w:rPr>
        <w:lastRenderedPageBreak/>
        <w:t xml:space="preserve">The </w:t>
      </w:r>
      <w:r w:rsidR="005578CE" w:rsidRPr="00497352">
        <w:rPr>
          <w:rFonts w:ascii="Times New Roman" w:hAnsi="Times New Roman" w:cs="Times New Roman"/>
          <w:sz w:val="24"/>
          <w:szCs w:val="24"/>
        </w:rPr>
        <w:t>second</w:t>
      </w:r>
      <w:r w:rsidRPr="00497352">
        <w:rPr>
          <w:rFonts w:ascii="Times New Roman" w:hAnsi="Times New Roman" w:cs="Times New Roman"/>
          <w:sz w:val="24"/>
          <w:szCs w:val="24"/>
        </w:rPr>
        <w:t xml:space="preserve"> respondent being the </w:t>
      </w:r>
      <w:r w:rsidR="00693103" w:rsidRPr="00497352">
        <w:rPr>
          <w:rFonts w:ascii="Times New Roman" w:hAnsi="Times New Roman" w:cs="Times New Roman"/>
          <w:sz w:val="24"/>
          <w:szCs w:val="24"/>
        </w:rPr>
        <w:t xml:space="preserve">only other </w:t>
      </w:r>
      <w:r w:rsidR="00D17CC8" w:rsidRPr="00497352">
        <w:rPr>
          <w:rFonts w:ascii="Times New Roman" w:hAnsi="Times New Roman" w:cs="Times New Roman"/>
          <w:sz w:val="24"/>
          <w:szCs w:val="24"/>
        </w:rPr>
        <w:t>contracting party to the Offer L</w:t>
      </w:r>
      <w:r w:rsidRPr="00497352">
        <w:rPr>
          <w:rFonts w:ascii="Times New Roman" w:hAnsi="Times New Roman" w:cs="Times New Roman"/>
          <w:sz w:val="24"/>
          <w:szCs w:val="24"/>
        </w:rPr>
        <w:t xml:space="preserve">etter swept the carpet from underneath the appellants’ feet when he elected not to contest the court </w:t>
      </w:r>
      <w:r w:rsidRPr="00497352">
        <w:rPr>
          <w:rFonts w:ascii="Times New Roman" w:hAnsi="Times New Roman" w:cs="Times New Roman"/>
          <w:i/>
          <w:sz w:val="24"/>
          <w:szCs w:val="24"/>
        </w:rPr>
        <w:t>a quo</w:t>
      </w:r>
      <w:r w:rsidRPr="00497352">
        <w:rPr>
          <w:rFonts w:ascii="Times New Roman" w:hAnsi="Times New Roman" w:cs="Times New Roman"/>
          <w:sz w:val="24"/>
          <w:szCs w:val="24"/>
        </w:rPr>
        <w:t>’s judgment choosing to remain neutral and abide by the court’s decision. That in effect means that the only</w:t>
      </w:r>
      <w:r w:rsidR="00855DFF" w:rsidRPr="00497352">
        <w:rPr>
          <w:rFonts w:ascii="Times New Roman" w:hAnsi="Times New Roman" w:cs="Times New Roman"/>
          <w:sz w:val="24"/>
          <w:szCs w:val="24"/>
        </w:rPr>
        <w:t xml:space="preserve"> other</w:t>
      </w:r>
      <w:r w:rsidRPr="00497352">
        <w:rPr>
          <w:rFonts w:ascii="Times New Roman" w:hAnsi="Times New Roman" w:cs="Times New Roman"/>
          <w:sz w:val="24"/>
          <w:szCs w:val="24"/>
        </w:rPr>
        <w:t xml:space="preserve"> party privy to the contract has capitulated and is no longer challenging the validity of the </w:t>
      </w:r>
      <w:r w:rsidR="00EE2FAD" w:rsidRPr="00497352">
        <w:rPr>
          <w:rFonts w:ascii="Times New Roman" w:hAnsi="Times New Roman" w:cs="Times New Roman"/>
          <w:sz w:val="24"/>
          <w:szCs w:val="24"/>
        </w:rPr>
        <w:t>first</w:t>
      </w:r>
      <w:r w:rsidR="003A121F" w:rsidRPr="00497352">
        <w:rPr>
          <w:rFonts w:ascii="Times New Roman" w:hAnsi="Times New Roman" w:cs="Times New Roman"/>
          <w:sz w:val="24"/>
          <w:szCs w:val="24"/>
        </w:rPr>
        <w:t xml:space="preserve"> respondent’s Offer L</w:t>
      </w:r>
      <w:r w:rsidRPr="00497352">
        <w:rPr>
          <w:rFonts w:ascii="Times New Roman" w:hAnsi="Times New Roman" w:cs="Times New Roman"/>
          <w:sz w:val="24"/>
          <w:szCs w:val="24"/>
        </w:rPr>
        <w:t xml:space="preserve">etter. </w:t>
      </w:r>
      <w:r w:rsidR="00693103" w:rsidRPr="00497352">
        <w:rPr>
          <w:rFonts w:ascii="Times New Roman" w:hAnsi="Times New Roman" w:cs="Times New Roman"/>
          <w:sz w:val="24"/>
          <w:szCs w:val="24"/>
        </w:rPr>
        <w:t>For that reason</w:t>
      </w:r>
      <w:r w:rsidR="00F304D0" w:rsidRPr="00497352">
        <w:rPr>
          <w:rFonts w:ascii="Times New Roman" w:hAnsi="Times New Roman" w:cs="Times New Roman"/>
          <w:sz w:val="24"/>
          <w:szCs w:val="24"/>
        </w:rPr>
        <w:t>,</w:t>
      </w:r>
      <w:r w:rsidR="00693103" w:rsidRPr="00497352">
        <w:rPr>
          <w:rFonts w:ascii="Times New Roman" w:hAnsi="Times New Roman" w:cs="Times New Roman"/>
          <w:sz w:val="24"/>
          <w:szCs w:val="24"/>
        </w:rPr>
        <w:t xml:space="preserve"> the learned </w:t>
      </w:r>
      <w:r w:rsidR="006B33B5" w:rsidRPr="00497352">
        <w:rPr>
          <w:rFonts w:ascii="Times New Roman" w:hAnsi="Times New Roman" w:cs="Times New Roman"/>
          <w:sz w:val="24"/>
          <w:szCs w:val="24"/>
        </w:rPr>
        <w:t>judge’s finding that the Offer L</w:t>
      </w:r>
      <w:r w:rsidR="00EE2FAD" w:rsidRPr="00497352">
        <w:rPr>
          <w:rFonts w:ascii="Times New Roman" w:hAnsi="Times New Roman" w:cs="Times New Roman"/>
          <w:sz w:val="24"/>
          <w:szCs w:val="24"/>
        </w:rPr>
        <w:t>etter issued to the first</w:t>
      </w:r>
      <w:r w:rsidR="00693103" w:rsidRPr="00497352">
        <w:rPr>
          <w:rFonts w:ascii="Times New Roman" w:hAnsi="Times New Roman" w:cs="Times New Roman"/>
          <w:sz w:val="24"/>
          <w:szCs w:val="24"/>
        </w:rPr>
        <w:t xml:space="preserve"> respondent by the </w:t>
      </w:r>
      <w:r w:rsidR="00EE2FAD" w:rsidRPr="00497352">
        <w:rPr>
          <w:rFonts w:ascii="Times New Roman" w:hAnsi="Times New Roman" w:cs="Times New Roman"/>
          <w:sz w:val="24"/>
          <w:szCs w:val="24"/>
        </w:rPr>
        <w:t>second</w:t>
      </w:r>
      <w:r w:rsidR="00693103" w:rsidRPr="00497352">
        <w:rPr>
          <w:rFonts w:ascii="Times New Roman" w:hAnsi="Times New Roman" w:cs="Times New Roman"/>
          <w:sz w:val="24"/>
          <w:szCs w:val="24"/>
        </w:rPr>
        <w:t xml:space="preserve"> respondent is valid is unassailable.</w:t>
      </w:r>
    </w:p>
    <w:p w:rsidR="00E20833" w:rsidRPr="00497352" w:rsidRDefault="00E20833" w:rsidP="00670D88">
      <w:pPr>
        <w:spacing w:after="0" w:line="480" w:lineRule="auto"/>
        <w:ind w:firstLine="1134"/>
        <w:jc w:val="both"/>
        <w:rPr>
          <w:rFonts w:ascii="Times New Roman" w:hAnsi="Times New Roman" w:cs="Times New Roman"/>
          <w:sz w:val="24"/>
          <w:szCs w:val="24"/>
        </w:rPr>
      </w:pPr>
    </w:p>
    <w:p w:rsidR="00D74887" w:rsidRPr="00497352" w:rsidRDefault="00AA7920" w:rsidP="00670D88">
      <w:pPr>
        <w:spacing w:after="0" w:line="480" w:lineRule="auto"/>
        <w:ind w:firstLine="1134"/>
        <w:jc w:val="both"/>
        <w:rPr>
          <w:rFonts w:ascii="Times New Roman" w:hAnsi="Times New Roman" w:cs="Times New Roman"/>
          <w:sz w:val="24"/>
          <w:szCs w:val="24"/>
        </w:rPr>
      </w:pPr>
      <w:proofErr w:type="gramStart"/>
      <w:r w:rsidRPr="00497352">
        <w:rPr>
          <w:rFonts w:ascii="Times New Roman" w:hAnsi="Times New Roman" w:cs="Times New Roman"/>
          <w:sz w:val="24"/>
          <w:szCs w:val="24"/>
        </w:rPr>
        <w:t>By virtue of</w:t>
      </w:r>
      <w:proofErr w:type="gramEnd"/>
      <w:r w:rsidRPr="00497352">
        <w:rPr>
          <w:rFonts w:ascii="Times New Roman" w:hAnsi="Times New Roman" w:cs="Times New Roman"/>
          <w:sz w:val="24"/>
          <w:szCs w:val="24"/>
        </w:rPr>
        <w:t xml:space="preserve"> the landmark decision </w:t>
      </w:r>
      <w:r w:rsidR="00C04F5E" w:rsidRPr="00497352">
        <w:rPr>
          <w:rFonts w:ascii="Times New Roman" w:hAnsi="Times New Roman" w:cs="Times New Roman"/>
          <w:sz w:val="24"/>
          <w:szCs w:val="24"/>
        </w:rPr>
        <w:t xml:space="preserve">in the case of </w:t>
      </w:r>
      <w:r w:rsidRPr="00497352">
        <w:rPr>
          <w:rFonts w:ascii="Times New Roman" w:hAnsi="Times New Roman" w:cs="Times New Roman"/>
          <w:i/>
          <w:sz w:val="24"/>
          <w:szCs w:val="24"/>
        </w:rPr>
        <w:t>Commercial farmers Union</w:t>
      </w:r>
      <w:r w:rsidR="00EE2FAD" w:rsidRPr="00497352">
        <w:rPr>
          <w:rFonts w:ascii="Times New Roman" w:hAnsi="Times New Roman" w:cs="Times New Roman"/>
          <w:i/>
          <w:sz w:val="24"/>
          <w:szCs w:val="24"/>
        </w:rPr>
        <w:t xml:space="preserve"> &amp; </w:t>
      </w:r>
      <w:proofErr w:type="spellStart"/>
      <w:r w:rsidR="00EE2FAD" w:rsidRPr="00497352">
        <w:rPr>
          <w:rFonts w:ascii="Times New Roman" w:hAnsi="Times New Roman" w:cs="Times New Roman"/>
          <w:i/>
          <w:sz w:val="24"/>
          <w:szCs w:val="24"/>
        </w:rPr>
        <w:t>Ors</w:t>
      </w:r>
      <w:proofErr w:type="spellEnd"/>
      <w:r w:rsidR="00EE2FAD" w:rsidRPr="00497352">
        <w:rPr>
          <w:rFonts w:ascii="Times New Roman" w:hAnsi="Times New Roman" w:cs="Times New Roman"/>
          <w:i/>
          <w:sz w:val="24"/>
          <w:szCs w:val="24"/>
        </w:rPr>
        <w:t xml:space="preserve"> v </w:t>
      </w:r>
      <w:r w:rsidR="005226C2" w:rsidRPr="00497352">
        <w:rPr>
          <w:rFonts w:ascii="Times New Roman" w:hAnsi="Times New Roman" w:cs="Times New Roman"/>
          <w:i/>
          <w:sz w:val="24"/>
          <w:szCs w:val="24"/>
        </w:rPr>
        <w:t xml:space="preserve">Minister of Lands &amp; </w:t>
      </w:r>
      <w:proofErr w:type="spellStart"/>
      <w:r w:rsidR="005226C2" w:rsidRPr="00497352">
        <w:rPr>
          <w:rFonts w:ascii="Times New Roman" w:hAnsi="Times New Roman" w:cs="Times New Roman"/>
          <w:i/>
          <w:sz w:val="24"/>
          <w:szCs w:val="24"/>
        </w:rPr>
        <w:t>Ors</w:t>
      </w:r>
      <w:proofErr w:type="spellEnd"/>
      <w:r w:rsidR="005226C2" w:rsidRPr="00497352">
        <w:rPr>
          <w:rFonts w:ascii="Times New Roman" w:hAnsi="Times New Roman" w:cs="Times New Roman"/>
          <w:sz w:val="24"/>
          <w:szCs w:val="24"/>
        </w:rPr>
        <w:t xml:space="preserve"> 2010 ZLR 576 </w:t>
      </w:r>
      <w:r w:rsidR="009F58F8" w:rsidRPr="00497352">
        <w:rPr>
          <w:rFonts w:ascii="Times New Roman" w:hAnsi="Times New Roman" w:cs="Times New Roman"/>
          <w:sz w:val="24"/>
          <w:szCs w:val="24"/>
        </w:rPr>
        <w:t xml:space="preserve">the courts are enjoined to support the holders of </w:t>
      </w:r>
      <w:r w:rsidR="00DF74AA" w:rsidRPr="00497352">
        <w:rPr>
          <w:rFonts w:ascii="Times New Roman" w:hAnsi="Times New Roman" w:cs="Times New Roman"/>
          <w:sz w:val="24"/>
          <w:szCs w:val="24"/>
        </w:rPr>
        <w:t xml:space="preserve">valid </w:t>
      </w:r>
      <w:r w:rsidR="009F58F8" w:rsidRPr="00497352">
        <w:rPr>
          <w:rFonts w:ascii="Times New Roman" w:hAnsi="Times New Roman" w:cs="Times New Roman"/>
          <w:sz w:val="24"/>
          <w:szCs w:val="24"/>
        </w:rPr>
        <w:t xml:space="preserve">offer letters as correctly argued by the </w:t>
      </w:r>
      <w:r w:rsidR="00EE2FAD" w:rsidRPr="00497352">
        <w:rPr>
          <w:rFonts w:ascii="Times New Roman" w:hAnsi="Times New Roman" w:cs="Times New Roman"/>
          <w:sz w:val="24"/>
          <w:szCs w:val="24"/>
        </w:rPr>
        <w:t>second</w:t>
      </w:r>
      <w:r w:rsidR="009F58F8" w:rsidRPr="00497352">
        <w:rPr>
          <w:rFonts w:ascii="Times New Roman" w:hAnsi="Times New Roman" w:cs="Times New Roman"/>
          <w:sz w:val="24"/>
          <w:szCs w:val="24"/>
        </w:rPr>
        <w:t xml:space="preserve"> respondent in the court </w:t>
      </w:r>
      <w:r w:rsidR="009F58F8" w:rsidRPr="00497352">
        <w:rPr>
          <w:rFonts w:ascii="Times New Roman" w:hAnsi="Times New Roman" w:cs="Times New Roman"/>
          <w:i/>
          <w:sz w:val="24"/>
          <w:szCs w:val="24"/>
        </w:rPr>
        <w:t>a</w:t>
      </w:r>
      <w:r w:rsidR="00EE2FAD" w:rsidRPr="00497352">
        <w:rPr>
          <w:rFonts w:ascii="Times New Roman" w:hAnsi="Times New Roman" w:cs="Times New Roman"/>
          <w:i/>
          <w:sz w:val="24"/>
          <w:szCs w:val="24"/>
        </w:rPr>
        <w:t xml:space="preserve"> </w:t>
      </w:r>
      <w:r w:rsidR="009F58F8" w:rsidRPr="00497352">
        <w:rPr>
          <w:rFonts w:ascii="Times New Roman" w:hAnsi="Times New Roman" w:cs="Times New Roman"/>
          <w:i/>
          <w:sz w:val="24"/>
          <w:szCs w:val="24"/>
        </w:rPr>
        <w:t>quo</w:t>
      </w:r>
      <w:r w:rsidR="009F58F8" w:rsidRPr="00497352">
        <w:rPr>
          <w:rFonts w:ascii="Times New Roman" w:hAnsi="Times New Roman" w:cs="Times New Roman"/>
          <w:sz w:val="24"/>
          <w:szCs w:val="24"/>
        </w:rPr>
        <w:t xml:space="preserve">. This is in keeping with the </w:t>
      </w:r>
      <w:proofErr w:type="gramStart"/>
      <w:r w:rsidR="009F58F8" w:rsidRPr="00497352">
        <w:rPr>
          <w:rFonts w:ascii="Times New Roman" w:hAnsi="Times New Roman" w:cs="Times New Roman"/>
          <w:sz w:val="24"/>
          <w:szCs w:val="24"/>
        </w:rPr>
        <w:t>time honoured</w:t>
      </w:r>
      <w:proofErr w:type="gramEnd"/>
      <w:r w:rsidR="009F58F8" w:rsidRPr="00497352">
        <w:rPr>
          <w:rFonts w:ascii="Times New Roman" w:hAnsi="Times New Roman" w:cs="Times New Roman"/>
          <w:sz w:val="24"/>
          <w:szCs w:val="24"/>
        </w:rPr>
        <w:t xml:space="preserve"> </w:t>
      </w:r>
      <w:r w:rsidR="00DF74AA" w:rsidRPr="00497352">
        <w:rPr>
          <w:rFonts w:ascii="Times New Roman" w:hAnsi="Times New Roman" w:cs="Times New Roman"/>
          <w:sz w:val="24"/>
          <w:szCs w:val="24"/>
        </w:rPr>
        <w:t xml:space="preserve">principle laid down in </w:t>
      </w:r>
      <w:r w:rsidR="00DF74AA" w:rsidRPr="00497352">
        <w:rPr>
          <w:rFonts w:ascii="Times New Roman" w:hAnsi="Times New Roman" w:cs="Times New Roman"/>
          <w:i/>
          <w:sz w:val="24"/>
          <w:szCs w:val="24"/>
        </w:rPr>
        <w:t>Barlow and Jones Ltd v Elephant Trading Co</w:t>
      </w:r>
      <w:r w:rsidR="00DF74AA" w:rsidRPr="00497352">
        <w:rPr>
          <w:rFonts w:ascii="Times New Roman" w:hAnsi="Times New Roman" w:cs="Times New Roman"/>
          <w:sz w:val="24"/>
          <w:szCs w:val="24"/>
        </w:rPr>
        <w:t xml:space="preserve">. 1905 TS 67 to the effect that existing rights should not be infringed. </w:t>
      </w:r>
      <w:proofErr w:type="gramStart"/>
      <w:r w:rsidR="00DF74AA" w:rsidRPr="00497352">
        <w:rPr>
          <w:rFonts w:ascii="Times New Roman" w:hAnsi="Times New Roman" w:cs="Times New Roman"/>
          <w:sz w:val="24"/>
          <w:szCs w:val="24"/>
        </w:rPr>
        <w:t>Thus</w:t>
      </w:r>
      <w:proofErr w:type="gramEnd"/>
      <w:r w:rsidR="00DF74AA" w:rsidRPr="00497352">
        <w:rPr>
          <w:rFonts w:ascii="Times New Roman" w:hAnsi="Times New Roman" w:cs="Times New Roman"/>
          <w:sz w:val="24"/>
          <w:szCs w:val="24"/>
        </w:rPr>
        <w:t xml:space="preserve"> in general courts will lean in favour of the enjoyment of rights rather than their extinction.</w:t>
      </w:r>
    </w:p>
    <w:p w:rsidR="00E20833" w:rsidRPr="00497352" w:rsidRDefault="00E20833" w:rsidP="00670D88">
      <w:pPr>
        <w:spacing w:after="0" w:line="480" w:lineRule="auto"/>
        <w:ind w:firstLine="1134"/>
        <w:jc w:val="both"/>
        <w:rPr>
          <w:rFonts w:ascii="Times New Roman" w:hAnsi="Times New Roman" w:cs="Times New Roman"/>
          <w:sz w:val="24"/>
          <w:szCs w:val="24"/>
        </w:rPr>
      </w:pPr>
    </w:p>
    <w:p w:rsidR="00DF74AA" w:rsidRPr="00497352" w:rsidRDefault="00DF74AA" w:rsidP="00670D88">
      <w:pPr>
        <w:spacing w:after="0" w:line="480" w:lineRule="auto"/>
        <w:ind w:firstLine="1134"/>
        <w:jc w:val="both"/>
        <w:rPr>
          <w:rFonts w:ascii="Times New Roman" w:hAnsi="Times New Roman" w:cs="Times New Roman"/>
          <w:sz w:val="24"/>
          <w:szCs w:val="24"/>
        </w:rPr>
      </w:pPr>
      <w:proofErr w:type="gramStart"/>
      <w:r w:rsidRPr="00497352">
        <w:rPr>
          <w:rFonts w:ascii="Times New Roman" w:hAnsi="Times New Roman" w:cs="Times New Roman"/>
          <w:sz w:val="24"/>
          <w:szCs w:val="24"/>
        </w:rPr>
        <w:t>By virtue of</w:t>
      </w:r>
      <w:proofErr w:type="gramEnd"/>
      <w:r w:rsidRPr="00497352">
        <w:rPr>
          <w:rFonts w:ascii="Times New Roman" w:hAnsi="Times New Roman" w:cs="Times New Roman"/>
          <w:sz w:val="24"/>
          <w:szCs w:val="24"/>
        </w:rPr>
        <w:t xml:space="preserve"> the </w:t>
      </w:r>
      <w:r w:rsidR="007F2304" w:rsidRPr="00497352">
        <w:rPr>
          <w:rFonts w:ascii="Times New Roman" w:hAnsi="Times New Roman" w:cs="Times New Roman"/>
          <w:sz w:val="24"/>
          <w:szCs w:val="24"/>
        </w:rPr>
        <w:t xml:space="preserve">valid </w:t>
      </w:r>
      <w:r w:rsidR="00301B04" w:rsidRPr="00497352">
        <w:rPr>
          <w:rFonts w:ascii="Times New Roman" w:hAnsi="Times New Roman" w:cs="Times New Roman"/>
          <w:sz w:val="24"/>
          <w:szCs w:val="24"/>
        </w:rPr>
        <w:t>Offer L</w:t>
      </w:r>
      <w:r w:rsidRPr="00497352">
        <w:rPr>
          <w:rFonts w:ascii="Times New Roman" w:hAnsi="Times New Roman" w:cs="Times New Roman"/>
          <w:sz w:val="24"/>
          <w:szCs w:val="24"/>
        </w:rPr>
        <w:t xml:space="preserve">etter issued to him by </w:t>
      </w:r>
      <w:r w:rsidR="00FE3D9C" w:rsidRPr="00497352">
        <w:rPr>
          <w:rFonts w:ascii="Times New Roman" w:hAnsi="Times New Roman" w:cs="Times New Roman"/>
          <w:sz w:val="24"/>
          <w:szCs w:val="24"/>
        </w:rPr>
        <w:t xml:space="preserve">the </w:t>
      </w:r>
      <w:r w:rsidR="00EE2FAD" w:rsidRPr="00497352">
        <w:rPr>
          <w:rFonts w:ascii="Times New Roman" w:hAnsi="Times New Roman" w:cs="Times New Roman"/>
          <w:sz w:val="24"/>
          <w:szCs w:val="24"/>
        </w:rPr>
        <w:t>second</w:t>
      </w:r>
      <w:r w:rsidR="00FE3D9C" w:rsidRPr="00497352">
        <w:rPr>
          <w:rFonts w:ascii="Times New Roman" w:hAnsi="Times New Roman" w:cs="Times New Roman"/>
          <w:sz w:val="24"/>
          <w:szCs w:val="24"/>
        </w:rPr>
        <w:t xml:space="preserve"> respondent</w:t>
      </w:r>
      <w:r w:rsidR="007F2304" w:rsidRPr="00497352">
        <w:rPr>
          <w:rFonts w:ascii="Times New Roman" w:hAnsi="Times New Roman" w:cs="Times New Roman"/>
          <w:sz w:val="24"/>
          <w:szCs w:val="24"/>
        </w:rPr>
        <w:t xml:space="preserve"> in his capacity as the acquiring authority</w:t>
      </w:r>
      <w:r w:rsidR="00FE3D9C" w:rsidRPr="00497352">
        <w:rPr>
          <w:rFonts w:ascii="Times New Roman" w:hAnsi="Times New Roman" w:cs="Times New Roman"/>
          <w:sz w:val="24"/>
          <w:szCs w:val="24"/>
        </w:rPr>
        <w:t xml:space="preserve">, the </w:t>
      </w:r>
      <w:r w:rsidR="00EE2FAD" w:rsidRPr="00497352">
        <w:rPr>
          <w:rFonts w:ascii="Times New Roman" w:hAnsi="Times New Roman" w:cs="Times New Roman"/>
          <w:sz w:val="24"/>
          <w:szCs w:val="24"/>
        </w:rPr>
        <w:t>first</w:t>
      </w:r>
      <w:r w:rsidR="00FE3D9C" w:rsidRPr="00497352">
        <w:rPr>
          <w:rFonts w:ascii="Times New Roman" w:hAnsi="Times New Roman" w:cs="Times New Roman"/>
          <w:sz w:val="24"/>
          <w:szCs w:val="24"/>
        </w:rPr>
        <w:t xml:space="preserve"> respondent has the right to occupy and use the </w:t>
      </w:r>
      <w:r w:rsidR="00FC3A9A" w:rsidRPr="00497352">
        <w:rPr>
          <w:rFonts w:ascii="Times New Roman" w:hAnsi="Times New Roman" w:cs="Times New Roman"/>
          <w:b/>
          <w:sz w:val="24"/>
          <w:szCs w:val="24"/>
        </w:rPr>
        <w:t>Remaining Extent</w:t>
      </w:r>
      <w:r w:rsidR="00FE3D9C" w:rsidRPr="00497352">
        <w:rPr>
          <w:rFonts w:ascii="Times New Roman" w:hAnsi="Times New Roman" w:cs="Times New Roman"/>
          <w:b/>
          <w:sz w:val="24"/>
          <w:szCs w:val="24"/>
        </w:rPr>
        <w:t xml:space="preserve"> of </w:t>
      </w:r>
      <w:proofErr w:type="spellStart"/>
      <w:r w:rsidR="00FE3D9C" w:rsidRPr="00497352">
        <w:rPr>
          <w:rFonts w:ascii="Times New Roman" w:hAnsi="Times New Roman" w:cs="Times New Roman"/>
          <w:b/>
          <w:sz w:val="24"/>
          <w:szCs w:val="24"/>
        </w:rPr>
        <w:t>Stuhm</w:t>
      </w:r>
      <w:proofErr w:type="spellEnd"/>
      <w:r w:rsidR="00FE3D9C" w:rsidRPr="00497352">
        <w:rPr>
          <w:rFonts w:ascii="Times New Roman" w:hAnsi="Times New Roman" w:cs="Times New Roman"/>
          <w:b/>
          <w:sz w:val="24"/>
          <w:szCs w:val="24"/>
        </w:rPr>
        <w:t xml:space="preserve"> In the </w:t>
      </w:r>
      <w:proofErr w:type="spellStart"/>
      <w:r w:rsidR="00FE3D9C" w:rsidRPr="00497352">
        <w:rPr>
          <w:rFonts w:ascii="Times New Roman" w:hAnsi="Times New Roman" w:cs="Times New Roman"/>
          <w:b/>
          <w:sz w:val="24"/>
          <w:szCs w:val="24"/>
        </w:rPr>
        <w:t>Goromonzi</w:t>
      </w:r>
      <w:proofErr w:type="spellEnd"/>
      <w:r w:rsidR="00FE3D9C" w:rsidRPr="00497352">
        <w:rPr>
          <w:rFonts w:ascii="Times New Roman" w:hAnsi="Times New Roman" w:cs="Times New Roman"/>
          <w:b/>
          <w:sz w:val="24"/>
          <w:szCs w:val="24"/>
        </w:rPr>
        <w:t xml:space="preserve"> District Measuring </w:t>
      </w:r>
      <w:r w:rsidR="009D48B5" w:rsidRPr="00497352">
        <w:rPr>
          <w:rFonts w:ascii="Times New Roman" w:hAnsi="Times New Roman" w:cs="Times New Roman"/>
          <w:b/>
          <w:sz w:val="24"/>
          <w:szCs w:val="24"/>
        </w:rPr>
        <w:t>approximately 534, 0</w:t>
      </w:r>
      <w:r w:rsidR="00FE3D9C" w:rsidRPr="00497352">
        <w:rPr>
          <w:rFonts w:ascii="Times New Roman" w:hAnsi="Times New Roman" w:cs="Times New Roman"/>
          <w:b/>
          <w:sz w:val="24"/>
          <w:szCs w:val="24"/>
        </w:rPr>
        <w:t>0 Hectares</w:t>
      </w:r>
      <w:r w:rsidR="009D48B5" w:rsidRPr="00497352">
        <w:rPr>
          <w:rFonts w:ascii="Times New Roman" w:hAnsi="Times New Roman" w:cs="Times New Roman"/>
          <w:b/>
          <w:sz w:val="24"/>
          <w:szCs w:val="24"/>
        </w:rPr>
        <w:t xml:space="preserve"> in extent</w:t>
      </w:r>
      <w:r w:rsidR="00FE3D9C" w:rsidRPr="00497352">
        <w:rPr>
          <w:rFonts w:ascii="Times New Roman" w:hAnsi="Times New Roman" w:cs="Times New Roman"/>
          <w:sz w:val="24"/>
          <w:szCs w:val="24"/>
        </w:rPr>
        <w:t xml:space="preserve"> as stipulated in the offer letter.</w:t>
      </w:r>
      <w:r w:rsidR="002E36FD" w:rsidRPr="00497352">
        <w:rPr>
          <w:rFonts w:ascii="Times New Roman" w:hAnsi="Times New Roman" w:cs="Times New Roman"/>
          <w:sz w:val="24"/>
          <w:szCs w:val="24"/>
        </w:rPr>
        <w:t xml:space="preserve"> </w:t>
      </w:r>
    </w:p>
    <w:p w:rsidR="00E20833" w:rsidRPr="00497352" w:rsidRDefault="00E20833" w:rsidP="00670D88">
      <w:pPr>
        <w:spacing w:after="0" w:line="480" w:lineRule="auto"/>
        <w:ind w:firstLine="1134"/>
        <w:jc w:val="both"/>
        <w:rPr>
          <w:rFonts w:ascii="Times New Roman" w:hAnsi="Times New Roman" w:cs="Times New Roman"/>
          <w:sz w:val="24"/>
          <w:szCs w:val="24"/>
        </w:rPr>
      </w:pPr>
    </w:p>
    <w:p w:rsidR="00F415A0" w:rsidRPr="00497352" w:rsidRDefault="00F415A0" w:rsidP="003771B5">
      <w:pPr>
        <w:autoSpaceDE w:val="0"/>
        <w:autoSpaceDN w:val="0"/>
        <w:adjustRightInd w:val="0"/>
        <w:spacing w:after="0" w:line="480" w:lineRule="auto"/>
        <w:ind w:firstLine="1134"/>
        <w:jc w:val="both"/>
        <w:rPr>
          <w:rFonts w:ascii="Times New Roman" w:hAnsi="Times New Roman" w:cs="Times New Roman"/>
          <w:bCs/>
          <w:sz w:val="24"/>
          <w:szCs w:val="24"/>
        </w:rPr>
      </w:pPr>
      <w:proofErr w:type="gramStart"/>
      <w:r w:rsidRPr="00497352">
        <w:rPr>
          <w:rFonts w:ascii="Times New Roman" w:hAnsi="Times New Roman" w:cs="Times New Roman"/>
          <w:sz w:val="24"/>
          <w:szCs w:val="24"/>
        </w:rPr>
        <w:t>As regards</w:t>
      </w:r>
      <w:proofErr w:type="gramEnd"/>
      <w:r w:rsidRPr="00497352">
        <w:rPr>
          <w:rFonts w:ascii="Times New Roman" w:hAnsi="Times New Roman" w:cs="Times New Roman"/>
          <w:sz w:val="24"/>
          <w:szCs w:val="24"/>
        </w:rPr>
        <w:t xml:space="preserve"> the </w:t>
      </w:r>
      <w:r w:rsidR="000A54BB" w:rsidRPr="00497352">
        <w:rPr>
          <w:rFonts w:ascii="Times New Roman" w:hAnsi="Times New Roman" w:cs="Times New Roman"/>
          <w:sz w:val="24"/>
          <w:szCs w:val="24"/>
        </w:rPr>
        <w:t>appellants’ right</w:t>
      </w:r>
      <w:r w:rsidR="00933345" w:rsidRPr="00497352">
        <w:rPr>
          <w:rFonts w:ascii="Times New Roman" w:hAnsi="Times New Roman" w:cs="Times New Roman"/>
          <w:sz w:val="24"/>
          <w:szCs w:val="24"/>
        </w:rPr>
        <w:t xml:space="preserve"> of occupation of the</w:t>
      </w:r>
      <w:r w:rsidR="000A54BB" w:rsidRPr="00497352">
        <w:rPr>
          <w:rFonts w:ascii="Times New Roman" w:hAnsi="Times New Roman" w:cs="Times New Roman"/>
          <w:sz w:val="24"/>
          <w:szCs w:val="24"/>
        </w:rPr>
        <w:t xml:space="preserve"> land</w:t>
      </w:r>
      <w:r w:rsidRPr="00497352">
        <w:rPr>
          <w:rFonts w:ascii="Times New Roman" w:hAnsi="Times New Roman" w:cs="Times New Roman"/>
          <w:sz w:val="24"/>
          <w:szCs w:val="24"/>
        </w:rPr>
        <w:t>, the disputed land is gazetted land. Section 3 of the Gazetted Land</w:t>
      </w:r>
      <w:r w:rsidRPr="00497352">
        <w:rPr>
          <w:rFonts w:ascii="Times New Roman" w:hAnsi="Times New Roman" w:cs="Times New Roman"/>
          <w:bCs/>
          <w:sz w:val="24"/>
          <w:szCs w:val="24"/>
        </w:rPr>
        <w:t xml:space="preserve"> (Consequential Provisions) Act [</w:t>
      </w:r>
      <w:r w:rsidR="00E20833" w:rsidRPr="00497352">
        <w:rPr>
          <w:rFonts w:ascii="Times New Roman" w:hAnsi="Times New Roman" w:cs="Times New Roman"/>
          <w:bCs/>
          <w:i/>
          <w:sz w:val="24"/>
          <w:szCs w:val="24"/>
        </w:rPr>
        <w:t>Chapter</w:t>
      </w:r>
      <w:r w:rsidR="003771B5">
        <w:rPr>
          <w:rFonts w:ascii="Times New Roman" w:hAnsi="Times New Roman" w:cs="Times New Roman"/>
          <w:bCs/>
          <w:i/>
          <w:sz w:val="24"/>
          <w:szCs w:val="24"/>
        </w:rPr>
        <w:t> </w:t>
      </w:r>
      <w:r w:rsidRPr="00497352">
        <w:rPr>
          <w:rFonts w:ascii="Times New Roman" w:hAnsi="Times New Roman" w:cs="Times New Roman"/>
          <w:bCs/>
          <w:i/>
          <w:sz w:val="24"/>
          <w:szCs w:val="24"/>
        </w:rPr>
        <w:t>20:28</w:t>
      </w:r>
      <w:r w:rsidRPr="00497352">
        <w:rPr>
          <w:rFonts w:ascii="Times New Roman" w:hAnsi="Times New Roman" w:cs="Times New Roman"/>
          <w:bCs/>
          <w:sz w:val="24"/>
          <w:szCs w:val="24"/>
        </w:rPr>
        <w:t>] prohibits and criminalizes the occupation of gazetted land without</w:t>
      </w:r>
      <w:r w:rsidR="00D4529F" w:rsidRPr="00497352">
        <w:rPr>
          <w:rFonts w:ascii="Times New Roman" w:hAnsi="Times New Roman" w:cs="Times New Roman"/>
          <w:bCs/>
          <w:sz w:val="24"/>
          <w:szCs w:val="24"/>
        </w:rPr>
        <w:t xml:space="preserve"> lawful authority in the form of:</w:t>
      </w:r>
    </w:p>
    <w:p w:rsidR="00D4529F" w:rsidRPr="00497352" w:rsidRDefault="00D4529F" w:rsidP="003771B5">
      <w:pPr>
        <w:autoSpaceDE w:val="0"/>
        <w:autoSpaceDN w:val="0"/>
        <w:adjustRightInd w:val="0"/>
        <w:spacing w:after="0" w:line="480" w:lineRule="auto"/>
        <w:jc w:val="both"/>
        <w:rPr>
          <w:rFonts w:ascii="Times New Roman" w:hAnsi="Times New Roman" w:cs="Times New Roman"/>
          <w:bCs/>
          <w:sz w:val="24"/>
          <w:szCs w:val="24"/>
        </w:rPr>
      </w:pPr>
    </w:p>
    <w:p w:rsidR="00D4529F" w:rsidRPr="00497352" w:rsidRDefault="00D4529F" w:rsidP="00670D88">
      <w:pPr>
        <w:pStyle w:val="ListParagraph"/>
        <w:numPr>
          <w:ilvl w:val="0"/>
          <w:numId w:val="11"/>
        </w:numPr>
        <w:autoSpaceDE w:val="0"/>
        <w:autoSpaceDN w:val="0"/>
        <w:adjustRightInd w:val="0"/>
        <w:spacing w:after="0" w:line="480" w:lineRule="auto"/>
        <w:rPr>
          <w:rFonts w:ascii="Times New Roman" w:hAnsi="Times New Roman" w:cs="Times New Roman"/>
          <w:sz w:val="24"/>
          <w:szCs w:val="24"/>
        </w:rPr>
      </w:pPr>
      <w:r w:rsidRPr="00497352">
        <w:rPr>
          <w:rFonts w:ascii="Times New Roman" w:hAnsi="Times New Roman" w:cs="Times New Roman"/>
          <w:sz w:val="24"/>
          <w:szCs w:val="24"/>
        </w:rPr>
        <w:lastRenderedPageBreak/>
        <w:t>an offer letter; or</w:t>
      </w:r>
    </w:p>
    <w:p w:rsidR="00D4529F" w:rsidRPr="00497352" w:rsidRDefault="00D4529F" w:rsidP="00670D88">
      <w:pPr>
        <w:pStyle w:val="ListParagraph"/>
        <w:numPr>
          <w:ilvl w:val="0"/>
          <w:numId w:val="11"/>
        </w:numPr>
        <w:autoSpaceDE w:val="0"/>
        <w:autoSpaceDN w:val="0"/>
        <w:adjustRightInd w:val="0"/>
        <w:spacing w:after="0" w:line="480" w:lineRule="auto"/>
        <w:rPr>
          <w:rFonts w:ascii="Times New Roman" w:hAnsi="Times New Roman" w:cs="Times New Roman"/>
          <w:sz w:val="24"/>
          <w:szCs w:val="24"/>
        </w:rPr>
      </w:pPr>
      <w:r w:rsidRPr="00497352">
        <w:rPr>
          <w:rFonts w:ascii="Times New Roman" w:hAnsi="Times New Roman" w:cs="Times New Roman"/>
          <w:sz w:val="24"/>
          <w:szCs w:val="24"/>
        </w:rPr>
        <w:t>a permit; or</w:t>
      </w:r>
    </w:p>
    <w:p w:rsidR="00F415A0" w:rsidRPr="00497352" w:rsidRDefault="00DB1D6F" w:rsidP="00670D88">
      <w:pPr>
        <w:pStyle w:val="ListParagraph"/>
        <w:numPr>
          <w:ilvl w:val="0"/>
          <w:numId w:val="11"/>
        </w:numPr>
        <w:autoSpaceDE w:val="0"/>
        <w:autoSpaceDN w:val="0"/>
        <w:adjustRightInd w:val="0"/>
        <w:spacing w:after="0" w:line="480" w:lineRule="auto"/>
        <w:rPr>
          <w:rFonts w:ascii="Times New Roman" w:hAnsi="Times New Roman" w:cs="Times New Roman"/>
          <w:sz w:val="24"/>
          <w:szCs w:val="24"/>
        </w:rPr>
      </w:pPr>
      <w:r w:rsidRPr="00497352">
        <w:rPr>
          <w:rFonts w:ascii="Times New Roman" w:hAnsi="Times New Roman" w:cs="Times New Roman"/>
          <w:sz w:val="24"/>
          <w:szCs w:val="24"/>
        </w:rPr>
        <w:t>a land settlement lease.</w:t>
      </w:r>
    </w:p>
    <w:p w:rsidR="00D4529F" w:rsidRPr="00497352" w:rsidRDefault="00D4529F" w:rsidP="00670D88">
      <w:pPr>
        <w:pStyle w:val="ListParagraph"/>
        <w:spacing w:after="0" w:line="480" w:lineRule="auto"/>
        <w:rPr>
          <w:rFonts w:ascii="Times New Roman" w:hAnsi="Times New Roman" w:cs="Times New Roman"/>
          <w:bCs/>
          <w:sz w:val="24"/>
          <w:szCs w:val="24"/>
        </w:rPr>
      </w:pPr>
    </w:p>
    <w:p w:rsidR="00D4529F" w:rsidRPr="00497352" w:rsidRDefault="00D4529F" w:rsidP="00670D88">
      <w:pPr>
        <w:autoSpaceDE w:val="0"/>
        <w:autoSpaceDN w:val="0"/>
        <w:adjustRightInd w:val="0"/>
        <w:spacing w:after="0" w:line="480" w:lineRule="auto"/>
        <w:ind w:firstLine="1134"/>
        <w:jc w:val="both"/>
        <w:rPr>
          <w:rFonts w:ascii="Times New Roman" w:hAnsi="Times New Roman" w:cs="Times New Roman"/>
          <w:bCs/>
          <w:sz w:val="24"/>
          <w:szCs w:val="24"/>
        </w:rPr>
      </w:pPr>
      <w:r w:rsidRPr="00497352">
        <w:rPr>
          <w:rFonts w:ascii="Times New Roman" w:hAnsi="Times New Roman" w:cs="Times New Roman"/>
          <w:bCs/>
          <w:sz w:val="24"/>
          <w:szCs w:val="24"/>
        </w:rPr>
        <w:t>It is common cause that both appellants have no lawf</w:t>
      </w:r>
      <w:r w:rsidR="00972747" w:rsidRPr="00497352">
        <w:rPr>
          <w:rFonts w:ascii="Times New Roman" w:hAnsi="Times New Roman" w:cs="Times New Roman"/>
          <w:bCs/>
          <w:sz w:val="24"/>
          <w:szCs w:val="24"/>
        </w:rPr>
        <w:t>ul authority in the form of an Offer L</w:t>
      </w:r>
      <w:r w:rsidRPr="00497352">
        <w:rPr>
          <w:rFonts w:ascii="Times New Roman" w:hAnsi="Times New Roman" w:cs="Times New Roman"/>
          <w:bCs/>
          <w:sz w:val="24"/>
          <w:szCs w:val="24"/>
        </w:rPr>
        <w:t>etter, permit</w:t>
      </w:r>
      <w:r w:rsidR="009F7978" w:rsidRPr="00497352">
        <w:rPr>
          <w:rFonts w:ascii="Times New Roman" w:hAnsi="Times New Roman" w:cs="Times New Roman"/>
          <w:bCs/>
          <w:sz w:val="24"/>
          <w:szCs w:val="24"/>
        </w:rPr>
        <w:t xml:space="preserve"> or land settlement lease </w:t>
      </w:r>
      <w:r w:rsidR="00447678" w:rsidRPr="00497352">
        <w:rPr>
          <w:rFonts w:ascii="Times New Roman" w:hAnsi="Times New Roman" w:cs="Times New Roman"/>
          <w:bCs/>
          <w:sz w:val="24"/>
          <w:szCs w:val="24"/>
        </w:rPr>
        <w:t xml:space="preserve">authorising them </w:t>
      </w:r>
      <w:r w:rsidRPr="00497352">
        <w:rPr>
          <w:rFonts w:ascii="Times New Roman" w:hAnsi="Times New Roman" w:cs="Times New Roman"/>
          <w:bCs/>
          <w:sz w:val="24"/>
          <w:szCs w:val="24"/>
        </w:rPr>
        <w:t xml:space="preserve">to occupy and use the disputed land. Their plea is for </w:t>
      </w:r>
      <w:r w:rsidR="0000336C" w:rsidRPr="00497352">
        <w:rPr>
          <w:rFonts w:ascii="Times New Roman" w:hAnsi="Times New Roman" w:cs="Times New Roman"/>
          <w:bCs/>
          <w:sz w:val="24"/>
          <w:szCs w:val="24"/>
        </w:rPr>
        <w:t xml:space="preserve">the acquiring authority to strip the </w:t>
      </w:r>
      <w:r w:rsidR="00EE2FAD" w:rsidRPr="00497352">
        <w:rPr>
          <w:rFonts w:ascii="Times New Roman" w:hAnsi="Times New Roman" w:cs="Times New Roman"/>
          <w:bCs/>
          <w:sz w:val="24"/>
          <w:szCs w:val="24"/>
        </w:rPr>
        <w:t>first</w:t>
      </w:r>
      <w:r w:rsidR="0000336C" w:rsidRPr="00497352">
        <w:rPr>
          <w:rFonts w:ascii="Times New Roman" w:hAnsi="Times New Roman" w:cs="Times New Roman"/>
          <w:bCs/>
          <w:sz w:val="24"/>
          <w:szCs w:val="24"/>
        </w:rPr>
        <w:t xml:space="preserve"> </w:t>
      </w:r>
      <w:r w:rsidR="009F7978" w:rsidRPr="00497352">
        <w:rPr>
          <w:rFonts w:ascii="Times New Roman" w:hAnsi="Times New Roman" w:cs="Times New Roman"/>
          <w:bCs/>
          <w:sz w:val="24"/>
          <w:szCs w:val="24"/>
        </w:rPr>
        <w:t xml:space="preserve">respondent </w:t>
      </w:r>
      <w:r w:rsidR="0000336C" w:rsidRPr="00497352">
        <w:rPr>
          <w:rFonts w:ascii="Times New Roman" w:hAnsi="Times New Roman" w:cs="Times New Roman"/>
          <w:bCs/>
          <w:sz w:val="24"/>
          <w:szCs w:val="24"/>
        </w:rPr>
        <w:t>of his rights</w:t>
      </w:r>
      <w:r w:rsidR="009F7978" w:rsidRPr="00497352">
        <w:rPr>
          <w:rFonts w:ascii="Times New Roman" w:hAnsi="Times New Roman" w:cs="Times New Roman"/>
          <w:bCs/>
          <w:sz w:val="24"/>
          <w:szCs w:val="24"/>
        </w:rPr>
        <w:t xml:space="preserve"> acquired</w:t>
      </w:r>
      <w:r w:rsidR="006C0CAC" w:rsidRPr="00497352">
        <w:rPr>
          <w:rFonts w:ascii="Times New Roman" w:hAnsi="Times New Roman" w:cs="Times New Roman"/>
          <w:bCs/>
          <w:sz w:val="24"/>
          <w:szCs w:val="24"/>
        </w:rPr>
        <w:t xml:space="preserve"> in terms of his Offer Letter</w:t>
      </w:r>
      <w:r w:rsidR="0000336C" w:rsidRPr="00497352">
        <w:rPr>
          <w:rFonts w:ascii="Times New Roman" w:hAnsi="Times New Roman" w:cs="Times New Roman"/>
          <w:bCs/>
          <w:sz w:val="24"/>
          <w:szCs w:val="24"/>
        </w:rPr>
        <w:t xml:space="preserve"> and confer them on the </w:t>
      </w:r>
      <w:r w:rsidR="00EE2FAD" w:rsidRPr="00497352">
        <w:rPr>
          <w:rFonts w:ascii="Times New Roman" w:hAnsi="Times New Roman" w:cs="Times New Roman"/>
          <w:bCs/>
          <w:sz w:val="24"/>
          <w:szCs w:val="24"/>
        </w:rPr>
        <w:t>first</w:t>
      </w:r>
      <w:r w:rsidR="0000336C" w:rsidRPr="00497352">
        <w:rPr>
          <w:rFonts w:ascii="Times New Roman" w:hAnsi="Times New Roman" w:cs="Times New Roman"/>
          <w:bCs/>
          <w:sz w:val="24"/>
          <w:szCs w:val="24"/>
        </w:rPr>
        <w:t xml:space="preserve"> appellant. They argue that the </w:t>
      </w:r>
      <w:r w:rsidR="00EE2FAD" w:rsidRPr="00497352">
        <w:rPr>
          <w:rFonts w:ascii="Times New Roman" w:hAnsi="Times New Roman" w:cs="Times New Roman"/>
          <w:bCs/>
          <w:sz w:val="24"/>
          <w:szCs w:val="24"/>
        </w:rPr>
        <w:t>first</w:t>
      </w:r>
      <w:r w:rsidR="0000336C" w:rsidRPr="00497352">
        <w:rPr>
          <w:rFonts w:ascii="Times New Roman" w:hAnsi="Times New Roman" w:cs="Times New Roman"/>
          <w:bCs/>
          <w:sz w:val="24"/>
          <w:szCs w:val="24"/>
        </w:rPr>
        <w:t xml:space="preserve"> appellant is an indigenous person and it is not government policy to dispossess one indigenous person of land </w:t>
      </w:r>
      <w:proofErr w:type="gramStart"/>
      <w:r w:rsidR="0000336C" w:rsidRPr="00497352">
        <w:rPr>
          <w:rFonts w:ascii="Times New Roman" w:hAnsi="Times New Roman" w:cs="Times New Roman"/>
          <w:bCs/>
          <w:sz w:val="24"/>
          <w:szCs w:val="24"/>
        </w:rPr>
        <w:t>in order to</w:t>
      </w:r>
      <w:proofErr w:type="gramEnd"/>
      <w:r w:rsidR="0000336C" w:rsidRPr="00497352">
        <w:rPr>
          <w:rFonts w:ascii="Times New Roman" w:hAnsi="Times New Roman" w:cs="Times New Roman"/>
          <w:bCs/>
          <w:sz w:val="24"/>
          <w:szCs w:val="24"/>
        </w:rPr>
        <w:t xml:space="preserve"> give it to another.</w:t>
      </w:r>
    </w:p>
    <w:p w:rsidR="00CD20B7" w:rsidRPr="00497352" w:rsidRDefault="00CD20B7" w:rsidP="00670D88">
      <w:pPr>
        <w:autoSpaceDE w:val="0"/>
        <w:autoSpaceDN w:val="0"/>
        <w:adjustRightInd w:val="0"/>
        <w:spacing w:after="0" w:line="480" w:lineRule="auto"/>
        <w:jc w:val="both"/>
        <w:rPr>
          <w:rFonts w:ascii="Times New Roman" w:hAnsi="Times New Roman" w:cs="Times New Roman"/>
          <w:bCs/>
          <w:sz w:val="24"/>
          <w:szCs w:val="24"/>
        </w:rPr>
      </w:pPr>
    </w:p>
    <w:p w:rsidR="00CD20B7" w:rsidRPr="00497352" w:rsidRDefault="00CD20B7" w:rsidP="00670D88">
      <w:pPr>
        <w:autoSpaceDE w:val="0"/>
        <w:autoSpaceDN w:val="0"/>
        <w:adjustRightInd w:val="0"/>
        <w:spacing w:after="0" w:line="480" w:lineRule="auto"/>
        <w:ind w:firstLine="1134"/>
        <w:jc w:val="both"/>
        <w:rPr>
          <w:rFonts w:ascii="Times New Roman" w:hAnsi="Times New Roman" w:cs="Times New Roman"/>
          <w:bCs/>
          <w:sz w:val="24"/>
          <w:szCs w:val="24"/>
        </w:rPr>
      </w:pPr>
      <w:r w:rsidRPr="00497352">
        <w:rPr>
          <w:rFonts w:ascii="Times New Roman" w:hAnsi="Times New Roman" w:cs="Times New Roman"/>
          <w:bCs/>
          <w:sz w:val="24"/>
          <w:szCs w:val="24"/>
        </w:rPr>
        <w:t>T</w:t>
      </w:r>
      <w:r w:rsidR="007F17D3" w:rsidRPr="00497352">
        <w:rPr>
          <w:rFonts w:ascii="Times New Roman" w:hAnsi="Times New Roman" w:cs="Times New Roman"/>
          <w:bCs/>
          <w:sz w:val="24"/>
          <w:szCs w:val="24"/>
        </w:rPr>
        <w:t xml:space="preserve">his </w:t>
      </w:r>
      <w:r w:rsidR="00EE2FAD" w:rsidRPr="00497352">
        <w:rPr>
          <w:rFonts w:ascii="Times New Roman" w:hAnsi="Times New Roman" w:cs="Times New Roman"/>
          <w:bCs/>
          <w:sz w:val="24"/>
          <w:szCs w:val="24"/>
        </w:rPr>
        <w:t>C</w:t>
      </w:r>
      <w:r w:rsidR="007F17D3" w:rsidRPr="00497352">
        <w:rPr>
          <w:rFonts w:ascii="Times New Roman" w:hAnsi="Times New Roman" w:cs="Times New Roman"/>
          <w:bCs/>
          <w:sz w:val="24"/>
          <w:szCs w:val="24"/>
        </w:rPr>
        <w:t>ourt has already determined that the co</w:t>
      </w:r>
      <w:r w:rsidR="000F45AE" w:rsidRPr="00497352">
        <w:rPr>
          <w:rFonts w:ascii="Times New Roman" w:hAnsi="Times New Roman" w:cs="Times New Roman"/>
          <w:bCs/>
          <w:sz w:val="24"/>
          <w:szCs w:val="24"/>
        </w:rPr>
        <w:t xml:space="preserve">urt </w:t>
      </w:r>
      <w:r w:rsidR="000F45AE" w:rsidRPr="00497352">
        <w:rPr>
          <w:rFonts w:ascii="Times New Roman" w:hAnsi="Times New Roman" w:cs="Times New Roman"/>
          <w:bCs/>
          <w:i/>
          <w:sz w:val="24"/>
          <w:szCs w:val="24"/>
        </w:rPr>
        <w:t>a quo</w:t>
      </w:r>
      <w:r w:rsidR="000F45AE" w:rsidRPr="00497352">
        <w:rPr>
          <w:rFonts w:ascii="Times New Roman" w:hAnsi="Times New Roman" w:cs="Times New Roman"/>
          <w:bCs/>
          <w:sz w:val="24"/>
          <w:szCs w:val="24"/>
        </w:rPr>
        <w:t xml:space="preserve"> correctly nullified Cecil </w:t>
      </w:r>
      <w:r w:rsidR="007F40FA" w:rsidRPr="00497352">
        <w:rPr>
          <w:rFonts w:ascii="Times New Roman" w:hAnsi="Times New Roman" w:cs="Times New Roman"/>
          <w:bCs/>
          <w:sz w:val="24"/>
          <w:szCs w:val="24"/>
        </w:rPr>
        <w:t xml:space="preserve">Michael </w:t>
      </w:r>
      <w:r w:rsidR="000F45AE" w:rsidRPr="00497352">
        <w:rPr>
          <w:rFonts w:ascii="Times New Roman" w:hAnsi="Times New Roman" w:cs="Times New Roman"/>
          <w:bCs/>
          <w:sz w:val="24"/>
          <w:szCs w:val="24"/>
        </w:rPr>
        <w:t>Reimer’</w:t>
      </w:r>
      <w:r w:rsidR="007F17D3" w:rsidRPr="00497352">
        <w:rPr>
          <w:rFonts w:ascii="Times New Roman" w:hAnsi="Times New Roman" w:cs="Times New Roman"/>
          <w:bCs/>
          <w:sz w:val="24"/>
          <w:szCs w:val="24"/>
        </w:rPr>
        <w:t>s ownership of the disputed land. It also correctly held that</w:t>
      </w:r>
      <w:r w:rsidR="007A3D99" w:rsidRPr="00497352">
        <w:rPr>
          <w:rFonts w:ascii="Times New Roman" w:hAnsi="Times New Roman" w:cs="Times New Roman"/>
          <w:bCs/>
          <w:sz w:val="24"/>
          <w:szCs w:val="24"/>
        </w:rPr>
        <w:t xml:space="preserve"> ownership of</w:t>
      </w:r>
      <w:r w:rsidR="007F17D3" w:rsidRPr="00497352">
        <w:rPr>
          <w:rFonts w:ascii="Times New Roman" w:hAnsi="Times New Roman" w:cs="Times New Roman"/>
          <w:bCs/>
          <w:sz w:val="24"/>
          <w:szCs w:val="24"/>
        </w:rPr>
        <w:t xml:space="preserve"> the disputed land still vests in the </w:t>
      </w:r>
      <w:r w:rsidR="00EE2FAD" w:rsidRPr="00497352">
        <w:rPr>
          <w:rFonts w:ascii="Times New Roman" w:hAnsi="Times New Roman" w:cs="Times New Roman"/>
          <w:bCs/>
          <w:sz w:val="24"/>
          <w:szCs w:val="24"/>
        </w:rPr>
        <w:t>second</w:t>
      </w:r>
      <w:r w:rsidR="007F17D3" w:rsidRPr="00497352">
        <w:rPr>
          <w:rFonts w:ascii="Times New Roman" w:hAnsi="Times New Roman" w:cs="Times New Roman"/>
          <w:bCs/>
          <w:sz w:val="24"/>
          <w:szCs w:val="24"/>
        </w:rPr>
        <w:t xml:space="preserve"> respondent. That being the case</w:t>
      </w:r>
      <w:r w:rsidR="00DF1D92" w:rsidRPr="00497352">
        <w:rPr>
          <w:rFonts w:ascii="Times New Roman" w:hAnsi="Times New Roman" w:cs="Times New Roman"/>
          <w:bCs/>
          <w:sz w:val="24"/>
          <w:szCs w:val="24"/>
        </w:rPr>
        <w:t xml:space="preserve">, </w:t>
      </w:r>
      <w:r w:rsidR="007F17D3" w:rsidRPr="00497352">
        <w:rPr>
          <w:rFonts w:ascii="Times New Roman" w:hAnsi="Times New Roman" w:cs="Times New Roman"/>
          <w:bCs/>
          <w:sz w:val="24"/>
          <w:szCs w:val="24"/>
        </w:rPr>
        <w:t>the courts cannot protect</w:t>
      </w:r>
      <w:r w:rsidR="000F45AE" w:rsidRPr="00497352">
        <w:rPr>
          <w:rFonts w:ascii="Times New Roman" w:hAnsi="Times New Roman" w:cs="Times New Roman"/>
          <w:bCs/>
          <w:sz w:val="24"/>
          <w:szCs w:val="24"/>
        </w:rPr>
        <w:t xml:space="preserve"> </w:t>
      </w:r>
      <w:r w:rsidR="00F0509E" w:rsidRPr="00497352">
        <w:rPr>
          <w:rFonts w:ascii="Times New Roman" w:hAnsi="Times New Roman" w:cs="Times New Roman"/>
          <w:bCs/>
          <w:sz w:val="24"/>
          <w:szCs w:val="24"/>
        </w:rPr>
        <w:t xml:space="preserve">the </w:t>
      </w:r>
      <w:r w:rsidR="000F45AE" w:rsidRPr="00497352">
        <w:rPr>
          <w:rFonts w:ascii="Times New Roman" w:hAnsi="Times New Roman" w:cs="Times New Roman"/>
          <w:bCs/>
          <w:sz w:val="24"/>
          <w:szCs w:val="24"/>
        </w:rPr>
        <w:t>appella</w:t>
      </w:r>
      <w:r w:rsidR="007A3D99" w:rsidRPr="00497352">
        <w:rPr>
          <w:rFonts w:ascii="Times New Roman" w:hAnsi="Times New Roman" w:cs="Times New Roman"/>
          <w:bCs/>
          <w:sz w:val="24"/>
          <w:szCs w:val="24"/>
        </w:rPr>
        <w:t>nt on</w:t>
      </w:r>
      <w:r w:rsidR="007F17D3" w:rsidRPr="00497352">
        <w:rPr>
          <w:rFonts w:ascii="Times New Roman" w:hAnsi="Times New Roman" w:cs="Times New Roman"/>
          <w:bCs/>
          <w:sz w:val="24"/>
          <w:szCs w:val="24"/>
        </w:rPr>
        <w:t xml:space="preserve"> </w:t>
      </w:r>
      <w:r w:rsidR="007A3D99" w:rsidRPr="00497352">
        <w:rPr>
          <w:rFonts w:ascii="Times New Roman" w:hAnsi="Times New Roman" w:cs="Times New Roman"/>
          <w:bCs/>
          <w:sz w:val="24"/>
          <w:szCs w:val="24"/>
        </w:rPr>
        <w:t>the basis that the disputed land is owned</w:t>
      </w:r>
      <w:r w:rsidR="007C6EF9" w:rsidRPr="00497352">
        <w:rPr>
          <w:rFonts w:ascii="Times New Roman" w:hAnsi="Times New Roman" w:cs="Times New Roman"/>
          <w:bCs/>
          <w:sz w:val="24"/>
          <w:szCs w:val="24"/>
        </w:rPr>
        <w:t xml:space="preserve"> or occ</w:t>
      </w:r>
      <w:r w:rsidR="00E71035" w:rsidRPr="00497352">
        <w:rPr>
          <w:rFonts w:ascii="Times New Roman" w:hAnsi="Times New Roman" w:cs="Times New Roman"/>
          <w:bCs/>
          <w:sz w:val="24"/>
          <w:szCs w:val="24"/>
        </w:rPr>
        <w:t>upied</w:t>
      </w:r>
      <w:r w:rsidR="007A3D99" w:rsidRPr="00497352">
        <w:rPr>
          <w:rFonts w:ascii="Times New Roman" w:hAnsi="Times New Roman" w:cs="Times New Roman"/>
          <w:bCs/>
          <w:sz w:val="24"/>
          <w:szCs w:val="24"/>
        </w:rPr>
        <w:t xml:space="preserve"> by an indigenous person.</w:t>
      </w:r>
    </w:p>
    <w:p w:rsidR="007A3D99" w:rsidRPr="00497352" w:rsidRDefault="007A3D99" w:rsidP="00670D88">
      <w:pPr>
        <w:autoSpaceDE w:val="0"/>
        <w:autoSpaceDN w:val="0"/>
        <w:adjustRightInd w:val="0"/>
        <w:spacing w:after="0" w:line="480" w:lineRule="auto"/>
        <w:jc w:val="both"/>
        <w:rPr>
          <w:rFonts w:ascii="Times New Roman" w:hAnsi="Times New Roman" w:cs="Times New Roman"/>
          <w:bCs/>
          <w:sz w:val="24"/>
          <w:szCs w:val="24"/>
        </w:rPr>
      </w:pPr>
    </w:p>
    <w:p w:rsidR="005C5D1F" w:rsidRPr="00497352" w:rsidRDefault="00EE2FAD" w:rsidP="00670D88">
      <w:pPr>
        <w:autoSpaceDE w:val="0"/>
        <w:autoSpaceDN w:val="0"/>
        <w:adjustRightInd w:val="0"/>
        <w:spacing w:after="0" w:line="480" w:lineRule="auto"/>
        <w:ind w:firstLine="1134"/>
        <w:jc w:val="both"/>
        <w:rPr>
          <w:rFonts w:ascii="Times New Roman" w:hAnsi="Times New Roman" w:cs="Times New Roman"/>
          <w:bCs/>
          <w:sz w:val="24"/>
          <w:szCs w:val="24"/>
        </w:rPr>
      </w:pPr>
      <w:r w:rsidRPr="00497352">
        <w:rPr>
          <w:rFonts w:ascii="Times New Roman" w:hAnsi="Times New Roman" w:cs="Times New Roman"/>
          <w:bCs/>
          <w:sz w:val="24"/>
          <w:szCs w:val="24"/>
        </w:rPr>
        <w:t>Although the first</w:t>
      </w:r>
      <w:r w:rsidR="007A3D99" w:rsidRPr="00497352">
        <w:rPr>
          <w:rFonts w:ascii="Times New Roman" w:hAnsi="Times New Roman" w:cs="Times New Roman"/>
          <w:bCs/>
          <w:sz w:val="24"/>
          <w:szCs w:val="24"/>
        </w:rPr>
        <w:t xml:space="preserve"> appellant is in occupation of the gazetted land and the </w:t>
      </w:r>
      <w:r w:rsidRPr="00497352">
        <w:rPr>
          <w:rFonts w:ascii="Times New Roman" w:hAnsi="Times New Roman" w:cs="Times New Roman"/>
          <w:bCs/>
          <w:sz w:val="24"/>
          <w:szCs w:val="24"/>
        </w:rPr>
        <w:t>second</w:t>
      </w:r>
      <w:r w:rsidR="007A3D99" w:rsidRPr="00497352">
        <w:rPr>
          <w:rFonts w:ascii="Times New Roman" w:hAnsi="Times New Roman" w:cs="Times New Roman"/>
          <w:bCs/>
          <w:sz w:val="24"/>
          <w:szCs w:val="24"/>
        </w:rPr>
        <w:t xml:space="preserve"> appellant </w:t>
      </w:r>
      <w:r w:rsidR="005C5D1F" w:rsidRPr="00497352">
        <w:rPr>
          <w:rFonts w:ascii="Times New Roman" w:hAnsi="Times New Roman" w:cs="Times New Roman"/>
          <w:bCs/>
          <w:sz w:val="24"/>
          <w:szCs w:val="24"/>
        </w:rPr>
        <w:t>occupies it</w:t>
      </w:r>
      <w:r w:rsidR="003A156F" w:rsidRPr="00497352">
        <w:rPr>
          <w:rFonts w:ascii="Times New Roman" w:hAnsi="Times New Roman" w:cs="Times New Roman"/>
          <w:bCs/>
          <w:sz w:val="24"/>
          <w:szCs w:val="24"/>
        </w:rPr>
        <w:t xml:space="preserve"> through a lease agreement</w:t>
      </w:r>
      <w:r w:rsidR="007A3D99" w:rsidRPr="00497352">
        <w:rPr>
          <w:rFonts w:ascii="Times New Roman" w:hAnsi="Times New Roman" w:cs="Times New Roman"/>
          <w:bCs/>
          <w:sz w:val="24"/>
          <w:szCs w:val="24"/>
        </w:rPr>
        <w:t xml:space="preserve">, the occupation is </w:t>
      </w:r>
      <w:r w:rsidR="003A156F" w:rsidRPr="00497352">
        <w:rPr>
          <w:rFonts w:ascii="Times New Roman" w:hAnsi="Times New Roman" w:cs="Times New Roman"/>
          <w:bCs/>
          <w:sz w:val="24"/>
          <w:szCs w:val="24"/>
        </w:rPr>
        <w:t>unlawful. As already determined elsewhere in this judgment</w:t>
      </w:r>
      <w:r w:rsidR="007A3D99" w:rsidRPr="00497352">
        <w:rPr>
          <w:rFonts w:ascii="Times New Roman" w:hAnsi="Times New Roman" w:cs="Times New Roman"/>
          <w:bCs/>
          <w:sz w:val="24"/>
          <w:szCs w:val="24"/>
        </w:rPr>
        <w:t xml:space="preserve"> the law and the courts</w:t>
      </w:r>
      <w:r w:rsidR="005C5D1F" w:rsidRPr="00497352">
        <w:rPr>
          <w:rFonts w:ascii="Times New Roman" w:hAnsi="Times New Roman" w:cs="Times New Roman"/>
          <w:bCs/>
          <w:sz w:val="24"/>
          <w:szCs w:val="24"/>
        </w:rPr>
        <w:t xml:space="preserve"> cannot protect an illegality regardless of the colour, nationality or race of the perpetrator.</w:t>
      </w:r>
    </w:p>
    <w:p w:rsidR="005C5D1F" w:rsidRPr="00497352" w:rsidRDefault="005C5D1F" w:rsidP="00670D88">
      <w:pPr>
        <w:autoSpaceDE w:val="0"/>
        <w:autoSpaceDN w:val="0"/>
        <w:adjustRightInd w:val="0"/>
        <w:spacing w:after="0" w:line="480" w:lineRule="auto"/>
        <w:jc w:val="both"/>
        <w:rPr>
          <w:rFonts w:ascii="Times New Roman" w:hAnsi="Times New Roman" w:cs="Times New Roman"/>
          <w:bCs/>
          <w:sz w:val="24"/>
          <w:szCs w:val="24"/>
        </w:rPr>
      </w:pPr>
    </w:p>
    <w:p w:rsidR="007A3D99" w:rsidRPr="00497352" w:rsidRDefault="005C5D1F" w:rsidP="00670D88">
      <w:pPr>
        <w:autoSpaceDE w:val="0"/>
        <w:autoSpaceDN w:val="0"/>
        <w:adjustRightInd w:val="0"/>
        <w:spacing w:after="0" w:line="480" w:lineRule="auto"/>
        <w:jc w:val="both"/>
        <w:rPr>
          <w:rFonts w:ascii="Times New Roman" w:hAnsi="Times New Roman" w:cs="Times New Roman"/>
          <w:bCs/>
          <w:sz w:val="24"/>
          <w:szCs w:val="24"/>
        </w:rPr>
      </w:pPr>
      <w:r w:rsidRPr="00497352">
        <w:rPr>
          <w:rFonts w:ascii="Times New Roman" w:hAnsi="Times New Roman" w:cs="Times New Roman"/>
          <w:bCs/>
          <w:sz w:val="24"/>
          <w:szCs w:val="24"/>
        </w:rPr>
        <w:t xml:space="preserve"> </w:t>
      </w:r>
      <w:r w:rsidR="00EE2FAD" w:rsidRPr="00497352">
        <w:rPr>
          <w:rFonts w:ascii="Times New Roman" w:hAnsi="Times New Roman" w:cs="Times New Roman"/>
          <w:bCs/>
          <w:sz w:val="24"/>
          <w:szCs w:val="24"/>
        </w:rPr>
        <w:tab/>
      </w:r>
      <w:r w:rsidR="00EE2FAD" w:rsidRPr="00497352">
        <w:rPr>
          <w:rFonts w:ascii="Times New Roman" w:hAnsi="Times New Roman" w:cs="Times New Roman"/>
          <w:bCs/>
          <w:sz w:val="24"/>
          <w:szCs w:val="24"/>
        </w:rPr>
        <w:tab/>
      </w:r>
      <w:r w:rsidRPr="00497352">
        <w:rPr>
          <w:rFonts w:ascii="Times New Roman" w:hAnsi="Times New Roman" w:cs="Times New Roman"/>
          <w:bCs/>
          <w:sz w:val="24"/>
          <w:szCs w:val="24"/>
        </w:rPr>
        <w:t xml:space="preserve">This should really be the answer to the appellants’ argument in this respect, but for the sake of completeness, there is need to look at the argument from </w:t>
      </w:r>
      <w:proofErr w:type="gramStart"/>
      <w:r w:rsidR="00A96A1D" w:rsidRPr="00497352">
        <w:rPr>
          <w:rFonts w:ascii="Times New Roman" w:hAnsi="Times New Roman" w:cs="Times New Roman"/>
          <w:bCs/>
          <w:sz w:val="24"/>
          <w:szCs w:val="24"/>
        </w:rPr>
        <w:t>a different</w:t>
      </w:r>
      <w:r w:rsidRPr="00497352">
        <w:rPr>
          <w:rFonts w:ascii="Times New Roman" w:hAnsi="Times New Roman" w:cs="Times New Roman"/>
          <w:bCs/>
          <w:sz w:val="24"/>
          <w:szCs w:val="24"/>
        </w:rPr>
        <w:t xml:space="preserve"> perspective</w:t>
      </w:r>
      <w:proofErr w:type="gramEnd"/>
      <w:r w:rsidRPr="00497352">
        <w:rPr>
          <w:rFonts w:ascii="Times New Roman" w:hAnsi="Times New Roman" w:cs="Times New Roman"/>
          <w:bCs/>
          <w:sz w:val="24"/>
          <w:szCs w:val="24"/>
        </w:rPr>
        <w:t xml:space="preserve">. For that </w:t>
      </w:r>
      <w:proofErr w:type="gramStart"/>
      <w:r w:rsidRPr="00497352">
        <w:rPr>
          <w:rFonts w:ascii="Times New Roman" w:hAnsi="Times New Roman" w:cs="Times New Roman"/>
          <w:bCs/>
          <w:sz w:val="24"/>
          <w:szCs w:val="24"/>
        </w:rPr>
        <w:t>purpose</w:t>
      </w:r>
      <w:proofErr w:type="gramEnd"/>
      <w:r w:rsidRPr="00497352">
        <w:rPr>
          <w:rFonts w:ascii="Times New Roman" w:hAnsi="Times New Roman" w:cs="Times New Roman"/>
          <w:bCs/>
          <w:sz w:val="24"/>
          <w:szCs w:val="24"/>
        </w:rPr>
        <w:t xml:space="preserve"> I consider it necessary to determine whether</w:t>
      </w:r>
      <w:r w:rsidR="00614C06" w:rsidRPr="00497352">
        <w:rPr>
          <w:rFonts w:ascii="Times New Roman" w:hAnsi="Times New Roman" w:cs="Times New Roman"/>
          <w:bCs/>
          <w:sz w:val="24"/>
          <w:szCs w:val="24"/>
        </w:rPr>
        <w:t xml:space="preserve"> </w:t>
      </w:r>
      <w:r w:rsidRPr="00497352">
        <w:rPr>
          <w:rFonts w:ascii="Times New Roman" w:hAnsi="Times New Roman" w:cs="Times New Roman"/>
          <w:bCs/>
          <w:sz w:val="24"/>
          <w:szCs w:val="24"/>
        </w:rPr>
        <w:t xml:space="preserve">the </w:t>
      </w:r>
      <w:r w:rsidR="00EE2FAD" w:rsidRPr="00497352">
        <w:rPr>
          <w:rFonts w:ascii="Times New Roman" w:hAnsi="Times New Roman" w:cs="Times New Roman"/>
          <w:bCs/>
          <w:sz w:val="24"/>
          <w:szCs w:val="24"/>
        </w:rPr>
        <w:t>first</w:t>
      </w:r>
      <w:r w:rsidRPr="00497352">
        <w:rPr>
          <w:rFonts w:ascii="Times New Roman" w:hAnsi="Times New Roman" w:cs="Times New Roman"/>
          <w:bCs/>
          <w:sz w:val="24"/>
          <w:szCs w:val="24"/>
        </w:rPr>
        <w:t xml:space="preserve"> appellant being a juris</w:t>
      </w:r>
      <w:r w:rsidR="00431D3C" w:rsidRPr="00497352">
        <w:rPr>
          <w:rFonts w:ascii="Times New Roman" w:hAnsi="Times New Roman" w:cs="Times New Roman"/>
          <w:bCs/>
          <w:sz w:val="24"/>
          <w:szCs w:val="24"/>
        </w:rPr>
        <w:t xml:space="preserve">tic </w:t>
      </w:r>
      <w:r w:rsidR="00431D3C" w:rsidRPr="00497352">
        <w:rPr>
          <w:rFonts w:ascii="Times New Roman" w:hAnsi="Times New Roman" w:cs="Times New Roman"/>
          <w:bCs/>
          <w:sz w:val="24"/>
          <w:szCs w:val="24"/>
        </w:rPr>
        <w:lastRenderedPageBreak/>
        <w:t xml:space="preserve">person is in fact an indigenous </w:t>
      </w:r>
      <w:r w:rsidR="00FF2EB5" w:rsidRPr="00497352">
        <w:rPr>
          <w:rFonts w:ascii="Times New Roman" w:hAnsi="Times New Roman" w:cs="Times New Roman"/>
          <w:bCs/>
          <w:sz w:val="24"/>
          <w:szCs w:val="24"/>
        </w:rPr>
        <w:t xml:space="preserve">black </w:t>
      </w:r>
      <w:r w:rsidR="002F44A4" w:rsidRPr="00497352">
        <w:rPr>
          <w:rFonts w:ascii="Times New Roman" w:hAnsi="Times New Roman" w:cs="Times New Roman"/>
          <w:bCs/>
          <w:sz w:val="24"/>
          <w:szCs w:val="24"/>
        </w:rPr>
        <w:t>person. The 1st appellant’s</w:t>
      </w:r>
      <w:r w:rsidR="00431D3C" w:rsidRPr="00497352">
        <w:rPr>
          <w:rFonts w:ascii="Times New Roman" w:hAnsi="Times New Roman" w:cs="Times New Roman"/>
          <w:bCs/>
          <w:sz w:val="24"/>
          <w:szCs w:val="24"/>
        </w:rPr>
        <w:t xml:space="preserve"> argument is that it is</w:t>
      </w:r>
      <w:r w:rsidR="00FF2EB5" w:rsidRPr="00497352">
        <w:rPr>
          <w:rFonts w:ascii="Times New Roman" w:hAnsi="Times New Roman" w:cs="Times New Roman"/>
          <w:bCs/>
          <w:sz w:val="24"/>
          <w:szCs w:val="24"/>
        </w:rPr>
        <w:t xml:space="preserve"> an</w:t>
      </w:r>
      <w:r w:rsidR="00431D3C" w:rsidRPr="00497352">
        <w:rPr>
          <w:rFonts w:ascii="Times New Roman" w:hAnsi="Times New Roman" w:cs="Times New Roman"/>
          <w:bCs/>
          <w:sz w:val="24"/>
          <w:szCs w:val="24"/>
        </w:rPr>
        <w:t xml:space="preserve"> indigenous black person because its shareholders are black indigenous </w:t>
      </w:r>
      <w:r w:rsidR="00FF2EB5" w:rsidRPr="00497352">
        <w:rPr>
          <w:rFonts w:ascii="Times New Roman" w:hAnsi="Times New Roman" w:cs="Times New Roman"/>
          <w:bCs/>
          <w:sz w:val="24"/>
          <w:szCs w:val="24"/>
        </w:rPr>
        <w:t>natural persons.</w:t>
      </w:r>
    </w:p>
    <w:p w:rsidR="00FF2EB5" w:rsidRPr="00497352" w:rsidRDefault="00FF2EB5" w:rsidP="00670D88">
      <w:pPr>
        <w:autoSpaceDE w:val="0"/>
        <w:autoSpaceDN w:val="0"/>
        <w:adjustRightInd w:val="0"/>
        <w:spacing w:after="0" w:line="480" w:lineRule="auto"/>
        <w:jc w:val="both"/>
        <w:rPr>
          <w:rFonts w:ascii="Times New Roman" w:hAnsi="Times New Roman" w:cs="Times New Roman"/>
          <w:bCs/>
          <w:sz w:val="24"/>
          <w:szCs w:val="24"/>
        </w:rPr>
      </w:pPr>
    </w:p>
    <w:p w:rsidR="00FF2EB5" w:rsidRPr="00497352" w:rsidRDefault="00FF2EB5" w:rsidP="00670D88">
      <w:pPr>
        <w:autoSpaceDE w:val="0"/>
        <w:autoSpaceDN w:val="0"/>
        <w:adjustRightInd w:val="0"/>
        <w:spacing w:after="0" w:line="480" w:lineRule="auto"/>
        <w:ind w:firstLine="1134"/>
        <w:jc w:val="both"/>
        <w:rPr>
          <w:rFonts w:ascii="Times New Roman" w:hAnsi="Times New Roman" w:cs="Times New Roman"/>
          <w:bCs/>
          <w:sz w:val="24"/>
          <w:szCs w:val="24"/>
        </w:rPr>
      </w:pPr>
      <w:r w:rsidRPr="00497352">
        <w:rPr>
          <w:rFonts w:ascii="Times New Roman" w:hAnsi="Times New Roman" w:cs="Times New Roman"/>
          <w:bCs/>
          <w:sz w:val="24"/>
          <w:szCs w:val="24"/>
        </w:rPr>
        <w:t>It is trite and a matter of elementary law that a company is a fictitious</w:t>
      </w:r>
      <w:r w:rsidR="008E4B26" w:rsidRPr="00497352">
        <w:rPr>
          <w:rFonts w:ascii="Times New Roman" w:hAnsi="Times New Roman" w:cs="Times New Roman"/>
          <w:bCs/>
          <w:sz w:val="24"/>
          <w:szCs w:val="24"/>
        </w:rPr>
        <w:t xml:space="preserve"> juristic</w:t>
      </w:r>
      <w:r w:rsidRPr="00497352">
        <w:rPr>
          <w:rFonts w:ascii="Times New Roman" w:hAnsi="Times New Roman" w:cs="Times New Roman"/>
          <w:bCs/>
          <w:sz w:val="24"/>
          <w:szCs w:val="24"/>
        </w:rPr>
        <w:t xml:space="preserve"> legal entity with a separate and distinct legal existence apart from its shareholders. It </w:t>
      </w:r>
      <w:proofErr w:type="gramStart"/>
      <w:r w:rsidRPr="00497352">
        <w:rPr>
          <w:rFonts w:ascii="Times New Roman" w:hAnsi="Times New Roman" w:cs="Times New Roman"/>
          <w:bCs/>
          <w:sz w:val="24"/>
          <w:szCs w:val="24"/>
        </w:rPr>
        <w:t xml:space="preserve">is capable </w:t>
      </w:r>
      <w:r w:rsidR="00A96A1D" w:rsidRPr="00497352">
        <w:rPr>
          <w:rFonts w:ascii="Times New Roman" w:hAnsi="Times New Roman" w:cs="Times New Roman"/>
          <w:bCs/>
          <w:sz w:val="24"/>
          <w:szCs w:val="24"/>
        </w:rPr>
        <w:t xml:space="preserve">of </w:t>
      </w:r>
      <w:r w:rsidRPr="00497352">
        <w:rPr>
          <w:rFonts w:ascii="Times New Roman" w:hAnsi="Times New Roman" w:cs="Times New Roman"/>
          <w:bCs/>
          <w:sz w:val="24"/>
          <w:szCs w:val="24"/>
        </w:rPr>
        <w:t>o</w:t>
      </w:r>
      <w:r w:rsidR="003F1D2E" w:rsidRPr="00497352">
        <w:rPr>
          <w:rFonts w:ascii="Times New Roman" w:hAnsi="Times New Roman" w:cs="Times New Roman"/>
          <w:bCs/>
          <w:sz w:val="24"/>
          <w:szCs w:val="24"/>
        </w:rPr>
        <w:t>wning</w:t>
      </w:r>
      <w:proofErr w:type="gramEnd"/>
      <w:r w:rsidR="003F1D2E" w:rsidRPr="00497352">
        <w:rPr>
          <w:rFonts w:ascii="Times New Roman" w:hAnsi="Times New Roman" w:cs="Times New Roman"/>
          <w:bCs/>
          <w:sz w:val="24"/>
          <w:szCs w:val="24"/>
        </w:rPr>
        <w:t xml:space="preserve"> property in its own right separate from that of its shareholders.</w:t>
      </w:r>
      <w:r w:rsidR="003F0FEE" w:rsidRPr="00497352">
        <w:rPr>
          <w:rFonts w:ascii="Times New Roman" w:hAnsi="Times New Roman" w:cs="Times New Roman"/>
          <w:bCs/>
          <w:sz w:val="24"/>
          <w:szCs w:val="24"/>
        </w:rPr>
        <w:t xml:space="preserve"> It is an established principle of our law that a company’s property is not the property of its members, shareholders or directors</w:t>
      </w:r>
      <w:r w:rsidR="0029671B" w:rsidRPr="00497352">
        <w:rPr>
          <w:rFonts w:ascii="Times New Roman" w:hAnsi="Times New Roman" w:cs="Times New Roman"/>
          <w:bCs/>
          <w:sz w:val="24"/>
          <w:szCs w:val="24"/>
        </w:rPr>
        <w:t>. The principle</w:t>
      </w:r>
      <w:r w:rsidR="00B64A14" w:rsidRPr="00497352">
        <w:rPr>
          <w:rFonts w:ascii="Times New Roman" w:hAnsi="Times New Roman" w:cs="Times New Roman"/>
          <w:bCs/>
          <w:sz w:val="24"/>
          <w:szCs w:val="24"/>
        </w:rPr>
        <w:t xml:space="preserve"> was</w:t>
      </w:r>
      <w:r w:rsidR="0029671B" w:rsidRPr="00497352">
        <w:rPr>
          <w:rFonts w:ascii="Times New Roman" w:hAnsi="Times New Roman" w:cs="Times New Roman"/>
          <w:bCs/>
          <w:sz w:val="24"/>
          <w:szCs w:val="24"/>
        </w:rPr>
        <w:t xml:space="preserve"> laid down</w:t>
      </w:r>
      <w:r w:rsidR="003F0FEE" w:rsidRPr="00497352">
        <w:rPr>
          <w:rFonts w:ascii="Times New Roman" w:hAnsi="Times New Roman" w:cs="Times New Roman"/>
          <w:bCs/>
          <w:sz w:val="24"/>
          <w:szCs w:val="24"/>
        </w:rPr>
        <w:t xml:space="preserve"> in </w:t>
      </w:r>
      <w:r w:rsidR="003F0FEE" w:rsidRPr="00497352">
        <w:rPr>
          <w:rFonts w:ascii="Times New Roman" w:hAnsi="Times New Roman" w:cs="Times New Roman"/>
          <w:bCs/>
          <w:i/>
          <w:sz w:val="24"/>
          <w:szCs w:val="24"/>
        </w:rPr>
        <w:t>S</w:t>
      </w:r>
      <w:r w:rsidR="00EE2FAD" w:rsidRPr="00497352">
        <w:rPr>
          <w:rFonts w:ascii="Times New Roman" w:hAnsi="Times New Roman" w:cs="Times New Roman"/>
          <w:bCs/>
          <w:i/>
          <w:sz w:val="24"/>
          <w:szCs w:val="24"/>
        </w:rPr>
        <w:t>alomon v</w:t>
      </w:r>
      <w:r w:rsidR="003F0FEE" w:rsidRPr="00497352">
        <w:rPr>
          <w:rFonts w:ascii="Times New Roman" w:hAnsi="Times New Roman" w:cs="Times New Roman"/>
          <w:bCs/>
          <w:i/>
          <w:sz w:val="24"/>
          <w:szCs w:val="24"/>
        </w:rPr>
        <w:t xml:space="preserve"> Salomon and Co Ltd</w:t>
      </w:r>
      <w:r w:rsidR="00881A43" w:rsidRPr="00497352">
        <w:rPr>
          <w:rFonts w:ascii="Times New Roman" w:hAnsi="Times New Roman" w:cs="Times New Roman"/>
          <w:bCs/>
          <w:sz w:val="24"/>
          <w:szCs w:val="24"/>
        </w:rPr>
        <w:t xml:space="preserve"> [1897] </w:t>
      </w:r>
      <w:r w:rsidR="0029671B" w:rsidRPr="00497352">
        <w:rPr>
          <w:rFonts w:ascii="Times New Roman" w:hAnsi="Times New Roman" w:cs="Times New Roman"/>
          <w:bCs/>
          <w:sz w:val="24"/>
          <w:szCs w:val="24"/>
        </w:rPr>
        <w:t>AC 22 HL per LORD HALSBURY LC (30) when he said:</w:t>
      </w:r>
    </w:p>
    <w:p w:rsidR="0029671B" w:rsidRPr="00497352" w:rsidRDefault="0029671B" w:rsidP="00E20833">
      <w:pPr>
        <w:autoSpaceDE w:val="0"/>
        <w:autoSpaceDN w:val="0"/>
        <w:adjustRightInd w:val="0"/>
        <w:spacing w:after="0" w:line="240" w:lineRule="auto"/>
        <w:ind w:left="720"/>
        <w:jc w:val="both"/>
        <w:rPr>
          <w:rFonts w:ascii="Times New Roman" w:hAnsi="Times New Roman" w:cs="Times New Roman"/>
          <w:bCs/>
          <w:sz w:val="24"/>
          <w:szCs w:val="24"/>
        </w:rPr>
      </w:pPr>
      <w:r w:rsidRPr="00497352">
        <w:rPr>
          <w:rFonts w:ascii="Times New Roman" w:hAnsi="Times New Roman" w:cs="Times New Roman"/>
          <w:bCs/>
          <w:sz w:val="24"/>
          <w:szCs w:val="24"/>
        </w:rPr>
        <w:t>“It seems to me impossible to dispute that once a company is legally incorporated it must be treated like any other independent person with its rights and liabilities appropriate to itself, and that the motives of those who took part in the promotion of the company are absolutely irrelevant in discussing what those rights and liabilities are.”</w:t>
      </w:r>
    </w:p>
    <w:p w:rsidR="0029671B" w:rsidRDefault="0029671B" w:rsidP="00670D88">
      <w:pPr>
        <w:autoSpaceDE w:val="0"/>
        <w:autoSpaceDN w:val="0"/>
        <w:adjustRightInd w:val="0"/>
        <w:spacing w:after="0" w:line="480" w:lineRule="auto"/>
        <w:jc w:val="both"/>
        <w:rPr>
          <w:rFonts w:ascii="Times New Roman" w:hAnsi="Times New Roman" w:cs="Times New Roman"/>
          <w:bCs/>
          <w:sz w:val="24"/>
          <w:szCs w:val="24"/>
        </w:rPr>
      </w:pPr>
    </w:p>
    <w:p w:rsidR="003771B5" w:rsidRPr="00497352" w:rsidRDefault="003771B5" w:rsidP="003771B5">
      <w:pPr>
        <w:autoSpaceDE w:val="0"/>
        <w:autoSpaceDN w:val="0"/>
        <w:adjustRightInd w:val="0"/>
        <w:spacing w:after="0" w:line="240" w:lineRule="auto"/>
        <w:jc w:val="both"/>
        <w:rPr>
          <w:rFonts w:ascii="Times New Roman" w:hAnsi="Times New Roman" w:cs="Times New Roman"/>
          <w:bCs/>
          <w:sz w:val="24"/>
          <w:szCs w:val="24"/>
        </w:rPr>
      </w:pPr>
    </w:p>
    <w:p w:rsidR="00DC32A2" w:rsidRPr="00497352" w:rsidRDefault="00A641EA" w:rsidP="00670D88">
      <w:pPr>
        <w:autoSpaceDE w:val="0"/>
        <w:autoSpaceDN w:val="0"/>
        <w:adjustRightInd w:val="0"/>
        <w:spacing w:after="0" w:line="480" w:lineRule="auto"/>
        <w:ind w:firstLine="1134"/>
        <w:jc w:val="both"/>
        <w:rPr>
          <w:rFonts w:ascii="Times New Roman" w:hAnsi="Times New Roman" w:cs="Times New Roman"/>
          <w:bCs/>
          <w:sz w:val="24"/>
          <w:szCs w:val="24"/>
        </w:rPr>
      </w:pPr>
      <w:r w:rsidRPr="00497352">
        <w:rPr>
          <w:rFonts w:ascii="Times New Roman" w:hAnsi="Times New Roman" w:cs="Times New Roman"/>
          <w:bCs/>
          <w:sz w:val="24"/>
          <w:szCs w:val="24"/>
        </w:rPr>
        <w:t xml:space="preserve">From the above exposition of the law it follows that the </w:t>
      </w:r>
      <w:r w:rsidR="00EE2FAD" w:rsidRPr="00497352">
        <w:rPr>
          <w:rFonts w:ascii="Times New Roman" w:hAnsi="Times New Roman" w:cs="Times New Roman"/>
          <w:bCs/>
          <w:sz w:val="24"/>
          <w:szCs w:val="24"/>
        </w:rPr>
        <w:t>first a</w:t>
      </w:r>
      <w:r w:rsidRPr="00497352">
        <w:rPr>
          <w:rFonts w:ascii="Times New Roman" w:hAnsi="Times New Roman" w:cs="Times New Roman"/>
          <w:bCs/>
          <w:sz w:val="24"/>
          <w:szCs w:val="24"/>
        </w:rPr>
        <w:t xml:space="preserve">ppellant TBIC Investments (Pvt) Ltd is a separate legal entity from its owners, shareholders and directors. </w:t>
      </w:r>
    </w:p>
    <w:p w:rsidR="00DC32A2" w:rsidRPr="00497352" w:rsidRDefault="00DC32A2" w:rsidP="00670D88">
      <w:pPr>
        <w:autoSpaceDE w:val="0"/>
        <w:autoSpaceDN w:val="0"/>
        <w:adjustRightInd w:val="0"/>
        <w:spacing w:after="0" w:line="480" w:lineRule="auto"/>
        <w:jc w:val="both"/>
        <w:rPr>
          <w:rFonts w:ascii="Times New Roman" w:hAnsi="Times New Roman" w:cs="Times New Roman"/>
          <w:bCs/>
          <w:sz w:val="24"/>
          <w:szCs w:val="24"/>
        </w:rPr>
      </w:pPr>
    </w:p>
    <w:p w:rsidR="0029671B" w:rsidRPr="00497352" w:rsidRDefault="00A641EA" w:rsidP="00670D88">
      <w:pPr>
        <w:autoSpaceDE w:val="0"/>
        <w:autoSpaceDN w:val="0"/>
        <w:adjustRightInd w:val="0"/>
        <w:spacing w:after="0" w:line="480" w:lineRule="auto"/>
        <w:ind w:firstLine="1134"/>
        <w:jc w:val="both"/>
        <w:rPr>
          <w:rFonts w:ascii="Times New Roman" w:hAnsi="Times New Roman" w:cs="Times New Roman"/>
          <w:bCs/>
          <w:sz w:val="24"/>
          <w:szCs w:val="24"/>
        </w:rPr>
      </w:pPr>
      <w:r w:rsidRPr="00497352">
        <w:rPr>
          <w:rFonts w:ascii="Times New Roman" w:hAnsi="Times New Roman" w:cs="Times New Roman"/>
          <w:bCs/>
          <w:sz w:val="24"/>
          <w:szCs w:val="24"/>
        </w:rPr>
        <w:t xml:space="preserve">The question to be addressed </w:t>
      </w:r>
      <w:r w:rsidR="00DC32A2" w:rsidRPr="00497352">
        <w:rPr>
          <w:rFonts w:ascii="Times New Roman" w:hAnsi="Times New Roman" w:cs="Times New Roman"/>
          <w:bCs/>
          <w:sz w:val="24"/>
          <w:szCs w:val="24"/>
        </w:rPr>
        <w:t xml:space="preserve">in the circumstances </w:t>
      </w:r>
      <w:r w:rsidRPr="00497352">
        <w:rPr>
          <w:rFonts w:ascii="Times New Roman" w:hAnsi="Times New Roman" w:cs="Times New Roman"/>
          <w:bCs/>
          <w:sz w:val="24"/>
          <w:szCs w:val="24"/>
        </w:rPr>
        <w:t>is whether a registered company can be classified as being of black or white race.</w:t>
      </w:r>
      <w:r w:rsidR="00DC32A2" w:rsidRPr="00497352">
        <w:rPr>
          <w:rFonts w:ascii="Times New Roman" w:hAnsi="Times New Roman" w:cs="Times New Roman"/>
          <w:bCs/>
          <w:sz w:val="24"/>
          <w:szCs w:val="24"/>
        </w:rPr>
        <w:t xml:space="preserve"> In addressing that </w:t>
      </w:r>
      <w:proofErr w:type="gramStart"/>
      <w:r w:rsidR="00DC32A2" w:rsidRPr="00497352">
        <w:rPr>
          <w:rFonts w:ascii="Times New Roman" w:hAnsi="Times New Roman" w:cs="Times New Roman"/>
          <w:bCs/>
          <w:sz w:val="24"/>
          <w:szCs w:val="24"/>
        </w:rPr>
        <w:t>question</w:t>
      </w:r>
      <w:proofErr w:type="gramEnd"/>
      <w:r w:rsidR="00DC32A2" w:rsidRPr="00497352">
        <w:rPr>
          <w:rFonts w:ascii="Times New Roman" w:hAnsi="Times New Roman" w:cs="Times New Roman"/>
          <w:bCs/>
          <w:sz w:val="24"/>
          <w:szCs w:val="24"/>
        </w:rPr>
        <w:t xml:space="preserve"> it is important to note that a company has no real physical existence but </w:t>
      </w:r>
      <w:r w:rsidR="00CC77ED" w:rsidRPr="00497352">
        <w:rPr>
          <w:rFonts w:ascii="Times New Roman" w:hAnsi="Times New Roman" w:cs="Times New Roman"/>
          <w:bCs/>
          <w:sz w:val="24"/>
          <w:szCs w:val="24"/>
        </w:rPr>
        <w:t xml:space="preserve">it </w:t>
      </w:r>
      <w:r w:rsidR="00DC32A2" w:rsidRPr="00497352">
        <w:rPr>
          <w:rFonts w:ascii="Times New Roman" w:hAnsi="Times New Roman" w:cs="Times New Roman"/>
          <w:bCs/>
          <w:sz w:val="24"/>
          <w:szCs w:val="24"/>
        </w:rPr>
        <w:t>is merely an abstract fictitious legal entity. It has no physical existence</w:t>
      </w:r>
      <w:r w:rsidR="00B538FD" w:rsidRPr="00497352">
        <w:rPr>
          <w:rFonts w:ascii="Times New Roman" w:hAnsi="Times New Roman" w:cs="Times New Roman"/>
          <w:bCs/>
          <w:sz w:val="24"/>
          <w:szCs w:val="24"/>
        </w:rPr>
        <w:t>,</w:t>
      </w:r>
      <w:r w:rsidR="00DC32A2" w:rsidRPr="00497352">
        <w:rPr>
          <w:rFonts w:ascii="Times New Roman" w:hAnsi="Times New Roman" w:cs="Times New Roman"/>
          <w:bCs/>
          <w:sz w:val="24"/>
          <w:szCs w:val="24"/>
        </w:rPr>
        <w:t xml:space="preserve"> colour</w:t>
      </w:r>
      <w:r w:rsidR="00E30EA7" w:rsidRPr="00497352">
        <w:rPr>
          <w:rFonts w:ascii="Times New Roman" w:hAnsi="Times New Roman" w:cs="Times New Roman"/>
          <w:bCs/>
          <w:sz w:val="24"/>
          <w:szCs w:val="24"/>
        </w:rPr>
        <w:t>,</w:t>
      </w:r>
      <w:r w:rsidR="00265327" w:rsidRPr="00497352">
        <w:rPr>
          <w:rFonts w:ascii="Times New Roman" w:hAnsi="Times New Roman" w:cs="Times New Roman"/>
          <w:bCs/>
          <w:sz w:val="24"/>
          <w:szCs w:val="24"/>
        </w:rPr>
        <w:t xml:space="preserve"> flesh or</w:t>
      </w:r>
      <w:r w:rsidR="00DC32A2" w:rsidRPr="00497352">
        <w:rPr>
          <w:rFonts w:ascii="Times New Roman" w:hAnsi="Times New Roman" w:cs="Times New Roman"/>
          <w:bCs/>
          <w:sz w:val="24"/>
          <w:szCs w:val="24"/>
        </w:rPr>
        <w:t xml:space="preserve"> blood.</w:t>
      </w:r>
      <w:r w:rsidR="007B40D7" w:rsidRPr="00497352">
        <w:rPr>
          <w:rFonts w:ascii="Times New Roman" w:hAnsi="Times New Roman" w:cs="Times New Roman"/>
          <w:bCs/>
          <w:sz w:val="24"/>
          <w:szCs w:val="24"/>
        </w:rPr>
        <w:t xml:space="preserve"> In </w:t>
      </w:r>
      <w:proofErr w:type="spellStart"/>
      <w:r w:rsidR="007B40D7" w:rsidRPr="00497352">
        <w:rPr>
          <w:rFonts w:ascii="Times New Roman" w:hAnsi="Times New Roman" w:cs="Times New Roman"/>
          <w:bCs/>
          <w:i/>
          <w:sz w:val="24"/>
          <w:szCs w:val="24"/>
        </w:rPr>
        <w:t>Dadoo</w:t>
      </w:r>
      <w:proofErr w:type="spellEnd"/>
      <w:r w:rsidR="007B40D7" w:rsidRPr="00497352">
        <w:rPr>
          <w:rFonts w:ascii="Times New Roman" w:hAnsi="Times New Roman" w:cs="Times New Roman"/>
          <w:bCs/>
          <w:i/>
          <w:sz w:val="24"/>
          <w:szCs w:val="24"/>
        </w:rPr>
        <w:t xml:space="preserve"> Ltd and Others v</w:t>
      </w:r>
      <w:r w:rsidR="00E30EA7" w:rsidRPr="00497352">
        <w:rPr>
          <w:rFonts w:ascii="Times New Roman" w:hAnsi="Times New Roman" w:cs="Times New Roman"/>
          <w:bCs/>
          <w:i/>
          <w:sz w:val="24"/>
          <w:szCs w:val="24"/>
        </w:rPr>
        <w:t xml:space="preserve"> Krugersdorp </w:t>
      </w:r>
      <w:r w:rsidR="00E30EA7" w:rsidRPr="00497352">
        <w:rPr>
          <w:rFonts w:ascii="Times New Roman" w:hAnsi="Times New Roman" w:cs="Times New Roman"/>
          <w:bCs/>
          <w:sz w:val="24"/>
          <w:szCs w:val="24"/>
        </w:rPr>
        <w:t>1920 AD 530 at 552 the Court held that:</w:t>
      </w:r>
    </w:p>
    <w:p w:rsidR="00E30EA7" w:rsidRPr="00497352" w:rsidRDefault="00E30EA7" w:rsidP="00E20833">
      <w:pPr>
        <w:autoSpaceDE w:val="0"/>
        <w:autoSpaceDN w:val="0"/>
        <w:adjustRightInd w:val="0"/>
        <w:spacing w:after="0" w:line="240" w:lineRule="auto"/>
        <w:ind w:left="720"/>
        <w:jc w:val="both"/>
        <w:rPr>
          <w:rFonts w:ascii="Times New Roman" w:hAnsi="Times New Roman" w:cs="Times New Roman"/>
          <w:bCs/>
          <w:sz w:val="24"/>
          <w:szCs w:val="24"/>
        </w:rPr>
      </w:pPr>
      <w:r w:rsidRPr="00497352">
        <w:rPr>
          <w:rFonts w:ascii="Times New Roman" w:hAnsi="Times New Roman" w:cs="Times New Roman"/>
          <w:bCs/>
          <w:sz w:val="24"/>
          <w:szCs w:val="24"/>
        </w:rPr>
        <w:t>“A company cannot have an enemy character. In the words of BUCKLEY L</w:t>
      </w:r>
      <w:r w:rsidR="00A323C4" w:rsidRPr="00497352">
        <w:rPr>
          <w:rFonts w:ascii="Times New Roman" w:hAnsi="Times New Roman" w:cs="Times New Roman"/>
          <w:bCs/>
          <w:sz w:val="24"/>
          <w:szCs w:val="24"/>
        </w:rPr>
        <w:t xml:space="preserve">. J, it has neither body parts nor </w:t>
      </w:r>
      <w:r w:rsidR="004D4DBB" w:rsidRPr="00497352">
        <w:rPr>
          <w:rFonts w:ascii="Times New Roman" w:hAnsi="Times New Roman" w:cs="Times New Roman"/>
          <w:bCs/>
          <w:sz w:val="24"/>
          <w:szCs w:val="24"/>
        </w:rPr>
        <w:t>passions;</w:t>
      </w:r>
      <w:r w:rsidR="00A323C4" w:rsidRPr="00497352">
        <w:rPr>
          <w:rFonts w:ascii="Times New Roman" w:hAnsi="Times New Roman" w:cs="Times New Roman"/>
          <w:bCs/>
          <w:sz w:val="24"/>
          <w:szCs w:val="24"/>
        </w:rPr>
        <w:t xml:space="preserve"> it cannot be loyal or disloyal.”</w:t>
      </w:r>
    </w:p>
    <w:p w:rsidR="00F415A0" w:rsidRPr="00497352" w:rsidRDefault="00F415A0" w:rsidP="00670D88">
      <w:pPr>
        <w:pStyle w:val="ListParagraph"/>
        <w:autoSpaceDE w:val="0"/>
        <w:autoSpaceDN w:val="0"/>
        <w:adjustRightInd w:val="0"/>
        <w:spacing w:after="0" w:line="480" w:lineRule="auto"/>
        <w:jc w:val="both"/>
        <w:rPr>
          <w:rFonts w:ascii="Times New Roman" w:hAnsi="Times New Roman" w:cs="Times New Roman"/>
          <w:bCs/>
          <w:i/>
          <w:sz w:val="24"/>
          <w:szCs w:val="24"/>
        </w:rPr>
      </w:pPr>
    </w:p>
    <w:p w:rsidR="00E20833" w:rsidRPr="00497352" w:rsidRDefault="00E20833" w:rsidP="00E20833">
      <w:pPr>
        <w:pStyle w:val="ListParagraph"/>
        <w:autoSpaceDE w:val="0"/>
        <w:autoSpaceDN w:val="0"/>
        <w:adjustRightInd w:val="0"/>
        <w:spacing w:after="0" w:line="240" w:lineRule="auto"/>
        <w:jc w:val="both"/>
        <w:rPr>
          <w:rFonts w:ascii="Times New Roman" w:hAnsi="Times New Roman" w:cs="Times New Roman"/>
          <w:bCs/>
          <w:i/>
          <w:sz w:val="24"/>
          <w:szCs w:val="24"/>
        </w:rPr>
      </w:pPr>
    </w:p>
    <w:p w:rsidR="00F415A0" w:rsidRPr="00497352" w:rsidRDefault="00C4372B" w:rsidP="00670D88">
      <w:pPr>
        <w:spacing w:after="0" w:line="480" w:lineRule="auto"/>
        <w:ind w:firstLine="1134"/>
        <w:jc w:val="both"/>
        <w:rPr>
          <w:rFonts w:ascii="Times New Roman" w:hAnsi="Times New Roman" w:cs="Times New Roman"/>
          <w:sz w:val="24"/>
          <w:szCs w:val="24"/>
        </w:rPr>
      </w:pPr>
      <w:r w:rsidRPr="00497352">
        <w:rPr>
          <w:rFonts w:ascii="Times New Roman" w:hAnsi="Times New Roman" w:cs="Times New Roman"/>
          <w:sz w:val="24"/>
          <w:szCs w:val="24"/>
        </w:rPr>
        <w:t>From the authorit</w:t>
      </w:r>
      <w:r w:rsidR="00F03588" w:rsidRPr="00497352">
        <w:rPr>
          <w:rFonts w:ascii="Times New Roman" w:hAnsi="Times New Roman" w:cs="Times New Roman"/>
          <w:sz w:val="24"/>
          <w:szCs w:val="24"/>
        </w:rPr>
        <w:t xml:space="preserve">ies and pure common sense, it </w:t>
      </w:r>
      <w:r w:rsidRPr="00497352">
        <w:rPr>
          <w:rFonts w:ascii="Times New Roman" w:hAnsi="Times New Roman" w:cs="Times New Roman"/>
          <w:sz w:val="24"/>
          <w:szCs w:val="24"/>
        </w:rPr>
        <w:t xml:space="preserve">follows that a company has no colour or race. It does not adopt the colour or race of its </w:t>
      </w:r>
      <w:r w:rsidR="00F03588" w:rsidRPr="00497352">
        <w:rPr>
          <w:rFonts w:ascii="Times New Roman" w:hAnsi="Times New Roman" w:cs="Times New Roman"/>
          <w:sz w:val="24"/>
          <w:szCs w:val="24"/>
        </w:rPr>
        <w:t xml:space="preserve">owners, </w:t>
      </w:r>
      <w:r w:rsidRPr="00497352">
        <w:rPr>
          <w:rFonts w:ascii="Times New Roman" w:hAnsi="Times New Roman" w:cs="Times New Roman"/>
          <w:sz w:val="24"/>
          <w:szCs w:val="24"/>
        </w:rPr>
        <w:t>shareholders</w:t>
      </w:r>
      <w:r w:rsidR="00F03588" w:rsidRPr="00497352">
        <w:rPr>
          <w:rFonts w:ascii="Times New Roman" w:hAnsi="Times New Roman" w:cs="Times New Roman"/>
          <w:sz w:val="24"/>
          <w:szCs w:val="24"/>
        </w:rPr>
        <w:t xml:space="preserve"> or directors. The </w:t>
      </w:r>
      <w:r w:rsidR="00F03588" w:rsidRPr="00497352">
        <w:rPr>
          <w:rFonts w:ascii="Times New Roman" w:hAnsi="Times New Roman" w:cs="Times New Roman"/>
          <w:sz w:val="24"/>
          <w:szCs w:val="24"/>
        </w:rPr>
        <w:lastRenderedPageBreak/>
        <w:t xml:space="preserve">argument by the </w:t>
      </w:r>
      <w:r w:rsidR="00EE2FAD" w:rsidRPr="00497352">
        <w:rPr>
          <w:rFonts w:ascii="Times New Roman" w:hAnsi="Times New Roman" w:cs="Times New Roman"/>
          <w:sz w:val="24"/>
          <w:szCs w:val="24"/>
        </w:rPr>
        <w:t>first</w:t>
      </w:r>
      <w:r w:rsidR="00F03588" w:rsidRPr="00497352">
        <w:rPr>
          <w:rFonts w:ascii="Times New Roman" w:hAnsi="Times New Roman" w:cs="Times New Roman"/>
          <w:sz w:val="24"/>
          <w:szCs w:val="24"/>
        </w:rPr>
        <w:t xml:space="preserve"> appellant TBIC Investments (Pvt) Ltd that it is a black indigenous </w:t>
      </w:r>
      <w:r w:rsidR="00E152EC" w:rsidRPr="00497352">
        <w:rPr>
          <w:rFonts w:ascii="Times New Roman" w:hAnsi="Times New Roman" w:cs="Times New Roman"/>
          <w:sz w:val="24"/>
          <w:szCs w:val="24"/>
        </w:rPr>
        <w:t>p</w:t>
      </w:r>
      <w:r w:rsidR="00F03588" w:rsidRPr="00497352">
        <w:rPr>
          <w:rFonts w:ascii="Times New Roman" w:hAnsi="Times New Roman" w:cs="Times New Roman"/>
          <w:sz w:val="24"/>
          <w:szCs w:val="24"/>
        </w:rPr>
        <w:t xml:space="preserve">erson is therefore seriously flawed.  Government policy relating to indigenous persons only relates to natural persons and not companies. </w:t>
      </w:r>
      <w:r w:rsidR="00357D44" w:rsidRPr="00497352">
        <w:rPr>
          <w:rFonts w:ascii="Times New Roman" w:hAnsi="Times New Roman" w:cs="Times New Roman"/>
          <w:sz w:val="24"/>
          <w:szCs w:val="24"/>
        </w:rPr>
        <w:t xml:space="preserve">No government policy is violated when government acquires land from a company for resettlement purposes. The court </w:t>
      </w:r>
      <w:r w:rsidR="00357D44" w:rsidRPr="00497352">
        <w:rPr>
          <w:rFonts w:ascii="Times New Roman" w:hAnsi="Times New Roman" w:cs="Times New Roman"/>
          <w:i/>
          <w:sz w:val="24"/>
          <w:szCs w:val="24"/>
        </w:rPr>
        <w:t>a quo</w:t>
      </w:r>
      <w:r w:rsidR="00357D44" w:rsidRPr="00497352">
        <w:rPr>
          <w:rFonts w:ascii="Times New Roman" w:hAnsi="Times New Roman" w:cs="Times New Roman"/>
          <w:sz w:val="24"/>
          <w:szCs w:val="24"/>
        </w:rPr>
        <w:t xml:space="preserve">’s determination that the </w:t>
      </w:r>
      <w:r w:rsidR="00EE2FAD" w:rsidRPr="00497352">
        <w:rPr>
          <w:rFonts w:ascii="Times New Roman" w:hAnsi="Times New Roman" w:cs="Times New Roman"/>
          <w:sz w:val="24"/>
          <w:szCs w:val="24"/>
        </w:rPr>
        <w:t>first</w:t>
      </w:r>
      <w:r w:rsidR="00357D44" w:rsidRPr="00497352">
        <w:rPr>
          <w:rFonts w:ascii="Times New Roman" w:hAnsi="Times New Roman" w:cs="Times New Roman"/>
          <w:sz w:val="24"/>
          <w:szCs w:val="24"/>
        </w:rPr>
        <w:t xml:space="preserve"> </w:t>
      </w:r>
      <w:r w:rsidR="00213AD7">
        <w:rPr>
          <w:rFonts w:ascii="Times New Roman" w:hAnsi="Times New Roman" w:cs="Times New Roman"/>
          <w:sz w:val="24"/>
          <w:szCs w:val="24"/>
        </w:rPr>
        <w:t>appellant</w:t>
      </w:r>
      <w:r w:rsidR="00357D44" w:rsidRPr="00497352">
        <w:rPr>
          <w:rFonts w:ascii="Times New Roman" w:hAnsi="Times New Roman" w:cs="Times New Roman"/>
          <w:sz w:val="24"/>
          <w:szCs w:val="24"/>
        </w:rPr>
        <w:t xml:space="preserve"> could lawfully be removed from the land to pave way for the </w:t>
      </w:r>
      <w:r w:rsidR="00EE2FAD" w:rsidRPr="00497352">
        <w:rPr>
          <w:rFonts w:ascii="Times New Roman" w:hAnsi="Times New Roman" w:cs="Times New Roman"/>
          <w:sz w:val="24"/>
          <w:szCs w:val="24"/>
        </w:rPr>
        <w:t>first</w:t>
      </w:r>
      <w:r w:rsidR="00357D44" w:rsidRPr="00497352">
        <w:rPr>
          <w:rFonts w:ascii="Times New Roman" w:hAnsi="Times New Roman" w:cs="Times New Roman"/>
          <w:sz w:val="24"/>
          <w:szCs w:val="24"/>
        </w:rPr>
        <w:t xml:space="preserve"> respondent cannot be faulted.</w:t>
      </w:r>
    </w:p>
    <w:p w:rsidR="005D6FAD" w:rsidRPr="00497352" w:rsidRDefault="005D6FAD" w:rsidP="00670D88">
      <w:pPr>
        <w:spacing w:after="0" w:line="480" w:lineRule="auto"/>
        <w:jc w:val="both"/>
        <w:rPr>
          <w:rFonts w:ascii="Times New Roman" w:hAnsi="Times New Roman" w:cs="Times New Roman"/>
          <w:sz w:val="24"/>
          <w:szCs w:val="24"/>
        </w:rPr>
      </w:pPr>
    </w:p>
    <w:p w:rsidR="00E152EC" w:rsidRPr="00497352" w:rsidRDefault="00E152EC" w:rsidP="00670D88">
      <w:pPr>
        <w:spacing w:after="0" w:line="480" w:lineRule="auto"/>
        <w:ind w:firstLine="1134"/>
        <w:jc w:val="both"/>
        <w:rPr>
          <w:rFonts w:ascii="Times New Roman" w:hAnsi="Times New Roman" w:cs="Times New Roman"/>
          <w:sz w:val="24"/>
          <w:szCs w:val="24"/>
        </w:rPr>
      </w:pPr>
      <w:r w:rsidRPr="00497352">
        <w:rPr>
          <w:rFonts w:ascii="Times New Roman" w:hAnsi="Times New Roman" w:cs="Times New Roman"/>
          <w:sz w:val="24"/>
          <w:szCs w:val="24"/>
        </w:rPr>
        <w:t xml:space="preserve">I now turn to consider whether the </w:t>
      </w:r>
      <w:r w:rsidR="00EE2FAD" w:rsidRPr="00497352">
        <w:rPr>
          <w:rFonts w:ascii="Times New Roman" w:hAnsi="Times New Roman" w:cs="Times New Roman"/>
          <w:sz w:val="24"/>
          <w:szCs w:val="24"/>
        </w:rPr>
        <w:t>first</w:t>
      </w:r>
      <w:r w:rsidRPr="00497352">
        <w:rPr>
          <w:rFonts w:ascii="Times New Roman" w:hAnsi="Times New Roman" w:cs="Times New Roman"/>
          <w:sz w:val="24"/>
          <w:szCs w:val="24"/>
        </w:rPr>
        <w:t xml:space="preserve"> respondent’s claim can be defeated </w:t>
      </w:r>
      <w:proofErr w:type="gramStart"/>
      <w:r w:rsidRPr="00497352">
        <w:rPr>
          <w:rFonts w:ascii="Times New Roman" w:hAnsi="Times New Roman" w:cs="Times New Roman"/>
          <w:sz w:val="24"/>
          <w:szCs w:val="24"/>
        </w:rPr>
        <w:t>by virtue of</w:t>
      </w:r>
      <w:proofErr w:type="gramEnd"/>
      <w:r w:rsidRPr="00497352">
        <w:rPr>
          <w:rFonts w:ascii="Times New Roman" w:hAnsi="Times New Roman" w:cs="Times New Roman"/>
          <w:sz w:val="24"/>
          <w:szCs w:val="24"/>
        </w:rPr>
        <w:t xml:space="preserve"> the alleged change of land use. The </w:t>
      </w:r>
      <w:r w:rsidR="00EE2FAD" w:rsidRPr="00497352">
        <w:rPr>
          <w:rFonts w:ascii="Times New Roman" w:hAnsi="Times New Roman" w:cs="Times New Roman"/>
          <w:sz w:val="24"/>
          <w:szCs w:val="24"/>
        </w:rPr>
        <w:t>first</w:t>
      </w:r>
      <w:r w:rsidRPr="00497352">
        <w:rPr>
          <w:rFonts w:ascii="Times New Roman" w:hAnsi="Times New Roman" w:cs="Times New Roman"/>
          <w:sz w:val="24"/>
          <w:szCs w:val="24"/>
        </w:rPr>
        <w:t xml:space="preserve"> appellant fi</w:t>
      </w:r>
      <w:r w:rsidR="00E20833" w:rsidRPr="00497352">
        <w:rPr>
          <w:rFonts w:ascii="Times New Roman" w:hAnsi="Times New Roman" w:cs="Times New Roman"/>
          <w:sz w:val="24"/>
          <w:szCs w:val="24"/>
        </w:rPr>
        <w:t>led its opposing affidavit on 8 </w:t>
      </w:r>
      <w:r w:rsidRPr="00497352">
        <w:rPr>
          <w:rFonts w:ascii="Times New Roman" w:hAnsi="Times New Roman" w:cs="Times New Roman"/>
          <w:sz w:val="24"/>
          <w:szCs w:val="24"/>
        </w:rPr>
        <w:t xml:space="preserve">February 2011. The opposing affidavit was deposed to by its director Killian </w:t>
      </w:r>
      <w:proofErr w:type="spellStart"/>
      <w:r w:rsidRPr="00497352">
        <w:rPr>
          <w:rFonts w:ascii="Times New Roman" w:hAnsi="Times New Roman" w:cs="Times New Roman"/>
          <w:sz w:val="24"/>
          <w:szCs w:val="24"/>
        </w:rPr>
        <w:t>Kapaso</w:t>
      </w:r>
      <w:proofErr w:type="spellEnd"/>
      <w:r w:rsidRPr="00497352">
        <w:rPr>
          <w:rFonts w:ascii="Times New Roman" w:hAnsi="Times New Roman" w:cs="Times New Roman"/>
          <w:sz w:val="24"/>
          <w:szCs w:val="24"/>
        </w:rPr>
        <w:t xml:space="preserve"> duly authorised thereto by resolution of the company directors. Nowhere in that affidavit did the appellant raise the issue of change of land use as a defence to the </w:t>
      </w:r>
      <w:r w:rsidR="00EE2FAD" w:rsidRPr="00497352">
        <w:rPr>
          <w:rFonts w:ascii="Times New Roman" w:hAnsi="Times New Roman" w:cs="Times New Roman"/>
          <w:sz w:val="24"/>
          <w:szCs w:val="24"/>
        </w:rPr>
        <w:t>first</w:t>
      </w:r>
      <w:r w:rsidRPr="00497352">
        <w:rPr>
          <w:rFonts w:ascii="Times New Roman" w:hAnsi="Times New Roman" w:cs="Times New Roman"/>
          <w:sz w:val="24"/>
          <w:szCs w:val="24"/>
        </w:rPr>
        <w:t xml:space="preserve"> respondent’s claim. </w:t>
      </w:r>
    </w:p>
    <w:p w:rsidR="00E20833" w:rsidRPr="00497352" w:rsidRDefault="00E20833" w:rsidP="00670D88">
      <w:pPr>
        <w:spacing w:after="0" w:line="480" w:lineRule="auto"/>
        <w:ind w:firstLine="1134"/>
        <w:jc w:val="both"/>
        <w:rPr>
          <w:rFonts w:ascii="Times New Roman" w:hAnsi="Times New Roman" w:cs="Times New Roman"/>
          <w:sz w:val="24"/>
          <w:szCs w:val="24"/>
        </w:rPr>
      </w:pPr>
    </w:p>
    <w:p w:rsidR="00E152EC" w:rsidRPr="00497352" w:rsidRDefault="00E152EC" w:rsidP="00670D88">
      <w:pPr>
        <w:spacing w:after="0" w:line="480" w:lineRule="auto"/>
        <w:ind w:firstLine="1134"/>
        <w:jc w:val="both"/>
        <w:rPr>
          <w:rFonts w:ascii="Times New Roman" w:hAnsi="Times New Roman" w:cs="Times New Roman"/>
          <w:sz w:val="24"/>
          <w:szCs w:val="24"/>
        </w:rPr>
      </w:pPr>
      <w:r w:rsidRPr="00497352">
        <w:rPr>
          <w:rFonts w:ascii="Times New Roman" w:hAnsi="Times New Roman" w:cs="Times New Roman"/>
          <w:sz w:val="24"/>
          <w:szCs w:val="24"/>
        </w:rPr>
        <w:t xml:space="preserve">The </w:t>
      </w:r>
      <w:r w:rsidR="00EE2FAD" w:rsidRPr="00497352">
        <w:rPr>
          <w:rFonts w:ascii="Times New Roman" w:hAnsi="Times New Roman" w:cs="Times New Roman"/>
          <w:sz w:val="24"/>
          <w:szCs w:val="24"/>
        </w:rPr>
        <w:t>first</w:t>
      </w:r>
      <w:r w:rsidRPr="00497352">
        <w:rPr>
          <w:rFonts w:ascii="Times New Roman" w:hAnsi="Times New Roman" w:cs="Times New Roman"/>
          <w:sz w:val="24"/>
          <w:szCs w:val="24"/>
        </w:rPr>
        <w:t xml:space="preserve"> appellant only raised the issue of change of land use more than two years later in an affidavit deposed to by the same company director Killian </w:t>
      </w:r>
      <w:proofErr w:type="spellStart"/>
      <w:r w:rsidRPr="00497352">
        <w:rPr>
          <w:rFonts w:ascii="Times New Roman" w:hAnsi="Times New Roman" w:cs="Times New Roman"/>
          <w:sz w:val="24"/>
          <w:szCs w:val="24"/>
        </w:rPr>
        <w:t>Kapaso</w:t>
      </w:r>
      <w:proofErr w:type="spellEnd"/>
      <w:r w:rsidRPr="00497352">
        <w:rPr>
          <w:rFonts w:ascii="Times New Roman" w:hAnsi="Times New Roman" w:cs="Times New Roman"/>
          <w:sz w:val="24"/>
          <w:szCs w:val="24"/>
        </w:rPr>
        <w:t xml:space="preserve"> who had deposed to the original opposing affidavit two years earlier. </w:t>
      </w:r>
    </w:p>
    <w:p w:rsidR="00E20833" w:rsidRPr="00497352" w:rsidRDefault="00E20833" w:rsidP="00670D88">
      <w:pPr>
        <w:spacing w:after="0" w:line="480" w:lineRule="auto"/>
        <w:ind w:firstLine="1134"/>
        <w:jc w:val="both"/>
        <w:rPr>
          <w:rFonts w:ascii="Times New Roman" w:hAnsi="Times New Roman" w:cs="Times New Roman"/>
          <w:sz w:val="24"/>
          <w:szCs w:val="24"/>
        </w:rPr>
      </w:pPr>
    </w:p>
    <w:p w:rsidR="00E20833" w:rsidRPr="00497352" w:rsidRDefault="00E152EC" w:rsidP="00670D88">
      <w:pPr>
        <w:spacing w:after="0" w:line="480" w:lineRule="auto"/>
        <w:ind w:firstLine="1134"/>
        <w:jc w:val="both"/>
        <w:rPr>
          <w:rFonts w:ascii="Times New Roman" w:hAnsi="Times New Roman" w:cs="Times New Roman"/>
          <w:sz w:val="24"/>
          <w:szCs w:val="24"/>
        </w:rPr>
      </w:pPr>
      <w:r w:rsidRPr="00497352">
        <w:rPr>
          <w:rFonts w:ascii="Times New Roman" w:hAnsi="Times New Roman" w:cs="Times New Roman"/>
          <w:sz w:val="24"/>
          <w:szCs w:val="24"/>
        </w:rPr>
        <w:t xml:space="preserve">In that affidavit, the </w:t>
      </w:r>
      <w:r w:rsidR="00EE2FAD" w:rsidRPr="00497352">
        <w:rPr>
          <w:rFonts w:ascii="Times New Roman" w:hAnsi="Times New Roman" w:cs="Times New Roman"/>
          <w:sz w:val="24"/>
          <w:szCs w:val="24"/>
        </w:rPr>
        <w:t>first</w:t>
      </w:r>
      <w:r w:rsidR="004F21F3" w:rsidRPr="00497352">
        <w:rPr>
          <w:rFonts w:ascii="Times New Roman" w:hAnsi="Times New Roman" w:cs="Times New Roman"/>
          <w:sz w:val="24"/>
          <w:szCs w:val="24"/>
        </w:rPr>
        <w:t xml:space="preserve"> appellant was responding t</w:t>
      </w:r>
      <w:r w:rsidRPr="00497352">
        <w:rPr>
          <w:rFonts w:ascii="Times New Roman" w:hAnsi="Times New Roman" w:cs="Times New Roman"/>
          <w:sz w:val="24"/>
          <w:szCs w:val="24"/>
        </w:rPr>
        <w:t>o the Chief Registrar of Deeds’ affidavit confirming that the land in dispute was registered in the name of the President of Zimbabwe and had become State land in terms of s 16B of the Constitution.  That registration still subsists. It has not</w:t>
      </w:r>
      <w:r w:rsidR="00B1646C" w:rsidRPr="00497352">
        <w:rPr>
          <w:rFonts w:ascii="Times New Roman" w:hAnsi="Times New Roman" w:cs="Times New Roman"/>
          <w:sz w:val="24"/>
          <w:szCs w:val="24"/>
        </w:rPr>
        <w:t xml:space="preserve"> been nullified by </w:t>
      </w:r>
      <w:r w:rsidR="00B66662" w:rsidRPr="00497352">
        <w:rPr>
          <w:rFonts w:ascii="Times New Roman" w:hAnsi="Times New Roman" w:cs="Times New Roman"/>
          <w:sz w:val="24"/>
          <w:szCs w:val="24"/>
        </w:rPr>
        <w:t>any court</w:t>
      </w:r>
      <w:r w:rsidRPr="00497352">
        <w:rPr>
          <w:rFonts w:ascii="Times New Roman" w:hAnsi="Times New Roman" w:cs="Times New Roman"/>
          <w:sz w:val="24"/>
          <w:szCs w:val="24"/>
        </w:rPr>
        <w:t xml:space="preserve"> of competent jurisdiction.</w:t>
      </w:r>
    </w:p>
    <w:p w:rsidR="00E27C87" w:rsidRPr="00497352" w:rsidRDefault="00E152EC" w:rsidP="00670D88">
      <w:pPr>
        <w:spacing w:after="0" w:line="480" w:lineRule="auto"/>
        <w:ind w:firstLine="1134"/>
        <w:jc w:val="both"/>
        <w:rPr>
          <w:rFonts w:ascii="Times New Roman" w:hAnsi="Times New Roman" w:cs="Times New Roman"/>
          <w:sz w:val="24"/>
          <w:szCs w:val="24"/>
        </w:rPr>
      </w:pPr>
      <w:r w:rsidRPr="00497352">
        <w:rPr>
          <w:rFonts w:ascii="Times New Roman" w:hAnsi="Times New Roman" w:cs="Times New Roman"/>
          <w:sz w:val="24"/>
          <w:szCs w:val="24"/>
        </w:rPr>
        <w:t xml:space="preserve"> </w:t>
      </w:r>
    </w:p>
    <w:p w:rsidR="00E152EC" w:rsidRDefault="00E152EC" w:rsidP="00670D88">
      <w:pPr>
        <w:spacing w:after="0" w:line="480" w:lineRule="auto"/>
        <w:ind w:firstLine="1134"/>
        <w:jc w:val="both"/>
        <w:rPr>
          <w:rFonts w:ascii="Times New Roman" w:hAnsi="Times New Roman" w:cs="Times New Roman"/>
          <w:sz w:val="24"/>
          <w:szCs w:val="24"/>
        </w:rPr>
      </w:pPr>
      <w:r w:rsidRPr="00497352">
        <w:rPr>
          <w:rFonts w:ascii="Times New Roman" w:hAnsi="Times New Roman" w:cs="Times New Roman"/>
          <w:sz w:val="24"/>
          <w:szCs w:val="24"/>
        </w:rPr>
        <w:t xml:space="preserve">The issue of State ownership of the acquired land is really an issue between </w:t>
      </w:r>
      <w:r w:rsidR="00C84E9E" w:rsidRPr="00497352">
        <w:rPr>
          <w:rFonts w:ascii="Times New Roman" w:hAnsi="Times New Roman" w:cs="Times New Roman"/>
          <w:sz w:val="24"/>
          <w:szCs w:val="24"/>
        </w:rPr>
        <w:t xml:space="preserve">Cecil </w:t>
      </w:r>
      <w:r w:rsidRPr="00497352">
        <w:rPr>
          <w:rFonts w:ascii="Times New Roman" w:hAnsi="Times New Roman" w:cs="Times New Roman"/>
          <w:sz w:val="24"/>
          <w:szCs w:val="24"/>
        </w:rPr>
        <w:t>Michel Reimer and th</w:t>
      </w:r>
      <w:r w:rsidR="004F21F3" w:rsidRPr="00497352">
        <w:rPr>
          <w:rFonts w:ascii="Times New Roman" w:hAnsi="Times New Roman" w:cs="Times New Roman"/>
          <w:sz w:val="24"/>
          <w:szCs w:val="24"/>
        </w:rPr>
        <w:t xml:space="preserve">e acquiring authority. </w:t>
      </w:r>
      <w:r w:rsidR="00C84E9E" w:rsidRPr="00497352">
        <w:rPr>
          <w:rFonts w:ascii="Times New Roman" w:hAnsi="Times New Roman" w:cs="Times New Roman"/>
          <w:sz w:val="24"/>
          <w:szCs w:val="24"/>
        </w:rPr>
        <w:t xml:space="preserve">Cecil </w:t>
      </w:r>
      <w:r w:rsidR="004F21F3" w:rsidRPr="00497352">
        <w:rPr>
          <w:rFonts w:ascii="Times New Roman" w:hAnsi="Times New Roman" w:cs="Times New Roman"/>
          <w:sz w:val="24"/>
          <w:szCs w:val="24"/>
        </w:rPr>
        <w:t>Michael Rei</w:t>
      </w:r>
      <w:r w:rsidRPr="00497352">
        <w:rPr>
          <w:rFonts w:ascii="Times New Roman" w:hAnsi="Times New Roman" w:cs="Times New Roman"/>
          <w:sz w:val="24"/>
          <w:szCs w:val="24"/>
        </w:rPr>
        <w:t>mer has however chosen not to</w:t>
      </w:r>
      <w:r w:rsidR="00E27C87" w:rsidRPr="00497352">
        <w:rPr>
          <w:rFonts w:ascii="Times New Roman" w:hAnsi="Times New Roman" w:cs="Times New Roman"/>
          <w:sz w:val="24"/>
          <w:szCs w:val="24"/>
        </w:rPr>
        <w:t xml:space="preserve"> </w:t>
      </w:r>
      <w:r w:rsidR="00E27C87" w:rsidRPr="00497352">
        <w:rPr>
          <w:rFonts w:ascii="Times New Roman" w:hAnsi="Times New Roman" w:cs="Times New Roman"/>
          <w:sz w:val="24"/>
          <w:szCs w:val="24"/>
        </w:rPr>
        <w:lastRenderedPageBreak/>
        <w:t>be a party to this matter electing</w:t>
      </w:r>
      <w:r w:rsidRPr="00497352">
        <w:rPr>
          <w:rFonts w:ascii="Times New Roman" w:hAnsi="Times New Roman" w:cs="Times New Roman"/>
          <w:sz w:val="24"/>
          <w:szCs w:val="24"/>
        </w:rPr>
        <w:t xml:space="preserve"> merely to furnish an affidavit confirming that he sold the disputed land to the </w:t>
      </w:r>
      <w:r w:rsidR="00EE2FAD" w:rsidRPr="00497352">
        <w:rPr>
          <w:rFonts w:ascii="Times New Roman" w:hAnsi="Times New Roman" w:cs="Times New Roman"/>
          <w:sz w:val="24"/>
          <w:szCs w:val="24"/>
        </w:rPr>
        <w:t>first</w:t>
      </w:r>
      <w:r w:rsidRPr="00497352">
        <w:rPr>
          <w:rFonts w:ascii="Times New Roman" w:hAnsi="Times New Roman" w:cs="Times New Roman"/>
          <w:sz w:val="24"/>
          <w:szCs w:val="24"/>
        </w:rPr>
        <w:t xml:space="preserve"> appellant.</w:t>
      </w:r>
    </w:p>
    <w:p w:rsidR="003771B5" w:rsidRPr="00497352" w:rsidRDefault="003771B5" w:rsidP="00670D88">
      <w:pPr>
        <w:spacing w:after="0" w:line="480" w:lineRule="auto"/>
        <w:ind w:firstLine="1134"/>
        <w:jc w:val="both"/>
        <w:rPr>
          <w:rFonts w:ascii="Times New Roman" w:hAnsi="Times New Roman" w:cs="Times New Roman"/>
          <w:sz w:val="24"/>
          <w:szCs w:val="24"/>
        </w:rPr>
      </w:pPr>
    </w:p>
    <w:p w:rsidR="00E152EC" w:rsidRPr="00497352" w:rsidRDefault="00E152EC" w:rsidP="00670D88">
      <w:pPr>
        <w:spacing w:after="0" w:line="480" w:lineRule="auto"/>
        <w:ind w:firstLine="1134"/>
        <w:jc w:val="both"/>
        <w:rPr>
          <w:rFonts w:ascii="Times New Roman" w:hAnsi="Times New Roman" w:cs="Times New Roman"/>
          <w:sz w:val="24"/>
          <w:szCs w:val="24"/>
        </w:rPr>
      </w:pPr>
      <w:r w:rsidRPr="00497352">
        <w:rPr>
          <w:rFonts w:ascii="Times New Roman" w:hAnsi="Times New Roman" w:cs="Times New Roman"/>
          <w:sz w:val="24"/>
          <w:szCs w:val="24"/>
        </w:rPr>
        <w:t xml:space="preserve">The </w:t>
      </w:r>
      <w:r w:rsidR="00A47803" w:rsidRPr="00497352">
        <w:rPr>
          <w:rFonts w:ascii="Times New Roman" w:hAnsi="Times New Roman" w:cs="Times New Roman"/>
          <w:sz w:val="24"/>
          <w:szCs w:val="24"/>
        </w:rPr>
        <w:t>appellant</w:t>
      </w:r>
      <w:r w:rsidRPr="00497352">
        <w:rPr>
          <w:rFonts w:ascii="Times New Roman" w:hAnsi="Times New Roman" w:cs="Times New Roman"/>
          <w:sz w:val="24"/>
          <w:szCs w:val="24"/>
        </w:rPr>
        <w:t>s</w:t>
      </w:r>
      <w:r w:rsidR="00A47803" w:rsidRPr="00497352">
        <w:rPr>
          <w:rFonts w:ascii="Times New Roman" w:hAnsi="Times New Roman" w:cs="Times New Roman"/>
          <w:sz w:val="24"/>
          <w:szCs w:val="24"/>
        </w:rPr>
        <w:t>’</w:t>
      </w:r>
      <w:r w:rsidRPr="00497352">
        <w:rPr>
          <w:rFonts w:ascii="Times New Roman" w:hAnsi="Times New Roman" w:cs="Times New Roman"/>
          <w:sz w:val="24"/>
          <w:szCs w:val="24"/>
        </w:rPr>
        <w:t xml:space="preserve"> claim that the land in dispute is no longer agricultural l</w:t>
      </w:r>
      <w:r w:rsidR="00CF2203" w:rsidRPr="00497352">
        <w:rPr>
          <w:rFonts w:ascii="Times New Roman" w:hAnsi="Times New Roman" w:cs="Times New Roman"/>
          <w:sz w:val="24"/>
          <w:szCs w:val="24"/>
        </w:rPr>
        <w:t xml:space="preserve">and is premised on a </w:t>
      </w:r>
      <w:r w:rsidR="006F12B7" w:rsidRPr="00497352">
        <w:rPr>
          <w:rFonts w:ascii="Times New Roman" w:hAnsi="Times New Roman" w:cs="Times New Roman"/>
          <w:sz w:val="24"/>
          <w:szCs w:val="24"/>
        </w:rPr>
        <w:t>photo</w:t>
      </w:r>
      <w:r w:rsidR="00CF2203" w:rsidRPr="00497352">
        <w:rPr>
          <w:rFonts w:ascii="Times New Roman" w:hAnsi="Times New Roman" w:cs="Times New Roman"/>
          <w:sz w:val="24"/>
          <w:szCs w:val="24"/>
        </w:rPr>
        <w:t>copy of a Sub</w:t>
      </w:r>
      <w:r w:rsidR="00E27C87" w:rsidRPr="00497352">
        <w:rPr>
          <w:rFonts w:ascii="Times New Roman" w:hAnsi="Times New Roman" w:cs="Times New Roman"/>
          <w:sz w:val="24"/>
          <w:szCs w:val="24"/>
        </w:rPr>
        <w:t>-</w:t>
      </w:r>
      <w:r w:rsidR="00CF2203" w:rsidRPr="00497352">
        <w:rPr>
          <w:rFonts w:ascii="Times New Roman" w:hAnsi="Times New Roman" w:cs="Times New Roman"/>
          <w:sz w:val="24"/>
          <w:szCs w:val="24"/>
        </w:rPr>
        <w:t>divisional P</w:t>
      </w:r>
      <w:r w:rsidRPr="00497352">
        <w:rPr>
          <w:rFonts w:ascii="Times New Roman" w:hAnsi="Times New Roman" w:cs="Times New Roman"/>
          <w:sz w:val="24"/>
          <w:szCs w:val="24"/>
        </w:rPr>
        <w:t xml:space="preserve">ermit </w:t>
      </w:r>
      <w:r w:rsidR="005C2E50" w:rsidRPr="00497352">
        <w:rPr>
          <w:rFonts w:ascii="Times New Roman" w:hAnsi="Times New Roman" w:cs="Times New Roman"/>
          <w:sz w:val="24"/>
          <w:szCs w:val="24"/>
        </w:rPr>
        <w:t xml:space="preserve">apparently </w:t>
      </w:r>
      <w:r w:rsidR="00A47803" w:rsidRPr="00497352">
        <w:rPr>
          <w:rFonts w:ascii="Times New Roman" w:hAnsi="Times New Roman" w:cs="Times New Roman"/>
          <w:sz w:val="24"/>
          <w:szCs w:val="24"/>
        </w:rPr>
        <w:t xml:space="preserve">granted </w:t>
      </w:r>
      <w:r w:rsidR="00EA21E4" w:rsidRPr="00497352">
        <w:rPr>
          <w:rFonts w:ascii="Times New Roman" w:hAnsi="Times New Roman" w:cs="Times New Roman"/>
          <w:sz w:val="24"/>
          <w:szCs w:val="24"/>
        </w:rPr>
        <w:t>to the</w:t>
      </w:r>
      <w:r w:rsidR="00EE2FAD" w:rsidRPr="00497352">
        <w:rPr>
          <w:rFonts w:ascii="Times New Roman" w:hAnsi="Times New Roman" w:cs="Times New Roman"/>
          <w:sz w:val="24"/>
          <w:szCs w:val="24"/>
        </w:rPr>
        <w:t xml:space="preserve"> first</w:t>
      </w:r>
      <w:r w:rsidR="00A47803" w:rsidRPr="00497352">
        <w:rPr>
          <w:rFonts w:ascii="Times New Roman" w:hAnsi="Times New Roman" w:cs="Times New Roman"/>
          <w:sz w:val="24"/>
          <w:szCs w:val="24"/>
        </w:rPr>
        <w:t xml:space="preserve"> </w:t>
      </w:r>
      <w:proofErr w:type="gramStart"/>
      <w:r w:rsidR="00A47803" w:rsidRPr="00497352">
        <w:rPr>
          <w:rFonts w:ascii="Times New Roman" w:hAnsi="Times New Roman" w:cs="Times New Roman"/>
          <w:sz w:val="24"/>
          <w:szCs w:val="24"/>
        </w:rPr>
        <w:t xml:space="preserve">appellant </w:t>
      </w:r>
      <w:r w:rsidRPr="00497352">
        <w:rPr>
          <w:rFonts w:ascii="Times New Roman" w:hAnsi="Times New Roman" w:cs="Times New Roman"/>
          <w:sz w:val="24"/>
          <w:szCs w:val="24"/>
        </w:rPr>
        <w:t xml:space="preserve"> by</w:t>
      </w:r>
      <w:proofErr w:type="gramEnd"/>
      <w:r w:rsidRPr="00497352">
        <w:rPr>
          <w:rFonts w:ascii="Times New Roman" w:hAnsi="Times New Roman" w:cs="Times New Roman"/>
          <w:sz w:val="24"/>
          <w:szCs w:val="24"/>
        </w:rPr>
        <w:t xml:space="preserve"> the Minister of Local Government Rural and Urban  Development. The </w:t>
      </w:r>
      <w:r w:rsidR="00023E6D" w:rsidRPr="00497352">
        <w:rPr>
          <w:rFonts w:ascii="Times New Roman" w:hAnsi="Times New Roman" w:cs="Times New Roman"/>
          <w:sz w:val="24"/>
          <w:szCs w:val="24"/>
        </w:rPr>
        <w:t xml:space="preserve">alleged </w:t>
      </w:r>
      <w:r w:rsidRPr="00497352">
        <w:rPr>
          <w:rFonts w:ascii="Times New Roman" w:hAnsi="Times New Roman" w:cs="Times New Roman"/>
          <w:sz w:val="24"/>
          <w:szCs w:val="24"/>
        </w:rPr>
        <w:t>permit reads in part as follows:</w:t>
      </w:r>
    </w:p>
    <w:p w:rsidR="00E152EC" w:rsidRPr="00497352" w:rsidRDefault="00E152EC" w:rsidP="00E20833">
      <w:pPr>
        <w:spacing w:after="0" w:line="240" w:lineRule="auto"/>
        <w:jc w:val="center"/>
        <w:rPr>
          <w:rFonts w:ascii="Times New Roman" w:hAnsi="Times New Roman" w:cs="Times New Roman"/>
          <w:sz w:val="24"/>
          <w:szCs w:val="24"/>
          <w:u w:val="single"/>
        </w:rPr>
      </w:pPr>
      <w:r w:rsidRPr="00497352">
        <w:rPr>
          <w:rFonts w:ascii="Times New Roman" w:hAnsi="Times New Roman" w:cs="Times New Roman"/>
          <w:sz w:val="24"/>
          <w:szCs w:val="24"/>
        </w:rPr>
        <w:t>“</w:t>
      </w:r>
      <w:r w:rsidRPr="00497352">
        <w:rPr>
          <w:rFonts w:ascii="Times New Roman" w:hAnsi="Times New Roman" w:cs="Times New Roman"/>
          <w:sz w:val="24"/>
          <w:szCs w:val="24"/>
          <w:u w:val="single"/>
        </w:rPr>
        <w:t>PERMIT FOR THE SUBDIVISION OF</w:t>
      </w:r>
    </w:p>
    <w:p w:rsidR="00E152EC" w:rsidRPr="00497352" w:rsidRDefault="00E152EC" w:rsidP="00E20833">
      <w:pPr>
        <w:spacing w:after="0" w:line="240" w:lineRule="auto"/>
        <w:jc w:val="center"/>
        <w:rPr>
          <w:rFonts w:ascii="Times New Roman" w:hAnsi="Times New Roman" w:cs="Times New Roman"/>
          <w:sz w:val="24"/>
          <w:szCs w:val="24"/>
          <w:u w:val="single"/>
        </w:rPr>
      </w:pPr>
      <w:r w:rsidRPr="00497352">
        <w:rPr>
          <w:rFonts w:ascii="Times New Roman" w:hAnsi="Times New Roman" w:cs="Times New Roman"/>
          <w:sz w:val="24"/>
          <w:szCs w:val="24"/>
          <w:u w:val="single"/>
        </w:rPr>
        <w:t>SUBDIVISION OF REMAING EXTENTOF STUHM:</w:t>
      </w:r>
    </w:p>
    <w:p w:rsidR="00E152EC" w:rsidRPr="00497352" w:rsidRDefault="00E152EC" w:rsidP="00E20833">
      <w:pPr>
        <w:spacing w:after="0" w:line="240" w:lineRule="auto"/>
        <w:jc w:val="center"/>
        <w:rPr>
          <w:rFonts w:ascii="Times New Roman" w:hAnsi="Times New Roman" w:cs="Times New Roman"/>
          <w:sz w:val="24"/>
          <w:szCs w:val="24"/>
          <w:u w:val="single"/>
        </w:rPr>
      </w:pPr>
      <w:r w:rsidRPr="00497352">
        <w:rPr>
          <w:rFonts w:ascii="Times New Roman" w:hAnsi="Times New Roman" w:cs="Times New Roman"/>
          <w:sz w:val="24"/>
          <w:szCs w:val="24"/>
          <w:u w:val="single"/>
        </w:rPr>
        <w:t>GOROMONZI DISTRICT</w:t>
      </w:r>
    </w:p>
    <w:p w:rsidR="00E152EC" w:rsidRPr="00497352" w:rsidRDefault="00E152EC" w:rsidP="00E20833">
      <w:pPr>
        <w:spacing w:after="0" w:line="240" w:lineRule="auto"/>
        <w:jc w:val="center"/>
        <w:rPr>
          <w:rFonts w:ascii="Times New Roman" w:hAnsi="Times New Roman" w:cs="Times New Roman"/>
          <w:sz w:val="24"/>
          <w:szCs w:val="24"/>
          <w:u w:val="single"/>
        </w:rPr>
      </w:pPr>
    </w:p>
    <w:p w:rsidR="00E152EC" w:rsidRPr="00497352" w:rsidRDefault="00E152EC" w:rsidP="00E20833">
      <w:pPr>
        <w:spacing w:after="0" w:line="240" w:lineRule="auto"/>
        <w:ind w:left="720"/>
        <w:jc w:val="both"/>
        <w:rPr>
          <w:rFonts w:ascii="Times New Roman" w:hAnsi="Times New Roman" w:cs="Times New Roman"/>
          <w:sz w:val="24"/>
          <w:szCs w:val="24"/>
        </w:rPr>
      </w:pPr>
      <w:r w:rsidRPr="00497352">
        <w:rPr>
          <w:rFonts w:ascii="Times New Roman" w:hAnsi="Times New Roman" w:cs="Times New Roman"/>
          <w:sz w:val="24"/>
          <w:szCs w:val="24"/>
        </w:rPr>
        <w:t xml:space="preserve">The Minister of Local Government Rural and Urban Development (hereinafter called the Minister) in terms of Section 40 (3) of the Regional Town and Country Planning Act, </w:t>
      </w:r>
      <w:r w:rsidR="00E20833" w:rsidRPr="00497352">
        <w:rPr>
          <w:rFonts w:ascii="Times New Roman" w:hAnsi="Times New Roman" w:cs="Times New Roman"/>
          <w:sz w:val="24"/>
          <w:szCs w:val="24"/>
        </w:rPr>
        <w:t>[</w:t>
      </w:r>
      <w:r w:rsidRPr="00497352">
        <w:rPr>
          <w:rFonts w:ascii="Times New Roman" w:hAnsi="Times New Roman" w:cs="Times New Roman"/>
          <w:sz w:val="24"/>
          <w:szCs w:val="24"/>
        </w:rPr>
        <w:t>Chapter 29:12</w:t>
      </w:r>
      <w:r w:rsidR="00E20833" w:rsidRPr="00497352">
        <w:rPr>
          <w:rFonts w:ascii="Times New Roman" w:hAnsi="Times New Roman" w:cs="Times New Roman"/>
          <w:sz w:val="24"/>
          <w:szCs w:val="24"/>
        </w:rPr>
        <w:t>]</w:t>
      </w:r>
      <w:r w:rsidRPr="00497352">
        <w:rPr>
          <w:rFonts w:ascii="Times New Roman" w:hAnsi="Times New Roman" w:cs="Times New Roman"/>
          <w:sz w:val="24"/>
          <w:szCs w:val="24"/>
        </w:rPr>
        <w:t xml:space="preserve"> (hereinafter called “The Act”) hereby grants a PERMIT in respect of an application dated 13</w:t>
      </w:r>
      <w:r w:rsidRPr="00497352">
        <w:rPr>
          <w:rFonts w:ascii="Times New Roman" w:hAnsi="Times New Roman" w:cs="Times New Roman"/>
          <w:sz w:val="24"/>
          <w:szCs w:val="24"/>
          <w:vertAlign w:val="superscript"/>
        </w:rPr>
        <w:t>th</w:t>
      </w:r>
      <w:r w:rsidRPr="00497352">
        <w:rPr>
          <w:rFonts w:ascii="Times New Roman" w:hAnsi="Times New Roman" w:cs="Times New Roman"/>
          <w:sz w:val="24"/>
          <w:szCs w:val="24"/>
        </w:rPr>
        <w:t xml:space="preserve"> November 2009 and numbered Mash East 04/2009 in the Register of the Provincial Planning Officer, Mashonaland East, to T.B.I.C INVESTMENTS (PRIVATE) LIMITED   (hereinafter called “the applicant”) for the subdivision of:-</w:t>
      </w:r>
    </w:p>
    <w:p w:rsidR="00E152EC" w:rsidRPr="00497352" w:rsidRDefault="00E152EC" w:rsidP="00E20833">
      <w:pPr>
        <w:spacing w:after="0" w:line="240" w:lineRule="auto"/>
        <w:ind w:left="2127" w:hanging="1440"/>
        <w:jc w:val="both"/>
        <w:rPr>
          <w:rFonts w:ascii="Times New Roman" w:hAnsi="Times New Roman" w:cs="Times New Roman"/>
          <w:sz w:val="24"/>
          <w:szCs w:val="24"/>
        </w:rPr>
      </w:pPr>
      <w:r w:rsidRPr="00497352">
        <w:rPr>
          <w:rFonts w:ascii="Times New Roman" w:hAnsi="Times New Roman" w:cs="Times New Roman"/>
          <w:sz w:val="24"/>
          <w:szCs w:val="24"/>
        </w:rPr>
        <w:t>A certain</w:t>
      </w:r>
      <w:r w:rsidRPr="00497352">
        <w:rPr>
          <w:rFonts w:ascii="Times New Roman" w:hAnsi="Times New Roman" w:cs="Times New Roman"/>
          <w:sz w:val="24"/>
          <w:szCs w:val="24"/>
        </w:rPr>
        <w:tab/>
        <w:t xml:space="preserve">    </w:t>
      </w:r>
      <w:proofErr w:type="gramStart"/>
      <w:r w:rsidR="00213AD7">
        <w:rPr>
          <w:rFonts w:ascii="Times New Roman" w:hAnsi="Times New Roman" w:cs="Times New Roman"/>
          <w:sz w:val="24"/>
          <w:szCs w:val="24"/>
        </w:rPr>
        <w:t xml:space="preserve">  </w:t>
      </w:r>
      <w:r w:rsidRPr="00497352">
        <w:rPr>
          <w:rFonts w:ascii="Times New Roman" w:hAnsi="Times New Roman" w:cs="Times New Roman"/>
          <w:sz w:val="24"/>
          <w:szCs w:val="24"/>
        </w:rPr>
        <w:t>:</w:t>
      </w:r>
      <w:proofErr w:type="gramEnd"/>
      <w:r w:rsidRPr="00497352">
        <w:rPr>
          <w:rFonts w:ascii="Times New Roman" w:hAnsi="Times New Roman" w:cs="Times New Roman"/>
          <w:sz w:val="24"/>
          <w:szCs w:val="24"/>
        </w:rPr>
        <w:tab/>
        <w:t xml:space="preserve">Piece of land situate in the </w:t>
      </w:r>
      <w:r w:rsidR="00E20833" w:rsidRPr="00497352">
        <w:rPr>
          <w:rFonts w:ascii="Times New Roman" w:hAnsi="Times New Roman" w:cs="Times New Roman"/>
          <w:sz w:val="24"/>
          <w:szCs w:val="24"/>
        </w:rPr>
        <w:t xml:space="preserve">District of </w:t>
      </w:r>
      <w:proofErr w:type="spellStart"/>
      <w:r w:rsidR="00E20833" w:rsidRPr="00497352">
        <w:rPr>
          <w:rFonts w:ascii="Times New Roman" w:hAnsi="Times New Roman" w:cs="Times New Roman"/>
          <w:sz w:val="24"/>
          <w:szCs w:val="24"/>
        </w:rPr>
        <w:t>Goromonzi</w:t>
      </w:r>
      <w:proofErr w:type="spellEnd"/>
      <w:r w:rsidRPr="00497352">
        <w:rPr>
          <w:rFonts w:ascii="Times New Roman" w:hAnsi="Times New Roman" w:cs="Times New Roman"/>
          <w:sz w:val="24"/>
          <w:szCs w:val="24"/>
        </w:rPr>
        <w:t xml:space="preserve"> </w:t>
      </w:r>
    </w:p>
    <w:p w:rsidR="00E152EC" w:rsidRPr="00497352" w:rsidRDefault="00E20833" w:rsidP="00E20833">
      <w:pPr>
        <w:spacing w:after="0" w:line="240" w:lineRule="auto"/>
        <w:ind w:firstLine="720"/>
        <w:jc w:val="both"/>
        <w:rPr>
          <w:rFonts w:ascii="Times New Roman" w:hAnsi="Times New Roman" w:cs="Times New Roman"/>
          <w:sz w:val="24"/>
          <w:szCs w:val="24"/>
        </w:rPr>
      </w:pPr>
      <w:r w:rsidRPr="00497352">
        <w:rPr>
          <w:rFonts w:ascii="Times New Roman" w:hAnsi="Times New Roman" w:cs="Times New Roman"/>
          <w:sz w:val="24"/>
          <w:szCs w:val="24"/>
        </w:rPr>
        <w:t xml:space="preserve">Being </w:t>
      </w:r>
      <w:r w:rsidRPr="00497352">
        <w:rPr>
          <w:rFonts w:ascii="Times New Roman" w:hAnsi="Times New Roman" w:cs="Times New Roman"/>
          <w:sz w:val="24"/>
          <w:szCs w:val="24"/>
        </w:rPr>
        <w:tab/>
      </w:r>
      <w:r w:rsidRPr="00497352">
        <w:rPr>
          <w:rFonts w:ascii="Times New Roman" w:hAnsi="Times New Roman" w:cs="Times New Roman"/>
          <w:sz w:val="24"/>
          <w:szCs w:val="24"/>
        </w:rPr>
        <w:tab/>
        <w:t xml:space="preserve">   </w:t>
      </w:r>
      <w:proofErr w:type="gramStart"/>
      <w:r w:rsidRPr="00497352">
        <w:rPr>
          <w:rFonts w:ascii="Times New Roman" w:hAnsi="Times New Roman" w:cs="Times New Roman"/>
          <w:sz w:val="24"/>
          <w:szCs w:val="24"/>
        </w:rPr>
        <w:t xml:space="preserve">  :</w:t>
      </w:r>
      <w:proofErr w:type="gramEnd"/>
      <w:r w:rsidRPr="00497352">
        <w:rPr>
          <w:rFonts w:ascii="Times New Roman" w:hAnsi="Times New Roman" w:cs="Times New Roman"/>
          <w:sz w:val="24"/>
          <w:szCs w:val="24"/>
        </w:rPr>
        <w:tab/>
      </w:r>
      <w:r w:rsidR="00E152EC" w:rsidRPr="00497352">
        <w:rPr>
          <w:rFonts w:ascii="Times New Roman" w:hAnsi="Times New Roman" w:cs="Times New Roman"/>
          <w:sz w:val="24"/>
          <w:szCs w:val="24"/>
        </w:rPr>
        <w:t xml:space="preserve">Remaining extent of </w:t>
      </w:r>
      <w:proofErr w:type="spellStart"/>
      <w:r w:rsidR="00E152EC" w:rsidRPr="00497352">
        <w:rPr>
          <w:rFonts w:ascii="Times New Roman" w:hAnsi="Times New Roman" w:cs="Times New Roman"/>
          <w:sz w:val="24"/>
          <w:szCs w:val="24"/>
        </w:rPr>
        <w:t>Stuhm</w:t>
      </w:r>
      <w:proofErr w:type="spellEnd"/>
    </w:p>
    <w:p w:rsidR="00E152EC" w:rsidRPr="00497352" w:rsidRDefault="00E20833" w:rsidP="00E20833">
      <w:pPr>
        <w:spacing w:after="0" w:line="240" w:lineRule="auto"/>
        <w:ind w:firstLine="720"/>
        <w:jc w:val="both"/>
        <w:rPr>
          <w:rFonts w:ascii="Times New Roman" w:hAnsi="Times New Roman" w:cs="Times New Roman"/>
          <w:sz w:val="24"/>
          <w:szCs w:val="24"/>
        </w:rPr>
      </w:pPr>
      <w:r w:rsidRPr="00497352">
        <w:rPr>
          <w:rFonts w:ascii="Times New Roman" w:hAnsi="Times New Roman" w:cs="Times New Roman"/>
          <w:sz w:val="24"/>
          <w:szCs w:val="24"/>
        </w:rPr>
        <w:t xml:space="preserve">Measuring </w:t>
      </w:r>
      <w:r w:rsidRPr="00497352">
        <w:rPr>
          <w:rFonts w:ascii="Times New Roman" w:hAnsi="Times New Roman" w:cs="Times New Roman"/>
          <w:sz w:val="24"/>
          <w:szCs w:val="24"/>
        </w:rPr>
        <w:tab/>
        <w:t xml:space="preserve">   </w:t>
      </w:r>
      <w:proofErr w:type="gramStart"/>
      <w:r w:rsidRPr="00497352">
        <w:rPr>
          <w:rFonts w:ascii="Times New Roman" w:hAnsi="Times New Roman" w:cs="Times New Roman"/>
          <w:sz w:val="24"/>
          <w:szCs w:val="24"/>
        </w:rPr>
        <w:t xml:space="preserve">  :</w:t>
      </w:r>
      <w:proofErr w:type="gramEnd"/>
      <w:r w:rsidRPr="00497352">
        <w:rPr>
          <w:rFonts w:ascii="Times New Roman" w:hAnsi="Times New Roman" w:cs="Times New Roman"/>
          <w:sz w:val="24"/>
          <w:szCs w:val="24"/>
        </w:rPr>
        <w:tab/>
      </w:r>
      <w:r w:rsidR="00E152EC" w:rsidRPr="00497352">
        <w:rPr>
          <w:rFonts w:ascii="Times New Roman" w:hAnsi="Times New Roman" w:cs="Times New Roman"/>
          <w:sz w:val="24"/>
          <w:szCs w:val="24"/>
        </w:rPr>
        <w:t>583.1360 hectares</w:t>
      </w:r>
    </w:p>
    <w:p w:rsidR="00E20833" w:rsidRPr="00497352" w:rsidRDefault="00E20833" w:rsidP="00E20833">
      <w:pPr>
        <w:spacing w:after="0" w:line="240" w:lineRule="auto"/>
        <w:ind w:left="720"/>
        <w:jc w:val="both"/>
        <w:rPr>
          <w:rFonts w:ascii="Times New Roman" w:hAnsi="Times New Roman" w:cs="Times New Roman"/>
          <w:sz w:val="24"/>
          <w:szCs w:val="24"/>
        </w:rPr>
      </w:pPr>
      <w:r w:rsidRPr="00497352">
        <w:rPr>
          <w:rFonts w:ascii="Times New Roman" w:hAnsi="Times New Roman" w:cs="Times New Roman"/>
          <w:sz w:val="24"/>
          <w:szCs w:val="24"/>
        </w:rPr>
        <w:t>Held Under</w:t>
      </w:r>
      <w:r w:rsidRPr="00497352">
        <w:rPr>
          <w:rFonts w:ascii="Times New Roman" w:hAnsi="Times New Roman" w:cs="Times New Roman"/>
          <w:sz w:val="24"/>
          <w:szCs w:val="24"/>
        </w:rPr>
        <w:tab/>
        <w:t xml:space="preserve">   </w:t>
      </w:r>
      <w:proofErr w:type="gramStart"/>
      <w:r w:rsidRPr="00497352">
        <w:rPr>
          <w:rFonts w:ascii="Times New Roman" w:hAnsi="Times New Roman" w:cs="Times New Roman"/>
          <w:sz w:val="24"/>
          <w:szCs w:val="24"/>
        </w:rPr>
        <w:t xml:space="preserve">  :</w:t>
      </w:r>
      <w:proofErr w:type="gramEnd"/>
      <w:r w:rsidRPr="00497352">
        <w:rPr>
          <w:rFonts w:ascii="Times New Roman" w:hAnsi="Times New Roman" w:cs="Times New Roman"/>
          <w:sz w:val="24"/>
          <w:szCs w:val="24"/>
        </w:rPr>
        <w:t xml:space="preserve"> </w:t>
      </w:r>
      <w:r w:rsidRPr="00497352">
        <w:rPr>
          <w:rFonts w:ascii="Times New Roman" w:hAnsi="Times New Roman" w:cs="Times New Roman"/>
          <w:sz w:val="24"/>
          <w:szCs w:val="24"/>
        </w:rPr>
        <w:tab/>
      </w:r>
      <w:r w:rsidR="00E152EC" w:rsidRPr="00497352">
        <w:rPr>
          <w:rFonts w:ascii="Times New Roman" w:hAnsi="Times New Roman" w:cs="Times New Roman"/>
          <w:sz w:val="24"/>
          <w:szCs w:val="24"/>
        </w:rPr>
        <w:t xml:space="preserve">Deed of Transfer N0. 1724/2009 </w:t>
      </w:r>
      <w:r w:rsidRPr="00497352">
        <w:rPr>
          <w:rFonts w:ascii="Times New Roman" w:hAnsi="Times New Roman" w:cs="Times New Roman"/>
          <w:sz w:val="24"/>
          <w:szCs w:val="24"/>
        </w:rPr>
        <w:t>dated 18 March 2009”</w:t>
      </w:r>
    </w:p>
    <w:p w:rsidR="00E152EC" w:rsidRPr="00497352" w:rsidRDefault="00E152EC" w:rsidP="00670D88">
      <w:pPr>
        <w:spacing w:after="0" w:line="480" w:lineRule="auto"/>
        <w:jc w:val="both"/>
        <w:rPr>
          <w:rFonts w:ascii="Times New Roman" w:hAnsi="Times New Roman" w:cs="Times New Roman"/>
          <w:sz w:val="24"/>
          <w:szCs w:val="24"/>
        </w:rPr>
      </w:pPr>
    </w:p>
    <w:p w:rsidR="00E20833" w:rsidRPr="00497352" w:rsidRDefault="00E20833" w:rsidP="00E20833">
      <w:pPr>
        <w:spacing w:after="0" w:line="240" w:lineRule="auto"/>
        <w:jc w:val="both"/>
        <w:rPr>
          <w:rFonts w:ascii="Times New Roman" w:hAnsi="Times New Roman" w:cs="Times New Roman"/>
          <w:sz w:val="24"/>
          <w:szCs w:val="24"/>
        </w:rPr>
      </w:pPr>
    </w:p>
    <w:p w:rsidR="00E152EC" w:rsidRPr="00497352" w:rsidRDefault="00E152EC" w:rsidP="00670D88">
      <w:pPr>
        <w:spacing w:after="0" w:line="480" w:lineRule="auto"/>
        <w:ind w:firstLine="1134"/>
        <w:jc w:val="both"/>
        <w:rPr>
          <w:rFonts w:ascii="Times New Roman" w:hAnsi="Times New Roman" w:cs="Times New Roman"/>
          <w:sz w:val="24"/>
          <w:szCs w:val="24"/>
        </w:rPr>
      </w:pPr>
      <w:r w:rsidRPr="00497352">
        <w:rPr>
          <w:rFonts w:ascii="Times New Roman" w:hAnsi="Times New Roman" w:cs="Times New Roman"/>
          <w:sz w:val="24"/>
          <w:szCs w:val="24"/>
        </w:rPr>
        <w:t>The appella</w:t>
      </w:r>
      <w:r w:rsidR="005D655B" w:rsidRPr="00497352">
        <w:rPr>
          <w:rFonts w:ascii="Times New Roman" w:hAnsi="Times New Roman" w:cs="Times New Roman"/>
          <w:sz w:val="24"/>
          <w:szCs w:val="24"/>
        </w:rPr>
        <w:t>nt</w:t>
      </w:r>
      <w:r w:rsidRPr="00497352">
        <w:rPr>
          <w:rFonts w:ascii="Times New Roman" w:hAnsi="Times New Roman" w:cs="Times New Roman"/>
          <w:sz w:val="24"/>
          <w:szCs w:val="24"/>
        </w:rPr>
        <w:t>s</w:t>
      </w:r>
      <w:r w:rsidR="005D655B" w:rsidRPr="00497352">
        <w:rPr>
          <w:rFonts w:ascii="Times New Roman" w:hAnsi="Times New Roman" w:cs="Times New Roman"/>
          <w:sz w:val="24"/>
          <w:szCs w:val="24"/>
        </w:rPr>
        <w:t>’</w:t>
      </w:r>
      <w:r w:rsidRPr="00497352">
        <w:rPr>
          <w:rFonts w:ascii="Times New Roman" w:hAnsi="Times New Roman" w:cs="Times New Roman"/>
          <w:sz w:val="24"/>
          <w:szCs w:val="24"/>
        </w:rPr>
        <w:t xml:space="preserve"> complaint is that the court </w:t>
      </w:r>
      <w:r w:rsidRPr="00497352">
        <w:rPr>
          <w:rFonts w:ascii="Times New Roman" w:hAnsi="Times New Roman" w:cs="Times New Roman"/>
          <w:i/>
          <w:sz w:val="24"/>
          <w:szCs w:val="24"/>
        </w:rPr>
        <w:t>a quo</w:t>
      </w:r>
      <w:r w:rsidRPr="00497352">
        <w:rPr>
          <w:rFonts w:ascii="Times New Roman" w:hAnsi="Times New Roman" w:cs="Times New Roman"/>
          <w:sz w:val="24"/>
          <w:szCs w:val="24"/>
        </w:rPr>
        <w:t xml:space="preserve"> erred in not making a ruling </w:t>
      </w:r>
      <w:r w:rsidR="00DA6E2F" w:rsidRPr="00497352">
        <w:rPr>
          <w:rFonts w:ascii="Times New Roman" w:hAnsi="Times New Roman" w:cs="Times New Roman"/>
          <w:sz w:val="24"/>
          <w:szCs w:val="24"/>
        </w:rPr>
        <w:t>on the</w:t>
      </w:r>
      <w:r w:rsidRPr="00497352">
        <w:rPr>
          <w:rFonts w:ascii="Times New Roman" w:hAnsi="Times New Roman" w:cs="Times New Roman"/>
          <w:sz w:val="24"/>
          <w:szCs w:val="24"/>
        </w:rPr>
        <w:t xml:space="preserve"> objection to the effect that the land in dispute no longer constituted agricultural land</w:t>
      </w:r>
      <w:r w:rsidR="00B549AA" w:rsidRPr="00497352">
        <w:rPr>
          <w:rFonts w:ascii="Times New Roman" w:hAnsi="Times New Roman" w:cs="Times New Roman"/>
          <w:sz w:val="24"/>
          <w:szCs w:val="24"/>
        </w:rPr>
        <w:t xml:space="preserve"> but urban</w:t>
      </w:r>
      <w:r w:rsidR="00636D87" w:rsidRPr="00497352">
        <w:rPr>
          <w:rFonts w:ascii="Times New Roman" w:hAnsi="Times New Roman" w:cs="Times New Roman"/>
          <w:sz w:val="24"/>
          <w:szCs w:val="24"/>
        </w:rPr>
        <w:t xml:space="preserve"> land</w:t>
      </w:r>
      <w:r w:rsidRPr="00497352">
        <w:rPr>
          <w:rFonts w:ascii="Times New Roman" w:hAnsi="Times New Roman" w:cs="Times New Roman"/>
          <w:sz w:val="24"/>
          <w:szCs w:val="24"/>
        </w:rPr>
        <w:t>. As such</w:t>
      </w:r>
      <w:r w:rsidR="00DA6E2F" w:rsidRPr="00497352">
        <w:rPr>
          <w:rFonts w:ascii="Times New Roman" w:hAnsi="Times New Roman" w:cs="Times New Roman"/>
          <w:sz w:val="24"/>
          <w:szCs w:val="24"/>
        </w:rPr>
        <w:t>,</w:t>
      </w:r>
      <w:r w:rsidRPr="00497352">
        <w:rPr>
          <w:rFonts w:ascii="Times New Roman" w:hAnsi="Times New Roman" w:cs="Times New Roman"/>
          <w:sz w:val="24"/>
          <w:szCs w:val="24"/>
        </w:rPr>
        <w:t xml:space="preserve"> it was no longer susceptible to compulsory acquisition in terms of the constitution.</w:t>
      </w:r>
    </w:p>
    <w:p w:rsidR="00E20833" w:rsidRPr="00497352" w:rsidRDefault="00E20833" w:rsidP="00670D88">
      <w:pPr>
        <w:spacing w:after="0" w:line="480" w:lineRule="auto"/>
        <w:ind w:firstLine="1134"/>
        <w:jc w:val="both"/>
        <w:rPr>
          <w:rFonts w:ascii="Times New Roman" w:hAnsi="Times New Roman" w:cs="Times New Roman"/>
          <w:sz w:val="24"/>
          <w:szCs w:val="24"/>
        </w:rPr>
      </w:pPr>
    </w:p>
    <w:p w:rsidR="00E152EC" w:rsidRPr="00497352" w:rsidRDefault="00C4395E" w:rsidP="00670D88">
      <w:pPr>
        <w:spacing w:after="0" w:line="480" w:lineRule="auto"/>
        <w:ind w:firstLine="1134"/>
        <w:jc w:val="both"/>
        <w:rPr>
          <w:rFonts w:ascii="Times New Roman" w:hAnsi="Times New Roman" w:cs="Times New Roman"/>
          <w:sz w:val="24"/>
          <w:szCs w:val="24"/>
        </w:rPr>
      </w:pPr>
      <w:r w:rsidRPr="00497352">
        <w:rPr>
          <w:rFonts w:ascii="Times New Roman" w:hAnsi="Times New Roman" w:cs="Times New Roman"/>
          <w:sz w:val="24"/>
          <w:szCs w:val="24"/>
        </w:rPr>
        <w:t xml:space="preserve">It must be noted that the </w:t>
      </w:r>
      <w:r w:rsidR="00A31FBF" w:rsidRPr="00497352">
        <w:rPr>
          <w:rFonts w:ascii="Times New Roman" w:hAnsi="Times New Roman" w:cs="Times New Roman"/>
          <w:sz w:val="24"/>
          <w:szCs w:val="24"/>
        </w:rPr>
        <w:t xml:space="preserve">so called </w:t>
      </w:r>
      <w:r w:rsidRPr="00497352">
        <w:rPr>
          <w:rFonts w:ascii="Times New Roman" w:hAnsi="Times New Roman" w:cs="Times New Roman"/>
          <w:sz w:val="24"/>
          <w:szCs w:val="24"/>
        </w:rPr>
        <w:t>sub-</w:t>
      </w:r>
      <w:r w:rsidR="00E152EC" w:rsidRPr="00497352">
        <w:rPr>
          <w:rFonts w:ascii="Times New Roman" w:hAnsi="Times New Roman" w:cs="Times New Roman"/>
          <w:sz w:val="24"/>
          <w:szCs w:val="24"/>
        </w:rPr>
        <w:t>di</w:t>
      </w:r>
      <w:r w:rsidR="008E2081" w:rsidRPr="00497352">
        <w:rPr>
          <w:rFonts w:ascii="Times New Roman" w:hAnsi="Times New Roman" w:cs="Times New Roman"/>
          <w:sz w:val="24"/>
          <w:szCs w:val="24"/>
        </w:rPr>
        <w:t>visional permit was issued to TBI</w:t>
      </w:r>
      <w:r w:rsidR="00E152EC" w:rsidRPr="00497352">
        <w:rPr>
          <w:rFonts w:ascii="Times New Roman" w:hAnsi="Times New Roman" w:cs="Times New Roman"/>
          <w:sz w:val="24"/>
          <w:szCs w:val="24"/>
        </w:rPr>
        <w:t xml:space="preserve">C INVESTMENTS (PRIVATE) LIMITED </w:t>
      </w:r>
      <w:proofErr w:type="gramStart"/>
      <w:r w:rsidR="00E152EC" w:rsidRPr="00497352">
        <w:rPr>
          <w:rFonts w:ascii="Times New Roman" w:hAnsi="Times New Roman" w:cs="Times New Roman"/>
          <w:sz w:val="24"/>
          <w:szCs w:val="24"/>
        </w:rPr>
        <w:t>that is to say the</w:t>
      </w:r>
      <w:proofErr w:type="gramEnd"/>
      <w:r w:rsidR="00E152EC" w:rsidRPr="00497352">
        <w:rPr>
          <w:rFonts w:ascii="Times New Roman" w:hAnsi="Times New Roman" w:cs="Times New Roman"/>
          <w:sz w:val="24"/>
          <w:szCs w:val="24"/>
        </w:rPr>
        <w:t xml:space="preserve"> </w:t>
      </w:r>
      <w:r w:rsidR="00EE2FAD" w:rsidRPr="00497352">
        <w:rPr>
          <w:rFonts w:ascii="Times New Roman" w:hAnsi="Times New Roman" w:cs="Times New Roman"/>
          <w:sz w:val="24"/>
          <w:szCs w:val="24"/>
        </w:rPr>
        <w:t>first</w:t>
      </w:r>
      <w:r w:rsidR="00E152EC" w:rsidRPr="00497352">
        <w:rPr>
          <w:rFonts w:ascii="Times New Roman" w:hAnsi="Times New Roman" w:cs="Times New Roman"/>
          <w:sz w:val="24"/>
          <w:szCs w:val="24"/>
        </w:rPr>
        <w:t xml:space="preserve"> appellant which did not own the land. The court </w:t>
      </w:r>
      <w:r w:rsidR="00E152EC" w:rsidRPr="00497352">
        <w:rPr>
          <w:rFonts w:ascii="Times New Roman" w:hAnsi="Times New Roman" w:cs="Times New Roman"/>
          <w:i/>
          <w:sz w:val="24"/>
          <w:szCs w:val="24"/>
        </w:rPr>
        <w:t>a quo</w:t>
      </w:r>
      <w:r w:rsidR="00E152EC" w:rsidRPr="00497352">
        <w:rPr>
          <w:rFonts w:ascii="Times New Roman" w:hAnsi="Times New Roman" w:cs="Times New Roman"/>
          <w:sz w:val="24"/>
          <w:szCs w:val="24"/>
        </w:rPr>
        <w:t xml:space="preserve"> having correctly determined that the disputed land belonged to the </w:t>
      </w:r>
      <w:r w:rsidR="00E152EC" w:rsidRPr="00497352">
        <w:rPr>
          <w:rFonts w:ascii="Times New Roman" w:hAnsi="Times New Roman" w:cs="Times New Roman"/>
          <w:sz w:val="24"/>
          <w:szCs w:val="24"/>
        </w:rPr>
        <w:lastRenderedPageBreak/>
        <w:t xml:space="preserve">acquiring </w:t>
      </w:r>
      <w:r w:rsidR="008E2081" w:rsidRPr="00497352">
        <w:rPr>
          <w:rFonts w:ascii="Times New Roman" w:hAnsi="Times New Roman" w:cs="Times New Roman"/>
          <w:sz w:val="24"/>
          <w:szCs w:val="24"/>
        </w:rPr>
        <w:t>authority, a sub-</w:t>
      </w:r>
      <w:r w:rsidR="00E152EC" w:rsidRPr="00497352">
        <w:rPr>
          <w:rFonts w:ascii="Times New Roman" w:hAnsi="Times New Roman" w:cs="Times New Roman"/>
          <w:sz w:val="24"/>
          <w:szCs w:val="24"/>
        </w:rPr>
        <w:t xml:space="preserve">divisional permit granted to the </w:t>
      </w:r>
      <w:r w:rsidR="00EE2FAD" w:rsidRPr="00497352">
        <w:rPr>
          <w:rFonts w:ascii="Times New Roman" w:hAnsi="Times New Roman" w:cs="Times New Roman"/>
          <w:sz w:val="24"/>
          <w:szCs w:val="24"/>
        </w:rPr>
        <w:t>first</w:t>
      </w:r>
      <w:r w:rsidR="00E152EC" w:rsidRPr="00497352">
        <w:rPr>
          <w:rFonts w:ascii="Times New Roman" w:hAnsi="Times New Roman" w:cs="Times New Roman"/>
          <w:sz w:val="24"/>
          <w:szCs w:val="24"/>
        </w:rPr>
        <w:t xml:space="preserve"> appellant who did not own the land was </w:t>
      </w:r>
      <w:proofErr w:type="gramStart"/>
      <w:r w:rsidR="00E152EC" w:rsidRPr="00497352">
        <w:rPr>
          <w:rFonts w:ascii="Times New Roman" w:hAnsi="Times New Roman" w:cs="Times New Roman"/>
          <w:sz w:val="24"/>
          <w:szCs w:val="24"/>
        </w:rPr>
        <w:t xml:space="preserve">a nullity </w:t>
      </w:r>
      <w:r w:rsidR="00E152EC" w:rsidRPr="00497352">
        <w:rPr>
          <w:rFonts w:ascii="Times New Roman" w:hAnsi="Times New Roman" w:cs="Times New Roman"/>
          <w:i/>
          <w:sz w:val="24"/>
          <w:szCs w:val="24"/>
        </w:rPr>
        <w:t>ab initio</w:t>
      </w:r>
      <w:proofErr w:type="gramEnd"/>
      <w:r w:rsidR="00E152EC" w:rsidRPr="00497352">
        <w:rPr>
          <w:rFonts w:ascii="Times New Roman" w:hAnsi="Times New Roman" w:cs="Times New Roman"/>
          <w:sz w:val="24"/>
          <w:szCs w:val="24"/>
        </w:rPr>
        <w:t xml:space="preserve"> and of no force or effect.</w:t>
      </w:r>
    </w:p>
    <w:p w:rsidR="00E20833" w:rsidRPr="00497352" w:rsidRDefault="00E20833" w:rsidP="00670D88">
      <w:pPr>
        <w:spacing w:after="0" w:line="480" w:lineRule="auto"/>
        <w:ind w:firstLine="1134"/>
        <w:jc w:val="both"/>
        <w:rPr>
          <w:rFonts w:ascii="Times New Roman" w:hAnsi="Times New Roman" w:cs="Times New Roman"/>
          <w:sz w:val="24"/>
          <w:szCs w:val="24"/>
        </w:rPr>
      </w:pPr>
    </w:p>
    <w:p w:rsidR="00E152EC" w:rsidRPr="00497352" w:rsidRDefault="00E152EC" w:rsidP="00670D88">
      <w:pPr>
        <w:spacing w:after="0" w:line="480" w:lineRule="auto"/>
        <w:ind w:firstLine="1134"/>
        <w:jc w:val="both"/>
        <w:rPr>
          <w:rFonts w:ascii="Times New Roman" w:hAnsi="Times New Roman" w:cs="Times New Roman"/>
          <w:sz w:val="24"/>
          <w:szCs w:val="24"/>
        </w:rPr>
      </w:pPr>
      <w:r w:rsidRPr="00497352">
        <w:rPr>
          <w:rFonts w:ascii="Times New Roman" w:hAnsi="Times New Roman" w:cs="Times New Roman"/>
          <w:sz w:val="24"/>
          <w:szCs w:val="24"/>
        </w:rPr>
        <w:t>A perusal of case law shows that there is no need for the court to pronounce or declare s</w:t>
      </w:r>
      <w:r w:rsidR="004F21F3" w:rsidRPr="00497352">
        <w:rPr>
          <w:rFonts w:ascii="Times New Roman" w:hAnsi="Times New Roman" w:cs="Times New Roman"/>
          <w:sz w:val="24"/>
          <w:szCs w:val="24"/>
        </w:rPr>
        <w:t>omething which is a nullity as</w:t>
      </w:r>
      <w:r w:rsidRPr="00497352">
        <w:rPr>
          <w:rFonts w:ascii="Times New Roman" w:hAnsi="Times New Roman" w:cs="Times New Roman"/>
          <w:sz w:val="24"/>
          <w:szCs w:val="24"/>
        </w:rPr>
        <w:t xml:space="preserve"> being null and void as held in the well-known case of </w:t>
      </w:r>
      <w:proofErr w:type="spellStart"/>
      <w:r w:rsidRPr="00497352">
        <w:rPr>
          <w:rFonts w:ascii="Times New Roman" w:hAnsi="Times New Roman" w:cs="Times New Roman"/>
          <w:i/>
          <w:sz w:val="24"/>
          <w:szCs w:val="24"/>
        </w:rPr>
        <w:t>Mcfoy</w:t>
      </w:r>
      <w:proofErr w:type="spellEnd"/>
      <w:r w:rsidRPr="00497352">
        <w:rPr>
          <w:rFonts w:ascii="Times New Roman" w:hAnsi="Times New Roman" w:cs="Times New Roman"/>
          <w:i/>
          <w:sz w:val="24"/>
          <w:szCs w:val="24"/>
        </w:rPr>
        <w:t xml:space="preserve"> v United Africa Co. Ltd</w:t>
      </w:r>
      <w:r w:rsidRPr="00497352">
        <w:rPr>
          <w:rFonts w:ascii="Times New Roman" w:hAnsi="Times New Roman" w:cs="Times New Roman"/>
          <w:sz w:val="24"/>
          <w:szCs w:val="24"/>
        </w:rPr>
        <w:t xml:space="preserve"> [1961] 3 ALL ER 1169 (PC) at 1172. In that case Lord </w:t>
      </w:r>
      <w:r w:rsidR="00EE2FAD" w:rsidRPr="00497352">
        <w:rPr>
          <w:rFonts w:ascii="Times New Roman" w:hAnsi="Times New Roman" w:cs="Times New Roman"/>
          <w:sz w:val="24"/>
          <w:szCs w:val="24"/>
        </w:rPr>
        <w:t>DENNING</w:t>
      </w:r>
      <w:r w:rsidRPr="00497352">
        <w:rPr>
          <w:rFonts w:ascii="Times New Roman" w:hAnsi="Times New Roman" w:cs="Times New Roman"/>
          <w:sz w:val="24"/>
          <w:szCs w:val="24"/>
        </w:rPr>
        <w:t xml:space="preserve"> had occasion to remark that:</w:t>
      </w:r>
    </w:p>
    <w:p w:rsidR="00E152EC" w:rsidRPr="00497352" w:rsidRDefault="00E152EC" w:rsidP="00E20833">
      <w:pPr>
        <w:spacing w:after="0" w:line="240" w:lineRule="auto"/>
        <w:ind w:left="720"/>
        <w:jc w:val="both"/>
        <w:rPr>
          <w:rFonts w:ascii="Times New Roman" w:hAnsi="Times New Roman" w:cs="Times New Roman"/>
          <w:sz w:val="24"/>
          <w:szCs w:val="24"/>
        </w:rPr>
      </w:pPr>
      <w:r w:rsidRPr="00497352">
        <w:rPr>
          <w:rFonts w:ascii="Times New Roman" w:hAnsi="Times New Roman" w:cs="Times New Roman"/>
          <w:sz w:val="24"/>
          <w:szCs w:val="24"/>
        </w:rPr>
        <w:t xml:space="preserve">“If an act is void, then it is in law a nullity. It is not only bad but incurably bad. </w:t>
      </w:r>
      <w:r w:rsidRPr="00497352">
        <w:rPr>
          <w:rFonts w:ascii="Times New Roman" w:hAnsi="Times New Roman" w:cs="Times New Roman"/>
          <w:sz w:val="24"/>
          <w:szCs w:val="24"/>
          <w:u w:val="single"/>
        </w:rPr>
        <w:t>There is no need for an order of the court to be set aside. It is automatically null and void without more ado, although it is sometimes convenient to have the court declare it to be so</w:t>
      </w:r>
      <w:r w:rsidRPr="00497352">
        <w:rPr>
          <w:rFonts w:ascii="Times New Roman" w:hAnsi="Times New Roman" w:cs="Times New Roman"/>
          <w:sz w:val="24"/>
          <w:szCs w:val="24"/>
        </w:rPr>
        <w:t>. And every proceeding which is founded on it is also bad and incurably bad. You cannot put something on nothing and expect it to stay there. It will collapse.</w:t>
      </w:r>
      <w:r w:rsidR="00EE2FAD" w:rsidRPr="00497352">
        <w:rPr>
          <w:rFonts w:ascii="Times New Roman" w:hAnsi="Times New Roman" w:cs="Times New Roman"/>
          <w:sz w:val="24"/>
          <w:szCs w:val="24"/>
        </w:rPr>
        <w:t>”</w:t>
      </w:r>
      <w:r w:rsidRPr="00497352">
        <w:rPr>
          <w:rFonts w:ascii="Times New Roman" w:hAnsi="Times New Roman" w:cs="Times New Roman"/>
          <w:sz w:val="24"/>
          <w:szCs w:val="24"/>
        </w:rPr>
        <w:t xml:space="preserve"> (</w:t>
      </w:r>
      <w:r w:rsidR="000A68AC" w:rsidRPr="00497352">
        <w:rPr>
          <w:rFonts w:ascii="Times New Roman" w:hAnsi="Times New Roman" w:cs="Times New Roman"/>
          <w:sz w:val="24"/>
          <w:szCs w:val="24"/>
        </w:rPr>
        <w:t>Emphasis</w:t>
      </w:r>
      <w:r w:rsidRPr="00497352">
        <w:rPr>
          <w:rFonts w:ascii="Times New Roman" w:hAnsi="Times New Roman" w:cs="Times New Roman"/>
          <w:sz w:val="24"/>
          <w:szCs w:val="24"/>
        </w:rPr>
        <w:t xml:space="preserve"> provided).</w:t>
      </w:r>
    </w:p>
    <w:p w:rsidR="00E152EC" w:rsidRPr="00497352" w:rsidRDefault="00E152EC" w:rsidP="00670D88">
      <w:pPr>
        <w:spacing w:after="0" w:line="480" w:lineRule="auto"/>
        <w:jc w:val="both"/>
        <w:rPr>
          <w:rFonts w:ascii="Times New Roman" w:hAnsi="Times New Roman" w:cs="Times New Roman"/>
          <w:sz w:val="24"/>
          <w:szCs w:val="24"/>
        </w:rPr>
      </w:pPr>
    </w:p>
    <w:p w:rsidR="00E20833" w:rsidRPr="00497352" w:rsidRDefault="00E20833" w:rsidP="00E20833">
      <w:pPr>
        <w:spacing w:after="0" w:line="240" w:lineRule="auto"/>
        <w:jc w:val="both"/>
        <w:rPr>
          <w:rFonts w:ascii="Times New Roman" w:hAnsi="Times New Roman" w:cs="Times New Roman"/>
          <w:sz w:val="24"/>
          <w:szCs w:val="24"/>
        </w:rPr>
      </w:pPr>
    </w:p>
    <w:p w:rsidR="00C4395E" w:rsidRPr="00497352" w:rsidRDefault="00E152EC" w:rsidP="00670D88">
      <w:pPr>
        <w:spacing w:after="0" w:line="480" w:lineRule="auto"/>
        <w:ind w:firstLine="1134"/>
        <w:jc w:val="both"/>
        <w:rPr>
          <w:rFonts w:ascii="Times New Roman" w:hAnsi="Times New Roman" w:cs="Times New Roman"/>
          <w:sz w:val="24"/>
          <w:szCs w:val="24"/>
        </w:rPr>
      </w:pPr>
      <w:r w:rsidRPr="00497352">
        <w:rPr>
          <w:rFonts w:ascii="Times New Roman" w:hAnsi="Times New Roman" w:cs="Times New Roman"/>
          <w:sz w:val="24"/>
          <w:szCs w:val="24"/>
        </w:rPr>
        <w:t>It is plain common sens</w:t>
      </w:r>
      <w:r w:rsidR="00EE2FAD" w:rsidRPr="00497352">
        <w:rPr>
          <w:rFonts w:ascii="Times New Roman" w:hAnsi="Times New Roman" w:cs="Times New Roman"/>
          <w:sz w:val="24"/>
          <w:szCs w:val="24"/>
        </w:rPr>
        <w:t>e that a permit granted to the first</w:t>
      </w:r>
      <w:r w:rsidRPr="00497352">
        <w:rPr>
          <w:rFonts w:ascii="Times New Roman" w:hAnsi="Times New Roman" w:cs="Times New Roman"/>
          <w:sz w:val="24"/>
          <w:szCs w:val="24"/>
        </w:rPr>
        <w:t xml:space="preserve"> appellant to subdivide land which did not belong to it was a nullity which did not bind anyone. For that </w:t>
      </w:r>
      <w:proofErr w:type="gramStart"/>
      <w:r w:rsidRPr="00497352">
        <w:rPr>
          <w:rFonts w:ascii="Times New Roman" w:hAnsi="Times New Roman" w:cs="Times New Roman"/>
          <w:sz w:val="24"/>
          <w:szCs w:val="24"/>
        </w:rPr>
        <w:t>reason</w:t>
      </w:r>
      <w:proofErr w:type="gramEnd"/>
      <w:r w:rsidRPr="00497352">
        <w:rPr>
          <w:rFonts w:ascii="Times New Roman" w:hAnsi="Times New Roman" w:cs="Times New Roman"/>
          <w:sz w:val="24"/>
          <w:szCs w:val="24"/>
        </w:rPr>
        <w:t xml:space="preserve"> although it was desirable for the court </w:t>
      </w:r>
      <w:r w:rsidRPr="00497352">
        <w:rPr>
          <w:rFonts w:ascii="Times New Roman" w:hAnsi="Times New Roman" w:cs="Times New Roman"/>
          <w:i/>
          <w:sz w:val="24"/>
          <w:szCs w:val="24"/>
        </w:rPr>
        <w:t>a quo</w:t>
      </w:r>
      <w:r w:rsidRPr="00497352">
        <w:rPr>
          <w:rFonts w:ascii="Times New Roman" w:hAnsi="Times New Roman" w:cs="Times New Roman"/>
          <w:sz w:val="24"/>
          <w:szCs w:val="24"/>
        </w:rPr>
        <w:t xml:space="preserve"> to pronounce its verdict </w:t>
      </w:r>
      <w:r w:rsidR="00EE2FAD" w:rsidRPr="00497352">
        <w:rPr>
          <w:rFonts w:ascii="Times New Roman" w:hAnsi="Times New Roman" w:cs="Times New Roman"/>
          <w:sz w:val="24"/>
          <w:szCs w:val="24"/>
        </w:rPr>
        <w:t>on the objection raised by the first</w:t>
      </w:r>
      <w:r w:rsidRPr="00497352">
        <w:rPr>
          <w:rFonts w:ascii="Times New Roman" w:hAnsi="Times New Roman" w:cs="Times New Roman"/>
          <w:sz w:val="24"/>
          <w:szCs w:val="24"/>
        </w:rPr>
        <w:t xml:space="preserve"> appellant, there was no strict</w:t>
      </w:r>
      <w:r w:rsidR="00594E23" w:rsidRPr="00497352">
        <w:rPr>
          <w:rFonts w:ascii="Times New Roman" w:hAnsi="Times New Roman" w:cs="Times New Roman"/>
          <w:sz w:val="24"/>
          <w:szCs w:val="24"/>
        </w:rPr>
        <w:t xml:space="preserve"> </w:t>
      </w:r>
      <w:r w:rsidRPr="00497352">
        <w:rPr>
          <w:rFonts w:ascii="Times New Roman" w:hAnsi="Times New Roman" w:cs="Times New Roman"/>
          <w:sz w:val="24"/>
          <w:szCs w:val="24"/>
        </w:rPr>
        <w:t>requirement to do so at law.</w:t>
      </w:r>
    </w:p>
    <w:p w:rsidR="00E20833" w:rsidRPr="00497352" w:rsidRDefault="00E20833" w:rsidP="00670D88">
      <w:pPr>
        <w:spacing w:after="0" w:line="480" w:lineRule="auto"/>
        <w:ind w:firstLine="1134"/>
        <w:jc w:val="both"/>
        <w:rPr>
          <w:rFonts w:ascii="Times New Roman" w:hAnsi="Times New Roman" w:cs="Times New Roman"/>
          <w:sz w:val="24"/>
          <w:szCs w:val="24"/>
        </w:rPr>
      </w:pPr>
    </w:p>
    <w:p w:rsidR="007D0FEA" w:rsidRPr="00497352" w:rsidRDefault="00C4395E" w:rsidP="00670D88">
      <w:pPr>
        <w:spacing w:after="0" w:line="480" w:lineRule="auto"/>
        <w:ind w:firstLine="1134"/>
        <w:jc w:val="both"/>
        <w:rPr>
          <w:rFonts w:ascii="Times New Roman" w:hAnsi="Times New Roman" w:cs="Times New Roman"/>
          <w:sz w:val="24"/>
          <w:szCs w:val="24"/>
        </w:rPr>
      </w:pPr>
      <w:r w:rsidRPr="00497352">
        <w:rPr>
          <w:rFonts w:ascii="Times New Roman" w:hAnsi="Times New Roman" w:cs="Times New Roman"/>
          <w:sz w:val="24"/>
          <w:szCs w:val="24"/>
        </w:rPr>
        <w:t>It is an established fact that the land in question is registered as agricultural land in the name of the acquiring authority. In the absence of any evidence as to how it ceased to be agricultural land</w:t>
      </w:r>
      <w:r w:rsidR="007D0FEA" w:rsidRPr="00497352">
        <w:rPr>
          <w:rFonts w:ascii="Times New Roman" w:hAnsi="Times New Roman" w:cs="Times New Roman"/>
          <w:sz w:val="24"/>
          <w:szCs w:val="24"/>
        </w:rPr>
        <w:t>,</w:t>
      </w:r>
      <w:r w:rsidRPr="00497352">
        <w:rPr>
          <w:rFonts w:ascii="Times New Roman" w:hAnsi="Times New Roman" w:cs="Times New Roman"/>
          <w:sz w:val="24"/>
          <w:szCs w:val="24"/>
        </w:rPr>
        <w:t xml:space="preserve"> the registration in the Deeds Office prevails.</w:t>
      </w:r>
    </w:p>
    <w:p w:rsidR="00E20833" w:rsidRPr="00497352" w:rsidRDefault="00E20833" w:rsidP="00670D88">
      <w:pPr>
        <w:spacing w:after="0" w:line="480" w:lineRule="auto"/>
        <w:ind w:firstLine="1134"/>
        <w:jc w:val="both"/>
        <w:rPr>
          <w:rFonts w:ascii="Times New Roman" w:hAnsi="Times New Roman" w:cs="Times New Roman"/>
          <w:sz w:val="24"/>
          <w:szCs w:val="24"/>
        </w:rPr>
      </w:pPr>
    </w:p>
    <w:p w:rsidR="005C4BB0" w:rsidRPr="00497352" w:rsidRDefault="002A75F5" w:rsidP="00670D88">
      <w:pPr>
        <w:spacing w:after="0" w:line="480" w:lineRule="auto"/>
        <w:jc w:val="both"/>
        <w:rPr>
          <w:rFonts w:ascii="Times New Roman" w:hAnsi="Times New Roman" w:cs="Times New Roman"/>
          <w:sz w:val="24"/>
          <w:szCs w:val="24"/>
        </w:rPr>
      </w:pPr>
      <w:r w:rsidRPr="00497352">
        <w:rPr>
          <w:rFonts w:ascii="Times New Roman" w:hAnsi="Times New Roman" w:cs="Times New Roman"/>
          <w:sz w:val="24"/>
          <w:szCs w:val="24"/>
        </w:rPr>
        <w:t xml:space="preserve"> </w:t>
      </w:r>
      <w:r w:rsidR="00EE2FAD" w:rsidRPr="00497352">
        <w:rPr>
          <w:rFonts w:ascii="Times New Roman" w:hAnsi="Times New Roman" w:cs="Times New Roman"/>
          <w:sz w:val="24"/>
          <w:szCs w:val="24"/>
        </w:rPr>
        <w:tab/>
      </w:r>
      <w:r w:rsidR="00EE2FAD" w:rsidRPr="00497352">
        <w:rPr>
          <w:rFonts w:ascii="Times New Roman" w:hAnsi="Times New Roman" w:cs="Times New Roman"/>
          <w:sz w:val="24"/>
          <w:szCs w:val="24"/>
        </w:rPr>
        <w:tab/>
      </w:r>
      <w:r w:rsidRPr="00497352">
        <w:rPr>
          <w:rFonts w:ascii="Times New Roman" w:hAnsi="Times New Roman" w:cs="Times New Roman"/>
          <w:sz w:val="24"/>
          <w:szCs w:val="24"/>
        </w:rPr>
        <w:t xml:space="preserve">In the case of </w:t>
      </w:r>
      <w:proofErr w:type="spellStart"/>
      <w:r w:rsidRPr="00497352">
        <w:rPr>
          <w:rFonts w:ascii="Times New Roman" w:hAnsi="Times New Roman" w:cs="Times New Roman"/>
          <w:i/>
          <w:sz w:val="24"/>
          <w:szCs w:val="24"/>
        </w:rPr>
        <w:t>Lilifort</w:t>
      </w:r>
      <w:proofErr w:type="spellEnd"/>
      <w:r w:rsidRPr="00497352">
        <w:rPr>
          <w:rFonts w:ascii="Times New Roman" w:hAnsi="Times New Roman" w:cs="Times New Roman"/>
          <w:i/>
          <w:sz w:val="24"/>
          <w:szCs w:val="24"/>
        </w:rPr>
        <w:t xml:space="preserve"> Toro v </w:t>
      </w:r>
      <w:proofErr w:type="spellStart"/>
      <w:r w:rsidRPr="00497352">
        <w:rPr>
          <w:rFonts w:ascii="Times New Roman" w:hAnsi="Times New Roman" w:cs="Times New Roman"/>
          <w:i/>
          <w:sz w:val="24"/>
          <w:szCs w:val="24"/>
        </w:rPr>
        <w:t>Vodge</w:t>
      </w:r>
      <w:proofErr w:type="spellEnd"/>
      <w:r w:rsidRPr="00497352">
        <w:rPr>
          <w:rFonts w:ascii="Times New Roman" w:hAnsi="Times New Roman" w:cs="Times New Roman"/>
          <w:i/>
          <w:sz w:val="24"/>
          <w:szCs w:val="24"/>
        </w:rPr>
        <w:t xml:space="preserve"> Investments (Pvt) Ltd</w:t>
      </w:r>
      <w:r w:rsidRPr="00497352">
        <w:rPr>
          <w:rFonts w:ascii="Times New Roman" w:hAnsi="Times New Roman" w:cs="Times New Roman"/>
          <w:sz w:val="24"/>
          <w:szCs w:val="24"/>
        </w:rPr>
        <w:t xml:space="preserve"> </w:t>
      </w:r>
      <w:r w:rsidR="000E12CF" w:rsidRPr="00497352">
        <w:rPr>
          <w:rFonts w:ascii="Times New Roman" w:hAnsi="Times New Roman" w:cs="Times New Roman"/>
          <w:sz w:val="24"/>
          <w:szCs w:val="24"/>
        </w:rPr>
        <w:t xml:space="preserve">SC 15/2017, </w:t>
      </w:r>
      <w:r w:rsidRPr="00497352">
        <w:rPr>
          <w:rFonts w:ascii="Times New Roman" w:hAnsi="Times New Roman" w:cs="Times New Roman"/>
          <w:sz w:val="24"/>
          <w:szCs w:val="24"/>
        </w:rPr>
        <w:t xml:space="preserve">there was </w:t>
      </w:r>
      <w:proofErr w:type="gramStart"/>
      <w:r w:rsidRPr="00497352">
        <w:rPr>
          <w:rFonts w:ascii="Times New Roman" w:hAnsi="Times New Roman" w:cs="Times New Roman"/>
          <w:sz w:val="24"/>
          <w:szCs w:val="24"/>
        </w:rPr>
        <w:t>clear evidence</w:t>
      </w:r>
      <w:proofErr w:type="gramEnd"/>
      <w:r w:rsidRPr="00497352">
        <w:rPr>
          <w:rFonts w:ascii="Times New Roman" w:hAnsi="Times New Roman" w:cs="Times New Roman"/>
          <w:sz w:val="24"/>
          <w:szCs w:val="24"/>
        </w:rPr>
        <w:t xml:space="preserve"> as to how the land had ceased to be agricultural land to become urban land by vir</w:t>
      </w:r>
      <w:r w:rsidR="000E12CF" w:rsidRPr="00497352">
        <w:rPr>
          <w:rFonts w:ascii="Times New Roman" w:hAnsi="Times New Roman" w:cs="Times New Roman"/>
          <w:sz w:val="24"/>
          <w:szCs w:val="24"/>
        </w:rPr>
        <w:t>tue of Proclamation 3 of 2012</w:t>
      </w:r>
      <w:r w:rsidR="008E2081" w:rsidRPr="00497352">
        <w:rPr>
          <w:rFonts w:ascii="Times New Roman" w:hAnsi="Times New Roman" w:cs="Times New Roman"/>
          <w:sz w:val="24"/>
          <w:szCs w:val="24"/>
        </w:rPr>
        <w:t>,</w:t>
      </w:r>
      <w:r w:rsidR="000E12CF" w:rsidRPr="00497352">
        <w:rPr>
          <w:rFonts w:ascii="Times New Roman" w:hAnsi="Times New Roman" w:cs="Times New Roman"/>
          <w:sz w:val="24"/>
          <w:szCs w:val="24"/>
        </w:rPr>
        <w:t xml:space="preserve"> S.</w:t>
      </w:r>
      <w:r w:rsidRPr="00497352">
        <w:rPr>
          <w:rFonts w:ascii="Times New Roman" w:hAnsi="Times New Roman" w:cs="Times New Roman"/>
          <w:sz w:val="24"/>
          <w:szCs w:val="24"/>
        </w:rPr>
        <w:t>I 115 of 2012.</w:t>
      </w:r>
      <w:r w:rsidR="007D0FEA" w:rsidRPr="00497352">
        <w:rPr>
          <w:rFonts w:ascii="Times New Roman" w:hAnsi="Times New Roman" w:cs="Times New Roman"/>
          <w:sz w:val="24"/>
          <w:szCs w:val="24"/>
        </w:rPr>
        <w:t xml:space="preserve"> This was followed up b</w:t>
      </w:r>
      <w:r w:rsidR="000E12CF" w:rsidRPr="00497352">
        <w:rPr>
          <w:rFonts w:ascii="Times New Roman" w:hAnsi="Times New Roman" w:cs="Times New Roman"/>
          <w:sz w:val="24"/>
          <w:szCs w:val="24"/>
        </w:rPr>
        <w:t>y</w:t>
      </w:r>
      <w:r w:rsidR="007D0FEA" w:rsidRPr="00497352">
        <w:rPr>
          <w:rFonts w:ascii="Times New Roman" w:hAnsi="Times New Roman" w:cs="Times New Roman"/>
          <w:sz w:val="24"/>
          <w:szCs w:val="24"/>
        </w:rPr>
        <w:t xml:space="preserve"> an official hand over of the land through a </w:t>
      </w:r>
      <w:r w:rsidR="00EE2FAD" w:rsidRPr="00497352">
        <w:rPr>
          <w:rFonts w:ascii="Times New Roman" w:hAnsi="Times New Roman" w:cs="Times New Roman"/>
          <w:sz w:val="24"/>
          <w:szCs w:val="24"/>
        </w:rPr>
        <w:t>letter dated 10 </w:t>
      </w:r>
      <w:r w:rsidR="000E12CF" w:rsidRPr="00497352">
        <w:rPr>
          <w:rFonts w:ascii="Times New Roman" w:hAnsi="Times New Roman" w:cs="Times New Roman"/>
          <w:sz w:val="24"/>
          <w:szCs w:val="24"/>
        </w:rPr>
        <w:t xml:space="preserve">June 2013. </w:t>
      </w:r>
    </w:p>
    <w:p w:rsidR="00E20833" w:rsidRPr="00497352" w:rsidRDefault="00E20833" w:rsidP="00670D88">
      <w:pPr>
        <w:spacing w:after="0" w:line="480" w:lineRule="auto"/>
        <w:jc w:val="both"/>
        <w:rPr>
          <w:rFonts w:ascii="Times New Roman" w:hAnsi="Times New Roman" w:cs="Times New Roman"/>
          <w:sz w:val="24"/>
          <w:szCs w:val="24"/>
        </w:rPr>
      </w:pPr>
    </w:p>
    <w:p w:rsidR="00BB548C" w:rsidRPr="00497352" w:rsidRDefault="005C4BB0" w:rsidP="00670D88">
      <w:pPr>
        <w:spacing w:after="0" w:line="480" w:lineRule="auto"/>
        <w:ind w:firstLine="1134"/>
        <w:jc w:val="both"/>
        <w:rPr>
          <w:rFonts w:ascii="Times New Roman" w:hAnsi="Times New Roman" w:cs="Times New Roman"/>
          <w:sz w:val="24"/>
          <w:szCs w:val="24"/>
        </w:rPr>
      </w:pPr>
      <w:r w:rsidRPr="00497352">
        <w:rPr>
          <w:rFonts w:ascii="Times New Roman" w:hAnsi="Times New Roman" w:cs="Times New Roman"/>
          <w:sz w:val="24"/>
          <w:szCs w:val="24"/>
        </w:rPr>
        <w:lastRenderedPageBreak/>
        <w:t>I</w:t>
      </w:r>
      <w:r w:rsidR="000E12CF" w:rsidRPr="00497352">
        <w:rPr>
          <w:rFonts w:ascii="Times New Roman" w:hAnsi="Times New Roman" w:cs="Times New Roman"/>
          <w:sz w:val="24"/>
          <w:szCs w:val="24"/>
        </w:rPr>
        <w:t>n this case, nothing of the sort happened. Th</w:t>
      </w:r>
      <w:r w:rsidR="008C63D9" w:rsidRPr="00497352">
        <w:rPr>
          <w:rFonts w:ascii="Times New Roman" w:hAnsi="Times New Roman" w:cs="Times New Roman"/>
          <w:sz w:val="24"/>
          <w:szCs w:val="24"/>
        </w:rPr>
        <w:t>e acquiring authority continue</w:t>
      </w:r>
      <w:r w:rsidR="000E12CF" w:rsidRPr="00497352">
        <w:rPr>
          <w:rFonts w:ascii="Times New Roman" w:hAnsi="Times New Roman" w:cs="Times New Roman"/>
          <w:sz w:val="24"/>
          <w:szCs w:val="24"/>
        </w:rPr>
        <w:t xml:space="preserve">s to claim ownership of the land </w:t>
      </w:r>
      <w:r w:rsidR="007D0FEA" w:rsidRPr="00497352">
        <w:rPr>
          <w:rFonts w:ascii="Times New Roman" w:hAnsi="Times New Roman" w:cs="Times New Roman"/>
          <w:sz w:val="24"/>
          <w:szCs w:val="24"/>
        </w:rPr>
        <w:t>registered</w:t>
      </w:r>
      <w:r w:rsidR="006E7630" w:rsidRPr="00497352">
        <w:rPr>
          <w:rFonts w:ascii="Times New Roman" w:hAnsi="Times New Roman" w:cs="Times New Roman"/>
          <w:sz w:val="24"/>
          <w:szCs w:val="24"/>
        </w:rPr>
        <w:t xml:space="preserve"> in hi</w:t>
      </w:r>
      <w:r w:rsidR="000E12CF" w:rsidRPr="00497352">
        <w:rPr>
          <w:rFonts w:ascii="Times New Roman" w:hAnsi="Times New Roman" w:cs="Times New Roman"/>
          <w:sz w:val="24"/>
          <w:szCs w:val="24"/>
        </w:rPr>
        <w:t xml:space="preserve">s name. It is trite </w:t>
      </w:r>
      <w:r w:rsidRPr="00497352">
        <w:rPr>
          <w:rFonts w:ascii="Times New Roman" w:hAnsi="Times New Roman" w:cs="Times New Roman"/>
          <w:sz w:val="24"/>
          <w:szCs w:val="24"/>
        </w:rPr>
        <w:t>that registration in the Deeds R</w:t>
      </w:r>
      <w:r w:rsidR="000E12CF" w:rsidRPr="00497352">
        <w:rPr>
          <w:rFonts w:ascii="Times New Roman" w:hAnsi="Times New Roman" w:cs="Times New Roman"/>
          <w:sz w:val="24"/>
          <w:szCs w:val="24"/>
        </w:rPr>
        <w:t xml:space="preserve">egistry constitutes </w:t>
      </w:r>
      <w:r w:rsidRPr="00497352">
        <w:rPr>
          <w:rFonts w:ascii="Times New Roman" w:hAnsi="Times New Roman" w:cs="Times New Roman"/>
          <w:sz w:val="24"/>
          <w:szCs w:val="24"/>
        </w:rPr>
        <w:t>proof of</w:t>
      </w:r>
      <w:r w:rsidR="00D77749" w:rsidRPr="00497352">
        <w:rPr>
          <w:rFonts w:ascii="Times New Roman" w:hAnsi="Times New Roman" w:cs="Times New Roman"/>
          <w:sz w:val="24"/>
          <w:szCs w:val="24"/>
        </w:rPr>
        <w:t xml:space="preserve"> </w:t>
      </w:r>
      <w:r w:rsidR="000E12CF" w:rsidRPr="00497352">
        <w:rPr>
          <w:rFonts w:ascii="Times New Roman" w:hAnsi="Times New Roman" w:cs="Times New Roman"/>
          <w:sz w:val="24"/>
          <w:szCs w:val="24"/>
        </w:rPr>
        <w:t>ownership of land.</w:t>
      </w:r>
      <w:r w:rsidR="007D0FEA" w:rsidRPr="00497352">
        <w:rPr>
          <w:rFonts w:ascii="Times New Roman" w:hAnsi="Times New Roman" w:cs="Times New Roman"/>
          <w:sz w:val="24"/>
          <w:szCs w:val="24"/>
        </w:rPr>
        <w:t xml:space="preserve"> </w:t>
      </w:r>
      <w:r w:rsidR="007D28DA" w:rsidRPr="00497352">
        <w:rPr>
          <w:rFonts w:ascii="Times New Roman" w:hAnsi="Times New Roman" w:cs="Times New Roman"/>
          <w:sz w:val="24"/>
          <w:szCs w:val="24"/>
        </w:rPr>
        <w:t xml:space="preserve"> All </w:t>
      </w:r>
      <w:r w:rsidR="00BB548C" w:rsidRPr="00497352">
        <w:rPr>
          <w:rFonts w:ascii="Times New Roman" w:hAnsi="Times New Roman" w:cs="Times New Roman"/>
          <w:sz w:val="24"/>
          <w:szCs w:val="24"/>
        </w:rPr>
        <w:t xml:space="preserve">the parties to </w:t>
      </w:r>
      <w:r w:rsidR="007D28DA" w:rsidRPr="00497352">
        <w:rPr>
          <w:rFonts w:ascii="Times New Roman" w:hAnsi="Times New Roman" w:cs="Times New Roman"/>
          <w:sz w:val="24"/>
          <w:szCs w:val="24"/>
        </w:rPr>
        <w:t>this case</w:t>
      </w:r>
      <w:r w:rsidRPr="00497352">
        <w:rPr>
          <w:rFonts w:ascii="Times New Roman" w:hAnsi="Times New Roman" w:cs="Times New Roman"/>
          <w:sz w:val="24"/>
          <w:szCs w:val="24"/>
        </w:rPr>
        <w:t xml:space="preserve"> looked up</w:t>
      </w:r>
      <w:r w:rsidR="007D28DA" w:rsidRPr="00497352">
        <w:rPr>
          <w:rFonts w:ascii="Times New Roman" w:hAnsi="Times New Roman" w:cs="Times New Roman"/>
          <w:sz w:val="24"/>
          <w:szCs w:val="24"/>
        </w:rPr>
        <w:t xml:space="preserve"> to</w:t>
      </w:r>
      <w:r w:rsidRPr="00497352">
        <w:rPr>
          <w:rFonts w:ascii="Times New Roman" w:hAnsi="Times New Roman" w:cs="Times New Roman"/>
          <w:sz w:val="24"/>
          <w:szCs w:val="24"/>
        </w:rPr>
        <w:t xml:space="preserve"> him for relief without any reference to the Minister of Local Government Rural and Urban Development.</w:t>
      </w:r>
      <w:r w:rsidR="00C57DA5" w:rsidRPr="00497352">
        <w:rPr>
          <w:rFonts w:ascii="Times New Roman" w:hAnsi="Times New Roman" w:cs="Times New Roman"/>
          <w:sz w:val="24"/>
          <w:szCs w:val="24"/>
        </w:rPr>
        <w:t xml:space="preserve"> This amounts to</w:t>
      </w:r>
      <w:r w:rsidRPr="00497352">
        <w:rPr>
          <w:rFonts w:ascii="Times New Roman" w:hAnsi="Times New Roman" w:cs="Times New Roman"/>
          <w:sz w:val="24"/>
          <w:szCs w:val="24"/>
        </w:rPr>
        <w:t xml:space="preserve"> recognition of his ownership and authority over the disputed land.</w:t>
      </w:r>
      <w:r w:rsidR="00C57DA5" w:rsidRPr="00497352">
        <w:rPr>
          <w:rFonts w:ascii="Times New Roman" w:hAnsi="Times New Roman" w:cs="Times New Roman"/>
          <w:sz w:val="24"/>
          <w:szCs w:val="24"/>
        </w:rPr>
        <w:t xml:space="preserve"> That</w:t>
      </w:r>
      <w:r w:rsidR="00BB548C" w:rsidRPr="00497352">
        <w:rPr>
          <w:rFonts w:ascii="Times New Roman" w:hAnsi="Times New Roman" w:cs="Times New Roman"/>
          <w:sz w:val="24"/>
          <w:szCs w:val="24"/>
        </w:rPr>
        <w:t xml:space="preserve"> is ample proof that the Minister of Local Government had no Authority to convert agricultural land to urban Land without the consent of his colleague, the acquiring authority.</w:t>
      </w:r>
      <w:r w:rsidR="00C57DA5" w:rsidRPr="00497352">
        <w:rPr>
          <w:rFonts w:ascii="Times New Roman" w:hAnsi="Times New Roman" w:cs="Times New Roman"/>
          <w:sz w:val="24"/>
          <w:szCs w:val="24"/>
        </w:rPr>
        <w:t xml:space="preserve"> Any purported change of ownership of the land </w:t>
      </w:r>
      <w:r w:rsidR="008E2081" w:rsidRPr="00497352">
        <w:rPr>
          <w:rFonts w:ascii="Times New Roman" w:hAnsi="Times New Roman" w:cs="Times New Roman"/>
          <w:sz w:val="24"/>
          <w:szCs w:val="24"/>
        </w:rPr>
        <w:t>without</w:t>
      </w:r>
      <w:r w:rsidR="00C57DA5" w:rsidRPr="00497352">
        <w:rPr>
          <w:rFonts w:ascii="Times New Roman" w:hAnsi="Times New Roman" w:cs="Times New Roman"/>
          <w:sz w:val="24"/>
          <w:szCs w:val="24"/>
        </w:rPr>
        <w:t xml:space="preserve"> the consent of the acquiring a</w:t>
      </w:r>
      <w:r w:rsidR="00EE2FAD" w:rsidRPr="00497352">
        <w:rPr>
          <w:rFonts w:ascii="Times New Roman" w:hAnsi="Times New Roman" w:cs="Times New Roman"/>
          <w:sz w:val="24"/>
          <w:szCs w:val="24"/>
        </w:rPr>
        <w:t xml:space="preserve">uthority was therefore a legal </w:t>
      </w:r>
      <w:r w:rsidR="00C57DA5" w:rsidRPr="00497352">
        <w:rPr>
          <w:rFonts w:ascii="Times New Roman" w:hAnsi="Times New Roman" w:cs="Times New Roman"/>
          <w:sz w:val="24"/>
          <w:szCs w:val="24"/>
        </w:rPr>
        <w:t>nullity and of no force or effect.</w:t>
      </w:r>
    </w:p>
    <w:p w:rsidR="00E20833" w:rsidRPr="00497352" w:rsidRDefault="00E20833" w:rsidP="00670D88">
      <w:pPr>
        <w:spacing w:after="0" w:line="480" w:lineRule="auto"/>
        <w:ind w:firstLine="1134"/>
        <w:jc w:val="both"/>
        <w:rPr>
          <w:rFonts w:ascii="Times New Roman" w:hAnsi="Times New Roman" w:cs="Times New Roman"/>
          <w:sz w:val="24"/>
          <w:szCs w:val="24"/>
        </w:rPr>
      </w:pPr>
    </w:p>
    <w:p w:rsidR="001113DC" w:rsidRDefault="00E152EC" w:rsidP="00670D88">
      <w:pPr>
        <w:spacing w:after="0" w:line="480" w:lineRule="auto"/>
        <w:ind w:firstLine="1134"/>
        <w:jc w:val="both"/>
        <w:rPr>
          <w:rFonts w:ascii="Times New Roman" w:hAnsi="Times New Roman" w:cs="Times New Roman"/>
          <w:sz w:val="24"/>
          <w:szCs w:val="24"/>
        </w:rPr>
      </w:pPr>
      <w:r w:rsidRPr="00497352">
        <w:rPr>
          <w:rFonts w:ascii="Times New Roman" w:hAnsi="Times New Roman" w:cs="Times New Roman"/>
          <w:sz w:val="24"/>
          <w:szCs w:val="24"/>
        </w:rPr>
        <w:t>In the final analysis we come to the unanimous conclusion that there is absolutely no merit in this appeal</w:t>
      </w:r>
      <w:r w:rsidR="001113DC" w:rsidRPr="00497352">
        <w:rPr>
          <w:rFonts w:ascii="Times New Roman" w:hAnsi="Times New Roman" w:cs="Times New Roman"/>
          <w:sz w:val="24"/>
          <w:szCs w:val="24"/>
        </w:rPr>
        <w:t>.</w:t>
      </w:r>
    </w:p>
    <w:p w:rsidR="003771B5" w:rsidRPr="00497352" w:rsidRDefault="003771B5" w:rsidP="00670D88">
      <w:pPr>
        <w:spacing w:after="0" w:line="480" w:lineRule="auto"/>
        <w:ind w:firstLine="1134"/>
        <w:jc w:val="both"/>
        <w:rPr>
          <w:rFonts w:ascii="Times New Roman" w:hAnsi="Times New Roman" w:cs="Times New Roman"/>
          <w:sz w:val="24"/>
          <w:szCs w:val="24"/>
        </w:rPr>
      </w:pPr>
    </w:p>
    <w:p w:rsidR="001113DC" w:rsidRPr="00497352" w:rsidRDefault="001113DC" w:rsidP="00670D88">
      <w:pPr>
        <w:spacing w:after="0" w:line="480" w:lineRule="auto"/>
        <w:ind w:firstLine="1134"/>
        <w:jc w:val="both"/>
        <w:rPr>
          <w:rFonts w:ascii="Times New Roman" w:hAnsi="Times New Roman" w:cs="Times New Roman"/>
          <w:sz w:val="24"/>
          <w:szCs w:val="24"/>
        </w:rPr>
      </w:pPr>
      <w:r w:rsidRPr="00497352">
        <w:rPr>
          <w:rFonts w:ascii="Times New Roman" w:hAnsi="Times New Roman" w:cs="Times New Roman"/>
          <w:sz w:val="24"/>
          <w:szCs w:val="24"/>
        </w:rPr>
        <w:t>I</w:t>
      </w:r>
      <w:r w:rsidR="00E152EC" w:rsidRPr="00497352">
        <w:rPr>
          <w:rFonts w:ascii="Times New Roman" w:hAnsi="Times New Roman" w:cs="Times New Roman"/>
          <w:sz w:val="24"/>
          <w:szCs w:val="24"/>
        </w:rPr>
        <w:t xml:space="preserve">t is accordingly ordered </w:t>
      </w:r>
      <w:r w:rsidRPr="00497352">
        <w:rPr>
          <w:rFonts w:ascii="Times New Roman" w:hAnsi="Times New Roman" w:cs="Times New Roman"/>
          <w:sz w:val="24"/>
          <w:szCs w:val="24"/>
        </w:rPr>
        <w:t>as follows:</w:t>
      </w:r>
    </w:p>
    <w:p w:rsidR="00E152EC" w:rsidRPr="00497352" w:rsidRDefault="001113DC" w:rsidP="00670D88">
      <w:pPr>
        <w:spacing w:after="0" w:line="480" w:lineRule="auto"/>
        <w:jc w:val="both"/>
        <w:rPr>
          <w:rFonts w:ascii="Times New Roman" w:hAnsi="Times New Roman" w:cs="Times New Roman"/>
          <w:sz w:val="24"/>
          <w:szCs w:val="24"/>
        </w:rPr>
      </w:pPr>
      <w:r w:rsidRPr="00497352">
        <w:rPr>
          <w:rFonts w:ascii="Times New Roman" w:hAnsi="Times New Roman" w:cs="Times New Roman"/>
          <w:sz w:val="24"/>
          <w:szCs w:val="24"/>
        </w:rPr>
        <w:t>T</w:t>
      </w:r>
      <w:r w:rsidR="00E152EC" w:rsidRPr="00497352">
        <w:rPr>
          <w:rFonts w:ascii="Times New Roman" w:hAnsi="Times New Roman" w:cs="Times New Roman"/>
          <w:sz w:val="24"/>
          <w:szCs w:val="24"/>
        </w:rPr>
        <w:t>hat the appeal be and is hereby dismissed with costs.</w:t>
      </w:r>
    </w:p>
    <w:p w:rsidR="004C3A45" w:rsidRPr="00497352" w:rsidRDefault="004C3A45" w:rsidP="00670D88">
      <w:pPr>
        <w:spacing w:after="0" w:line="480" w:lineRule="auto"/>
        <w:jc w:val="both"/>
        <w:rPr>
          <w:rFonts w:ascii="Times New Roman" w:hAnsi="Times New Roman" w:cs="Times New Roman"/>
          <w:sz w:val="24"/>
          <w:szCs w:val="24"/>
        </w:rPr>
      </w:pPr>
    </w:p>
    <w:p w:rsidR="00E20833" w:rsidRPr="00497352" w:rsidRDefault="00E20833" w:rsidP="003771B5">
      <w:pPr>
        <w:spacing w:after="0" w:line="240" w:lineRule="auto"/>
        <w:jc w:val="both"/>
        <w:rPr>
          <w:rFonts w:ascii="Times New Roman" w:hAnsi="Times New Roman" w:cs="Times New Roman"/>
          <w:sz w:val="24"/>
          <w:szCs w:val="24"/>
        </w:rPr>
      </w:pPr>
    </w:p>
    <w:p w:rsidR="004C3A45" w:rsidRPr="00497352" w:rsidRDefault="004C3A45" w:rsidP="00670D88">
      <w:pPr>
        <w:spacing w:after="0" w:line="480" w:lineRule="auto"/>
        <w:jc w:val="both"/>
        <w:rPr>
          <w:rFonts w:ascii="Times New Roman" w:hAnsi="Times New Roman" w:cs="Times New Roman"/>
          <w:sz w:val="24"/>
          <w:szCs w:val="24"/>
        </w:rPr>
      </w:pPr>
      <w:r w:rsidRPr="00497352">
        <w:rPr>
          <w:rFonts w:ascii="Times New Roman" w:hAnsi="Times New Roman" w:cs="Times New Roman"/>
          <w:sz w:val="24"/>
          <w:szCs w:val="24"/>
        </w:rPr>
        <w:tab/>
      </w:r>
      <w:r w:rsidRPr="00497352">
        <w:rPr>
          <w:rFonts w:ascii="Times New Roman" w:hAnsi="Times New Roman" w:cs="Times New Roman"/>
          <w:sz w:val="24"/>
          <w:szCs w:val="24"/>
        </w:rPr>
        <w:tab/>
      </w:r>
      <w:r w:rsidRPr="00497352">
        <w:rPr>
          <w:rFonts w:ascii="Times New Roman" w:hAnsi="Times New Roman" w:cs="Times New Roman"/>
          <w:b/>
          <w:sz w:val="24"/>
          <w:szCs w:val="24"/>
        </w:rPr>
        <w:t>GWAUNZA JA</w:t>
      </w:r>
      <w:r w:rsidRPr="00497352">
        <w:rPr>
          <w:rFonts w:ascii="Times New Roman" w:hAnsi="Times New Roman" w:cs="Times New Roman"/>
          <w:sz w:val="24"/>
          <w:szCs w:val="24"/>
        </w:rPr>
        <w:tab/>
      </w:r>
      <w:r w:rsidRPr="00497352">
        <w:rPr>
          <w:rFonts w:ascii="Times New Roman" w:hAnsi="Times New Roman" w:cs="Times New Roman"/>
          <w:sz w:val="24"/>
          <w:szCs w:val="24"/>
        </w:rPr>
        <w:tab/>
        <w:t>I agree</w:t>
      </w:r>
    </w:p>
    <w:p w:rsidR="004C3A45" w:rsidRPr="00497352" w:rsidRDefault="004C3A45" w:rsidP="003771B5">
      <w:pPr>
        <w:spacing w:after="0" w:line="240" w:lineRule="auto"/>
        <w:jc w:val="both"/>
        <w:rPr>
          <w:rFonts w:ascii="Times New Roman" w:hAnsi="Times New Roman" w:cs="Times New Roman"/>
          <w:sz w:val="24"/>
          <w:szCs w:val="24"/>
        </w:rPr>
      </w:pPr>
    </w:p>
    <w:p w:rsidR="00E20833" w:rsidRPr="00497352" w:rsidRDefault="00E20833" w:rsidP="00670D88">
      <w:pPr>
        <w:spacing w:after="0" w:line="480" w:lineRule="auto"/>
        <w:jc w:val="both"/>
        <w:rPr>
          <w:rFonts w:ascii="Times New Roman" w:hAnsi="Times New Roman" w:cs="Times New Roman"/>
          <w:sz w:val="24"/>
          <w:szCs w:val="24"/>
        </w:rPr>
      </w:pPr>
    </w:p>
    <w:p w:rsidR="004C3A45" w:rsidRPr="00497352" w:rsidRDefault="004C3A45" w:rsidP="00670D88">
      <w:pPr>
        <w:spacing w:after="0" w:line="480" w:lineRule="auto"/>
        <w:jc w:val="both"/>
        <w:rPr>
          <w:rFonts w:ascii="Times New Roman" w:hAnsi="Times New Roman" w:cs="Times New Roman"/>
          <w:sz w:val="24"/>
          <w:szCs w:val="24"/>
        </w:rPr>
      </w:pPr>
      <w:r w:rsidRPr="00497352">
        <w:rPr>
          <w:rFonts w:ascii="Times New Roman" w:hAnsi="Times New Roman" w:cs="Times New Roman"/>
          <w:sz w:val="24"/>
          <w:szCs w:val="24"/>
        </w:rPr>
        <w:tab/>
      </w:r>
      <w:r w:rsidRPr="00497352">
        <w:rPr>
          <w:rFonts w:ascii="Times New Roman" w:hAnsi="Times New Roman" w:cs="Times New Roman"/>
          <w:sz w:val="24"/>
          <w:szCs w:val="24"/>
        </w:rPr>
        <w:tab/>
      </w:r>
      <w:r w:rsidRPr="00497352">
        <w:rPr>
          <w:rFonts w:ascii="Times New Roman" w:hAnsi="Times New Roman" w:cs="Times New Roman"/>
          <w:b/>
          <w:sz w:val="24"/>
          <w:szCs w:val="24"/>
        </w:rPr>
        <w:t>GOWORA JA</w:t>
      </w:r>
      <w:r w:rsidRPr="00497352">
        <w:rPr>
          <w:rFonts w:ascii="Times New Roman" w:hAnsi="Times New Roman" w:cs="Times New Roman"/>
          <w:sz w:val="24"/>
          <w:szCs w:val="24"/>
        </w:rPr>
        <w:tab/>
      </w:r>
      <w:r w:rsidRPr="00497352">
        <w:rPr>
          <w:rFonts w:ascii="Times New Roman" w:hAnsi="Times New Roman" w:cs="Times New Roman"/>
          <w:sz w:val="24"/>
          <w:szCs w:val="24"/>
        </w:rPr>
        <w:tab/>
        <w:t>I agree</w:t>
      </w:r>
    </w:p>
    <w:p w:rsidR="00E152EC" w:rsidRPr="00497352" w:rsidRDefault="00E152EC" w:rsidP="003771B5">
      <w:pPr>
        <w:spacing w:after="0" w:line="240" w:lineRule="auto"/>
        <w:jc w:val="both"/>
        <w:rPr>
          <w:rFonts w:ascii="Times New Roman" w:hAnsi="Times New Roman" w:cs="Times New Roman"/>
          <w:sz w:val="24"/>
          <w:szCs w:val="24"/>
        </w:rPr>
      </w:pPr>
    </w:p>
    <w:p w:rsidR="00E20833" w:rsidRPr="00497352" w:rsidRDefault="00E20833" w:rsidP="00670D88">
      <w:pPr>
        <w:spacing w:after="0" w:line="480" w:lineRule="auto"/>
        <w:jc w:val="both"/>
        <w:rPr>
          <w:rFonts w:ascii="Times New Roman" w:hAnsi="Times New Roman" w:cs="Times New Roman"/>
          <w:sz w:val="24"/>
          <w:szCs w:val="24"/>
        </w:rPr>
      </w:pPr>
    </w:p>
    <w:p w:rsidR="00E152EC" w:rsidRPr="00497352" w:rsidRDefault="00E152EC" w:rsidP="00670D88">
      <w:pPr>
        <w:spacing w:after="0" w:line="480" w:lineRule="auto"/>
        <w:jc w:val="both"/>
        <w:rPr>
          <w:rFonts w:ascii="Times New Roman" w:hAnsi="Times New Roman" w:cs="Times New Roman"/>
          <w:i/>
          <w:sz w:val="24"/>
          <w:szCs w:val="24"/>
        </w:rPr>
      </w:pPr>
      <w:r w:rsidRPr="00497352">
        <w:rPr>
          <w:rFonts w:ascii="Times New Roman" w:hAnsi="Times New Roman" w:cs="Times New Roman"/>
          <w:i/>
          <w:sz w:val="24"/>
          <w:szCs w:val="24"/>
        </w:rPr>
        <w:t xml:space="preserve">Gama &amp; Partners, </w:t>
      </w:r>
      <w:r w:rsidR="00670D88" w:rsidRPr="00497352">
        <w:rPr>
          <w:rFonts w:ascii="Times New Roman" w:hAnsi="Times New Roman" w:cs="Times New Roman"/>
          <w:sz w:val="24"/>
          <w:szCs w:val="24"/>
        </w:rPr>
        <w:t>appellants’</w:t>
      </w:r>
      <w:r w:rsidR="00EE2FAD" w:rsidRPr="00497352">
        <w:rPr>
          <w:rFonts w:ascii="Times New Roman" w:hAnsi="Times New Roman" w:cs="Times New Roman"/>
          <w:sz w:val="24"/>
          <w:szCs w:val="24"/>
        </w:rPr>
        <w:t xml:space="preserve"> legal practitioners</w:t>
      </w:r>
      <w:r w:rsidRPr="00497352">
        <w:rPr>
          <w:rFonts w:ascii="Times New Roman" w:hAnsi="Times New Roman" w:cs="Times New Roman"/>
          <w:i/>
          <w:sz w:val="24"/>
          <w:szCs w:val="24"/>
        </w:rPr>
        <w:tab/>
      </w:r>
    </w:p>
    <w:p w:rsidR="00E152EC" w:rsidRPr="00497352" w:rsidRDefault="00E152EC" w:rsidP="00670D88">
      <w:pPr>
        <w:spacing w:after="0" w:line="480" w:lineRule="auto"/>
        <w:jc w:val="both"/>
        <w:rPr>
          <w:rFonts w:ascii="Times New Roman" w:hAnsi="Times New Roman" w:cs="Times New Roman"/>
          <w:i/>
          <w:sz w:val="24"/>
          <w:szCs w:val="24"/>
        </w:rPr>
      </w:pPr>
      <w:proofErr w:type="spellStart"/>
      <w:r w:rsidRPr="00497352">
        <w:rPr>
          <w:rFonts w:ascii="Times New Roman" w:hAnsi="Times New Roman" w:cs="Times New Roman"/>
          <w:i/>
          <w:sz w:val="24"/>
          <w:szCs w:val="24"/>
        </w:rPr>
        <w:t>Moyo</w:t>
      </w:r>
      <w:proofErr w:type="spellEnd"/>
      <w:r w:rsidRPr="00497352">
        <w:rPr>
          <w:rFonts w:ascii="Times New Roman" w:hAnsi="Times New Roman" w:cs="Times New Roman"/>
          <w:i/>
          <w:sz w:val="24"/>
          <w:szCs w:val="24"/>
        </w:rPr>
        <w:t xml:space="preserve"> &amp; </w:t>
      </w:r>
      <w:proofErr w:type="spellStart"/>
      <w:r w:rsidRPr="00497352">
        <w:rPr>
          <w:rFonts w:ascii="Times New Roman" w:hAnsi="Times New Roman" w:cs="Times New Roman"/>
          <w:i/>
          <w:sz w:val="24"/>
          <w:szCs w:val="24"/>
        </w:rPr>
        <w:t>Jera</w:t>
      </w:r>
      <w:proofErr w:type="spellEnd"/>
      <w:r w:rsidRPr="00497352">
        <w:rPr>
          <w:rFonts w:ascii="Times New Roman" w:hAnsi="Times New Roman" w:cs="Times New Roman"/>
          <w:i/>
          <w:sz w:val="24"/>
          <w:szCs w:val="24"/>
        </w:rPr>
        <w:t xml:space="preserve">, </w:t>
      </w:r>
      <w:r w:rsidRPr="00497352">
        <w:rPr>
          <w:rFonts w:ascii="Times New Roman" w:hAnsi="Times New Roman" w:cs="Times New Roman"/>
          <w:sz w:val="24"/>
          <w:szCs w:val="24"/>
        </w:rPr>
        <w:t>1</w:t>
      </w:r>
      <w:r w:rsidRPr="00497352">
        <w:rPr>
          <w:rFonts w:ascii="Times New Roman" w:hAnsi="Times New Roman" w:cs="Times New Roman"/>
          <w:sz w:val="24"/>
          <w:szCs w:val="24"/>
          <w:vertAlign w:val="superscript"/>
        </w:rPr>
        <w:t>st</w:t>
      </w:r>
      <w:r w:rsidRPr="00497352">
        <w:rPr>
          <w:rFonts w:ascii="Times New Roman" w:hAnsi="Times New Roman" w:cs="Times New Roman"/>
          <w:sz w:val="24"/>
          <w:szCs w:val="24"/>
        </w:rPr>
        <w:t xml:space="preserve"> </w:t>
      </w:r>
      <w:r w:rsidR="00EE2FAD" w:rsidRPr="00497352">
        <w:rPr>
          <w:rFonts w:ascii="Times New Roman" w:hAnsi="Times New Roman" w:cs="Times New Roman"/>
          <w:sz w:val="24"/>
          <w:szCs w:val="24"/>
        </w:rPr>
        <w:t>r</w:t>
      </w:r>
      <w:r w:rsidRPr="00497352">
        <w:rPr>
          <w:rFonts w:ascii="Times New Roman" w:hAnsi="Times New Roman" w:cs="Times New Roman"/>
          <w:sz w:val="24"/>
          <w:szCs w:val="24"/>
        </w:rPr>
        <w:t xml:space="preserve">espondent’s </w:t>
      </w:r>
      <w:r w:rsidR="00EE2FAD" w:rsidRPr="00497352">
        <w:rPr>
          <w:rFonts w:ascii="Times New Roman" w:hAnsi="Times New Roman" w:cs="Times New Roman"/>
          <w:sz w:val="24"/>
          <w:szCs w:val="24"/>
        </w:rPr>
        <w:t>l</w:t>
      </w:r>
      <w:r w:rsidRPr="00497352">
        <w:rPr>
          <w:rFonts w:ascii="Times New Roman" w:hAnsi="Times New Roman" w:cs="Times New Roman"/>
          <w:sz w:val="24"/>
          <w:szCs w:val="24"/>
        </w:rPr>
        <w:t xml:space="preserve">egal </w:t>
      </w:r>
      <w:r w:rsidR="00EE2FAD" w:rsidRPr="00497352">
        <w:rPr>
          <w:rFonts w:ascii="Times New Roman" w:hAnsi="Times New Roman" w:cs="Times New Roman"/>
          <w:sz w:val="24"/>
          <w:szCs w:val="24"/>
        </w:rPr>
        <w:t>p</w:t>
      </w:r>
      <w:r w:rsidRPr="00497352">
        <w:rPr>
          <w:rFonts w:ascii="Times New Roman" w:hAnsi="Times New Roman" w:cs="Times New Roman"/>
          <w:sz w:val="24"/>
          <w:szCs w:val="24"/>
        </w:rPr>
        <w:t>ractitioners</w:t>
      </w:r>
      <w:r w:rsidRPr="00497352">
        <w:rPr>
          <w:rFonts w:ascii="Times New Roman" w:hAnsi="Times New Roman" w:cs="Times New Roman"/>
          <w:i/>
          <w:sz w:val="24"/>
          <w:szCs w:val="24"/>
        </w:rPr>
        <w:tab/>
      </w:r>
      <w:r w:rsidRPr="00497352">
        <w:rPr>
          <w:rFonts w:ascii="Times New Roman" w:hAnsi="Times New Roman" w:cs="Times New Roman"/>
          <w:i/>
          <w:sz w:val="24"/>
          <w:szCs w:val="24"/>
        </w:rPr>
        <w:tab/>
      </w:r>
    </w:p>
    <w:p w:rsidR="00E152EC" w:rsidRPr="00497352" w:rsidRDefault="00670D88" w:rsidP="003771B5">
      <w:pPr>
        <w:spacing w:after="0" w:line="480" w:lineRule="auto"/>
        <w:jc w:val="both"/>
        <w:rPr>
          <w:rFonts w:ascii="Times New Roman" w:hAnsi="Times New Roman" w:cs="Times New Roman"/>
          <w:sz w:val="24"/>
          <w:szCs w:val="24"/>
        </w:rPr>
      </w:pPr>
      <w:r w:rsidRPr="00497352">
        <w:rPr>
          <w:rFonts w:ascii="Times New Roman" w:hAnsi="Times New Roman" w:cs="Times New Roman"/>
          <w:i/>
          <w:sz w:val="24"/>
          <w:szCs w:val="24"/>
        </w:rPr>
        <w:t>Civil Division of T</w:t>
      </w:r>
      <w:r w:rsidR="00E152EC" w:rsidRPr="00497352">
        <w:rPr>
          <w:rFonts w:ascii="Times New Roman" w:hAnsi="Times New Roman" w:cs="Times New Roman"/>
          <w:i/>
          <w:sz w:val="24"/>
          <w:szCs w:val="24"/>
        </w:rPr>
        <w:t xml:space="preserve">he </w:t>
      </w:r>
      <w:r w:rsidR="00EE2FAD" w:rsidRPr="00497352">
        <w:rPr>
          <w:rFonts w:ascii="Times New Roman" w:hAnsi="Times New Roman" w:cs="Times New Roman"/>
          <w:i/>
          <w:sz w:val="24"/>
          <w:szCs w:val="24"/>
        </w:rPr>
        <w:t>A</w:t>
      </w:r>
      <w:r w:rsidR="00E152EC" w:rsidRPr="00497352">
        <w:rPr>
          <w:rFonts w:ascii="Times New Roman" w:hAnsi="Times New Roman" w:cs="Times New Roman"/>
          <w:i/>
          <w:sz w:val="24"/>
          <w:szCs w:val="24"/>
        </w:rPr>
        <w:t xml:space="preserve">ttorney-General, </w:t>
      </w:r>
      <w:r w:rsidRPr="00497352">
        <w:rPr>
          <w:rFonts w:ascii="Times New Roman" w:hAnsi="Times New Roman" w:cs="Times New Roman"/>
          <w:sz w:val="24"/>
          <w:szCs w:val="24"/>
        </w:rPr>
        <w:t>4</w:t>
      </w:r>
      <w:r w:rsidRPr="00497352">
        <w:rPr>
          <w:rFonts w:ascii="Times New Roman" w:hAnsi="Times New Roman" w:cs="Times New Roman"/>
          <w:sz w:val="24"/>
          <w:szCs w:val="24"/>
          <w:vertAlign w:val="superscript"/>
        </w:rPr>
        <w:t>th</w:t>
      </w:r>
      <w:r w:rsidRPr="00497352">
        <w:rPr>
          <w:rFonts w:ascii="Times New Roman" w:hAnsi="Times New Roman" w:cs="Times New Roman"/>
          <w:sz w:val="24"/>
          <w:szCs w:val="24"/>
        </w:rPr>
        <w:t xml:space="preserve"> respondent’s legal practitioners</w:t>
      </w:r>
    </w:p>
    <w:p w:rsidR="005D6FAD" w:rsidRPr="00497352" w:rsidRDefault="005D6FAD" w:rsidP="00670D88">
      <w:pPr>
        <w:spacing w:after="0" w:line="480" w:lineRule="auto"/>
        <w:jc w:val="both"/>
        <w:rPr>
          <w:rFonts w:ascii="Times New Roman" w:hAnsi="Times New Roman" w:cs="Times New Roman"/>
          <w:sz w:val="24"/>
          <w:szCs w:val="24"/>
        </w:rPr>
      </w:pPr>
    </w:p>
    <w:sectPr w:rsidR="005D6FAD" w:rsidRPr="00497352">
      <w:headerReference w:type="default" r:id="rId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07452" w:rsidRDefault="00907452" w:rsidP="00082745">
      <w:pPr>
        <w:spacing w:after="0" w:line="240" w:lineRule="auto"/>
      </w:pPr>
      <w:r>
        <w:separator/>
      </w:r>
    </w:p>
  </w:endnote>
  <w:endnote w:type="continuationSeparator" w:id="0">
    <w:p w:rsidR="00907452" w:rsidRDefault="00907452" w:rsidP="000827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07452" w:rsidRDefault="00907452" w:rsidP="00082745">
      <w:pPr>
        <w:spacing w:after="0" w:line="240" w:lineRule="auto"/>
      </w:pPr>
      <w:r>
        <w:separator/>
      </w:r>
    </w:p>
  </w:footnote>
  <w:footnote w:type="continuationSeparator" w:id="0">
    <w:p w:rsidR="00907452" w:rsidRDefault="00907452" w:rsidP="000827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3A45" w:rsidRDefault="004C3A45">
    <w:pPr>
      <w:pStyle w:val="Header"/>
    </w:pPr>
    <w:r>
      <w:rPr>
        <w:noProof/>
        <w:lang w:val="en-GB" w:eastAsia="en-GB"/>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C3A45" w:rsidRPr="00497352" w:rsidRDefault="004C3A45">
                          <w:pPr>
                            <w:spacing w:after="0" w:line="240" w:lineRule="auto"/>
                            <w:jc w:val="right"/>
                            <w:rPr>
                              <w:rFonts w:ascii="Times New Roman" w:hAnsi="Times New Roman" w:cs="Times New Roman"/>
                              <w:noProof/>
                            </w:rPr>
                          </w:pPr>
                          <w:r w:rsidRPr="00497352">
                            <w:rPr>
                              <w:rFonts w:ascii="Times New Roman" w:hAnsi="Times New Roman" w:cs="Times New Roman"/>
                              <w:noProof/>
                            </w:rPr>
                            <w:t>Judgment N</w:t>
                          </w:r>
                          <w:r w:rsidR="00F0356B">
                            <w:rPr>
                              <w:rFonts w:ascii="Times New Roman" w:hAnsi="Times New Roman" w:cs="Times New Roman"/>
                              <w:noProof/>
                            </w:rPr>
                            <w:t>o</w:t>
                          </w:r>
                          <w:r w:rsidRPr="00497352">
                            <w:rPr>
                              <w:rFonts w:ascii="Times New Roman" w:hAnsi="Times New Roman" w:cs="Times New Roman"/>
                              <w:noProof/>
                            </w:rPr>
                            <w:t xml:space="preserve">. SC </w:t>
                          </w:r>
                          <w:r w:rsidR="00497352" w:rsidRPr="00497352">
                            <w:rPr>
                              <w:rFonts w:ascii="Times New Roman" w:hAnsi="Times New Roman" w:cs="Times New Roman"/>
                              <w:noProof/>
                            </w:rPr>
                            <w:t>13</w:t>
                          </w:r>
                          <w:r w:rsidRPr="00497352">
                            <w:rPr>
                              <w:rFonts w:ascii="Times New Roman" w:hAnsi="Times New Roman" w:cs="Times New Roman"/>
                              <w:noProof/>
                            </w:rPr>
                            <w:t>/18</w:t>
                          </w:r>
                        </w:p>
                        <w:p w:rsidR="004C3A45" w:rsidRPr="00497352" w:rsidRDefault="004C3A45">
                          <w:pPr>
                            <w:spacing w:after="0" w:line="240" w:lineRule="auto"/>
                            <w:jc w:val="right"/>
                            <w:rPr>
                              <w:rFonts w:ascii="Times New Roman" w:hAnsi="Times New Roman" w:cs="Times New Roman"/>
                              <w:noProof/>
                            </w:rPr>
                          </w:pPr>
                          <w:r w:rsidRPr="00497352">
                            <w:rPr>
                              <w:rFonts w:ascii="Times New Roman" w:hAnsi="Times New Roman" w:cs="Times New Roman"/>
                              <w:noProof/>
                            </w:rPr>
                            <w:t>Civil Appeal No. SC 469/13</w:t>
                          </w:r>
                        </w:p>
                        <w:p w:rsidR="004C3A45" w:rsidRPr="00497352" w:rsidRDefault="004C3A45">
                          <w:pPr>
                            <w:spacing w:after="0" w:line="240" w:lineRule="auto"/>
                            <w:jc w:val="right"/>
                            <w:rPr>
                              <w:rFonts w:ascii="Times New Roman" w:hAnsi="Times New Roman" w:cs="Times New Roman"/>
                              <w:noProof/>
                            </w:rPr>
                          </w:pPr>
                          <w:r w:rsidRPr="00497352">
                            <w:rPr>
                              <w:rFonts w:ascii="Times New Roman" w:hAnsi="Times New Roman" w:cs="Times New Roman"/>
                              <w:noProof/>
                            </w:rPr>
                            <w:t>Ref. HC 601/11</w:t>
                          </w:r>
                        </w:p>
                        <w:p w:rsidR="004C3A45" w:rsidRPr="00497352" w:rsidRDefault="004C3A45">
                          <w:pPr>
                            <w:spacing w:after="0" w:line="240" w:lineRule="auto"/>
                            <w:jc w:val="right"/>
                            <w:rPr>
                              <w:rFonts w:ascii="Times New Roman" w:hAnsi="Times New Roman" w:cs="Times New Roman"/>
                              <w:noProof/>
                            </w:rPr>
                          </w:pPr>
                          <w:r w:rsidRPr="00497352">
                            <w:rPr>
                              <w:rFonts w:ascii="Times New Roman" w:hAnsi="Times New Roman" w:cs="Times New Roman"/>
                              <w:noProof/>
                            </w:rPr>
                            <w:t>Ref. HC 9527/11</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4C3A45" w:rsidRPr="00497352" w:rsidRDefault="004C3A45">
                    <w:pPr>
                      <w:spacing w:after="0" w:line="240" w:lineRule="auto"/>
                      <w:jc w:val="right"/>
                      <w:rPr>
                        <w:rFonts w:ascii="Times New Roman" w:hAnsi="Times New Roman" w:cs="Times New Roman"/>
                        <w:noProof/>
                      </w:rPr>
                    </w:pPr>
                    <w:r w:rsidRPr="00497352">
                      <w:rPr>
                        <w:rFonts w:ascii="Times New Roman" w:hAnsi="Times New Roman" w:cs="Times New Roman"/>
                        <w:noProof/>
                      </w:rPr>
                      <w:t>Judgment N</w:t>
                    </w:r>
                    <w:r w:rsidR="00F0356B">
                      <w:rPr>
                        <w:rFonts w:ascii="Times New Roman" w:hAnsi="Times New Roman" w:cs="Times New Roman"/>
                        <w:noProof/>
                      </w:rPr>
                      <w:t>o</w:t>
                    </w:r>
                    <w:r w:rsidRPr="00497352">
                      <w:rPr>
                        <w:rFonts w:ascii="Times New Roman" w:hAnsi="Times New Roman" w:cs="Times New Roman"/>
                        <w:noProof/>
                      </w:rPr>
                      <w:t xml:space="preserve">. SC </w:t>
                    </w:r>
                    <w:r w:rsidR="00497352" w:rsidRPr="00497352">
                      <w:rPr>
                        <w:rFonts w:ascii="Times New Roman" w:hAnsi="Times New Roman" w:cs="Times New Roman"/>
                        <w:noProof/>
                      </w:rPr>
                      <w:t>13</w:t>
                    </w:r>
                    <w:r w:rsidRPr="00497352">
                      <w:rPr>
                        <w:rFonts w:ascii="Times New Roman" w:hAnsi="Times New Roman" w:cs="Times New Roman"/>
                        <w:noProof/>
                      </w:rPr>
                      <w:t>/18</w:t>
                    </w:r>
                  </w:p>
                  <w:p w:rsidR="004C3A45" w:rsidRPr="00497352" w:rsidRDefault="004C3A45">
                    <w:pPr>
                      <w:spacing w:after="0" w:line="240" w:lineRule="auto"/>
                      <w:jc w:val="right"/>
                      <w:rPr>
                        <w:rFonts w:ascii="Times New Roman" w:hAnsi="Times New Roman" w:cs="Times New Roman"/>
                        <w:noProof/>
                      </w:rPr>
                    </w:pPr>
                    <w:r w:rsidRPr="00497352">
                      <w:rPr>
                        <w:rFonts w:ascii="Times New Roman" w:hAnsi="Times New Roman" w:cs="Times New Roman"/>
                        <w:noProof/>
                      </w:rPr>
                      <w:t>Civil Appeal No. SC 469/13</w:t>
                    </w:r>
                  </w:p>
                  <w:p w:rsidR="004C3A45" w:rsidRPr="00497352" w:rsidRDefault="004C3A45">
                    <w:pPr>
                      <w:spacing w:after="0" w:line="240" w:lineRule="auto"/>
                      <w:jc w:val="right"/>
                      <w:rPr>
                        <w:rFonts w:ascii="Times New Roman" w:hAnsi="Times New Roman" w:cs="Times New Roman"/>
                        <w:noProof/>
                      </w:rPr>
                    </w:pPr>
                    <w:r w:rsidRPr="00497352">
                      <w:rPr>
                        <w:rFonts w:ascii="Times New Roman" w:hAnsi="Times New Roman" w:cs="Times New Roman"/>
                        <w:noProof/>
                      </w:rPr>
                      <w:t>Ref. HC 601/11</w:t>
                    </w:r>
                  </w:p>
                  <w:p w:rsidR="004C3A45" w:rsidRPr="00497352" w:rsidRDefault="004C3A45">
                    <w:pPr>
                      <w:spacing w:after="0" w:line="240" w:lineRule="auto"/>
                      <w:jc w:val="right"/>
                      <w:rPr>
                        <w:rFonts w:ascii="Times New Roman" w:hAnsi="Times New Roman" w:cs="Times New Roman"/>
                        <w:noProof/>
                      </w:rPr>
                    </w:pPr>
                    <w:r w:rsidRPr="00497352">
                      <w:rPr>
                        <w:rFonts w:ascii="Times New Roman" w:hAnsi="Times New Roman" w:cs="Times New Roman"/>
                        <w:noProof/>
                      </w:rPr>
                      <w:t>Ref. HC 9527/11</w:t>
                    </w:r>
                  </w:p>
                </w:txbxContent>
              </v:textbox>
              <w10:wrap anchorx="margin" anchory="margin"/>
            </v:shape>
          </w:pict>
        </mc:Fallback>
      </mc:AlternateContent>
    </w:r>
    <w:r>
      <w:rPr>
        <w:noProof/>
        <w:lang w:val="en-GB" w:eastAsia="en-GB"/>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4C3A45" w:rsidRDefault="004C3A45">
                          <w:pPr>
                            <w:spacing w:after="0" w:line="240" w:lineRule="auto"/>
                            <w:rPr>
                              <w:color w:val="FFFFFF" w:themeColor="background1"/>
                            </w:rPr>
                          </w:pPr>
                          <w:r>
                            <w:fldChar w:fldCharType="begin"/>
                          </w:r>
                          <w:r>
                            <w:instrText xml:space="preserve"> PAGE   \* MERGEFORMAT </w:instrText>
                          </w:r>
                          <w:r>
                            <w:fldChar w:fldCharType="separate"/>
                          </w:r>
                          <w:r w:rsidR="003A785C" w:rsidRPr="003A785C">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fabf8f [1945]" stroked="f">
              <v:textbox style="mso-fit-shape-to-text:t" inset=",0,,0">
                <w:txbxContent>
                  <w:p w:rsidR="004C3A45" w:rsidRDefault="004C3A45">
                    <w:pPr>
                      <w:spacing w:after="0" w:line="240" w:lineRule="auto"/>
                      <w:rPr>
                        <w:color w:val="FFFFFF" w:themeColor="background1"/>
                      </w:rPr>
                    </w:pPr>
                    <w:r>
                      <w:fldChar w:fldCharType="begin"/>
                    </w:r>
                    <w:r>
                      <w:instrText xml:space="preserve"> PAGE   \* MERGEFORMAT </w:instrText>
                    </w:r>
                    <w:r>
                      <w:fldChar w:fldCharType="separate"/>
                    </w:r>
                    <w:r w:rsidR="003A785C" w:rsidRPr="003A785C">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84464"/>
    <w:multiLevelType w:val="hybridMultilevel"/>
    <w:tmpl w:val="B13A93F4"/>
    <w:lvl w:ilvl="0" w:tplc="B340252E">
      <w:start w:val="1"/>
      <w:numFmt w:val="lowerLetter"/>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 w15:restartNumberingAfterBreak="0">
    <w:nsid w:val="16ED2A31"/>
    <w:multiLevelType w:val="hybridMultilevel"/>
    <w:tmpl w:val="E8B62E7C"/>
    <w:lvl w:ilvl="0" w:tplc="5502AD1E">
      <w:start w:val="1"/>
      <w:numFmt w:val="lowerLetter"/>
      <w:lvlText w:val="(%1)"/>
      <w:lvlJc w:val="left"/>
      <w:pPr>
        <w:ind w:left="1800" w:hanging="360"/>
      </w:pPr>
      <w:rPr>
        <w:rFonts w:hint="default"/>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2" w15:restartNumberingAfterBreak="0">
    <w:nsid w:val="22647E1A"/>
    <w:multiLevelType w:val="hybridMultilevel"/>
    <w:tmpl w:val="091E08EA"/>
    <w:lvl w:ilvl="0" w:tplc="8B604DEE">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3" w15:restartNumberingAfterBreak="0">
    <w:nsid w:val="23C14DFC"/>
    <w:multiLevelType w:val="hybridMultilevel"/>
    <w:tmpl w:val="89FC1580"/>
    <w:lvl w:ilvl="0" w:tplc="1BC015A0">
      <w:start w:val="1"/>
      <w:numFmt w:val="decimal"/>
      <w:lvlText w:val="%1."/>
      <w:lvlJc w:val="left"/>
      <w:pPr>
        <w:ind w:left="720" w:hanging="360"/>
      </w:pPr>
      <w:rPr>
        <w:rFonts w:asciiTheme="minorHAnsi" w:eastAsiaTheme="minorHAnsi" w:hAnsiTheme="minorHAnsi" w:cstheme="minorBidi"/>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4" w15:restartNumberingAfterBreak="0">
    <w:nsid w:val="23D43136"/>
    <w:multiLevelType w:val="hybridMultilevel"/>
    <w:tmpl w:val="08283B8C"/>
    <w:lvl w:ilvl="0" w:tplc="44FCDE76">
      <w:start w:val="1"/>
      <w:numFmt w:val="lowerRoman"/>
      <w:lvlText w:val="(%1)"/>
      <w:lvlJc w:val="left"/>
      <w:pPr>
        <w:ind w:left="2160" w:hanging="720"/>
      </w:pPr>
      <w:rPr>
        <w:rFonts w:hint="default"/>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5" w15:restartNumberingAfterBreak="0">
    <w:nsid w:val="244E049F"/>
    <w:multiLevelType w:val="hybridMultilevel"/>
    <w:tmpl w:val="2F1499BC"/>
    <w:lvl w:ilvl="0" w:tplc="ACA84074">
      <w:start w:val="1"/>
      <w:numFmt w:val="lowerLetter"/>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6" w15:restartNumberingAfterBreak="0">
    <w:nsid w:val="2E02363A"/>
    <w:multiLevelType w:val="hybridMultilevel"/>
    <w:tmpl w:val="51045502"/>
    <w:lvl w:ilvl="0" w:tplc="409294FE">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7" w15:restartNumberingAfterBreak="0">
    <w:nsid w:val="39AC28C9"/>
    <w:multiLevelType w:val="hybridMultilevel"/>
    <w:tmpl w:val="7924D49C"/>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8" w15:restartNumberingAfterBreak="0">
    <w:nsid w:val="4FBD5AE2"/>
    <w:multiLevelType w:val="hybridMultilevel"/>
    <w:tmpl w:val="301E6780"/>
    <w:lvl w:ilvl="0" w:tplc="41E8C230">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9" w15:restartNumberingAfterBreak="0">
    <w:nsid w:val="59544714"/>
    <w:multiLevelType w:val="hybridMultilevel"/>
    <w:tmpl w:val="8C24C7B6"/>
    <w:lvl w:ilvl="0" w:tplc="C0A2B886">
      <w:start w:val="1"/>
      <w:numFmt w:val="lowerLetter"/>
      <w:lvlText w:val="(%1)"/>
      <w:lvlJc w:val="left"/>
      <w:pPr>
        <w:ind w:left="1800" w:hanging="360"/>
      </w:pPr>
      <w:rPr>
        <w:rFonts w:hint="default"/>
      </w:rPr>
    </w:lvl>
    <w:lvl w:ilvl="1" w:tplc="30090019">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10" w15:restartNumberingAfterBreak="0">
    <w:nsid w:val="625E7D00"/>
    <w:multiLevelType w:val="hybridMultilevel"/>
    <w:tmpl w:val="A8601AA8"/>
    <w:lvl w:ilvl="0" w:tplc="0ADAABC0">
      <w:start w:val="1"/>
      <w:numFmt w:val="decimal"/>
      <w:lvlText w:val="(%1)"/>
      <w:lvlJc w:val="left"/>
      <w:pPr>
        <w:ind w:left="720" w:hanging="360"/>
      </w:pPr>
      <w:rPr>
        <w:rFonts w:asciiTheme="minorHAnsi" w:eastAsiaTheme="minorHAnsi" w:hAnsiTheme="minorHAnsi" w:cstheme="min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5C3033A"/>
    <w:multiLevelType w:val="hybridMultilevel"/>
    <w:tmpl w:val="590CA54E"/>
    <w:lvl w:ilvl="0" w:tplc="4E06A272">
      <w:start w:val="1"/>
      <w:numFmt w:val="lowerLetter"/>
      <w:lvlText w:val="(%1)"/>
      <w:lvlJc w:val="left"/>
      <w:pPr>
        <w:ind w:left="1110" w:hanging="390"/>
      </w:pPr>
      <w:rPr>
        <w:rFonts w:hint="default"/>
        <w:i w:val="0"/>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2" w15:restartNumberingAfterBreak="0">
    <w:nsid w:val="7F4D04D8"/>
    <w:multiLevelType w:val="hybridMultilevel"/>
    <w:tmpl w:val="101C6F08"/>
    <w:lvl w:ilvl="0" w:tplc="F660773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6"/>
  </w:num>
  <w:num w:numId="3">
    <w:abstractNumId w:val="8"/>
  </w:num>
  <w:num w:numId="4">
    <w:abstractNumId w:val="3"/>
  </w:num>
  <w:num w:numId="5">
    <w:abstractNumId w:val="2"/>
  </w:num>
  <w:num w:numId="6">
    <w:abstractNumId w:val="4"/>
  </w:num>
  <w:num w:numId="7">
    <w:abstractNumId w:val="9"/>
  </w:num>
  <w:num w:numId="8">
    <w:abstractNumId w:val="1"/>
  </w:num>
  <w:num w:numId="9">
    <w:abstractNumId w:val="5"/>
  </w:num>
  <w:num w:numId="10">
    <w:abstractNumId w:val="0"/>
  </w:num>
  <w:num w:numId="11">
    <w:abstractNumId w:val="11"/>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7CFE"/>
    <w:rsid w:val="0000336C"/>
    <w:rsid w:val="00003E10"/>
    <w:rsid w:val="00011778"/>
    <w:rsid w:val="0002240A"/>
    <w:rsid w:val="00023E6D"/>
    <w:rsid w:val="000312E8"/>
    <w:rsid w:val="00033385"/>
    <w:rsid w:val="00044359"/>
    <w:rsid w:val="000550B4"/>
    <w:rsid w:val="0006476D"/>
    <w:rsid w:val="000710A8"/>
    <w:rsid w:val="00082745"/>
    <w:rsid w:val="00083C13"/>
    <w:rsid w:val="000A1216"/>
    <w:rsid w:val="000A54BB"/>
    <w:rsid w:val="000A68AC"/>
    <w:rsid w:val="000A7870"/>
    <w:rsid w:val="000B0E16"/>
    <w:rsid w:val="000B63B1"/>
    <w:rsid w:val="000C30B1"/>
    <w:rsid w:val="000C3F4A"/>
    <w:rsid w:val="000C55C7"/>
    <w:rsid w:val="000D0401"/>
    <w:rsid w:val="000D31B5"/>
    <w:rsid w:val="000D7D90"/>
    <w:rsid w:val="000E12CF"/>
    <w:rsid w:val="000E3137"/>
    <w:rsid w:val="000E7FBB"/>
    <w:rsid w:val="000F45AE"/>
    <w:rsid w:val="000F77D8"/>
    <w:rsid w:val="000F7F89"/>
    <w:rsid w:val="00101D47"/>
    <w:rsid w:val="0010746E"/>
    <w:rsid w:val="001113DC"/>
    <w:rsid w:val="001140B4"/>
    <w:rsid w:val="00125D0A"/>
    <w:rsid w:val="0013326C"/>
    <w:rsid w:val="0014368E"/>
    <w:rsid w:val="001455CA"/>
    <w:rsid w:val="001533DC"/>
    <w:rsid w:val="00183259"/>
    <w:rsid w:val="001A11C2"/>
    <w:rsid w:val="001A1374"/>
    <w:rsid w:val="001A27CC"/>
    <w:rsid w:val="001C1486"/>
    <w:rsid w:val="001D467C"/>
    <w:rsid w:val="001E30E5"/>
    <w:rsid w:val="001F51F5"/>
    <w:rsid w:val="00212736"/>
    <w:rsid w:val="00213AD7"/>
    <w:rsid w:val="002151AC"/>
    <w:rsid w:val="00240D14"/>
    <w:rsid w:val="00250BC5"/>
    <w:rsid w:val="00265327"/>
    <w:rsid w:val="00270DB4"/>
    <w:rsid w:val="00273479"/>
    <w:rsid w:val="0027751D"/>
    <w:rsid w:val="002951B3"/>
    <w:rsid w:val="0029530B"/>
    <w:rsid w:val="0029671B"/>
    <w:rsid w:val="002A4F20"/>
    <w:rsid w:val="002A75F5"/>
    <w:rsid w:val="002B75A6"/>
    <w:rsid w:val="002C6C17"/>
    <w:rsid w:val="002D3603"/>
    <w:rsid w:val="002E2762"/>
    <w:rsid w:val="002E36FD"/>
    <w:rsid w:val="002E3A7F"/>
    <w:rsid w:val="002F30CE"/>
    <w:rsid w:val="002F4072"/>
    <w:rsid w:val="002F44A4"/>
    <w:rsid w:val="00301B04"/>
    <w:rsid w:val="003056F3"/>
    <w:rsid w:val="003108FF"/>
    <w:rsid w:val="00311E32"/>
    <w:rsid w:val="00323186"/>
    <w:rsid w:val="0033495D"/>
    <w:rsid w:val="00337BD7"/>
    <w:rsid w:val="00350665"/>
    <w:rsid w:val="00352F3D"/>
    <w:rsid w:val="00357D44"/>
    <w:rsid w:val="00362052"/>
    <w:rsid w:val="00364CA6"/>
    <w:rsid w:val="003677E5"/>
    <w:rsid w:val="003720B7"/>
    <w:rsid w:val="003771B5"/>
    <w:rsid w:val="00380E9D"/>
    <w:rsid w:val="0039438D"/>
    <w:rsid w:val="003A121F"/>
    <w:rsid w:val="003A156F"/>
    <w:rsid w:val="003A2257"/>
    <w:rsid w:val="003A6277"/>
    <w:rsid w:val="003A785C"/>
    <w:rsid w:val="003A7DD6"/>
    <w:rsid w:val="003C0A8D"/>
    <w:rsid w:val="003C2686"/>
    <w:rsid w:val="003C582A"/>
    <w:rsid w:val="003E008B"/>
    <w:rsid w:val="003E4708"/>
    <w:rsid w:val="003F0FEE"/>
    <w:rsid w:val="003F1D2E"/>
    <w:rsid w:val="003F20DB"/>
    <w:rsid w:val="003F32FB"/>
    <w:rsid w:val="00415215"/>
    <w:rsid w:val="004158E7"/>
    <w:rsid w:val="004223C4"/>
    <w:rsid w:val="004318BA"/>
    <w:rsid w:val="00431D3C"/>
    <w:rsid w:val="004459F2"/>
    <w:rsid w:val="00447678"/>
    <w:rsid w:val="00452E35"/>
    <w:rsid w:val="004562AC"/>
    <w:rsid w:val="0046401F"/>
    <w:rsid w:val="00464886"/>
    <w:rsid w:val="00467AF4"/>
    <w:rsid w:val="0047798F"/>
    <w:rsid w:val="00477CBC"/>
    <w:rsid w:val="004826D5"/>
    <w:rsid w:val="004847E2"/>
    <w:rsid w:val="00497352"/>
    <w:rsid w:val="004A3E33"/>
    <w:rsid w:val="004A4D5E"/>
    <w:rsid w:val="004A51CF"/>
    <w:rsid w:val="004B0B98"/>
    <w:rsid w:val="004B4799"/>
    <w:rsid w:val="004B6E5F"/>
    <w:rsid w:val="004C2ADD"/>
    <w:rsid w:val="004C3A45"/>
    <w:rsid w:val="004D4DBB"/>
    <w:rsid w:val="004D6B06"/>
    <w:rsid w:val="004F21F3"/>
    <w:rsid w:val="00504A52"/>
    <w:rsid w:val="005226C2"/>
    <w:rsid w:val="005578CE"/>
    <w:rsid w:val="00564BB4"/>
    <w:rsid w:val="00565780"/>
    <w:rsid w:val="0056687F"/>
    <w:rsid w:val="00583E38"/>
    <w:rsid w:val="00594E23"/>
    <w:rsid w:val="005C1B25"/>
    <w:rsid w:val="005C2E50"/>
    <w:rsid w:val="005C4BB0"/>
    <w:rsid w:val="005C5D1F"/>
    <w:rsid w:val="005D2081"/>
    <w:rsid w:val="005D655B"/>
    <w:rsid w:val="005D6FAD"/>
    <w:rsid w:val="005E26DA"/>
    <w:rsid w:val="005F0569"/>
    <w:rsid w:val="005F343C"/>
    <w:rsid w:val="005F77C4"/>
    <w:rsid w:val="00600648"/>
    <w:rsid w:val="00606E18"/>
    <w:rsid w:val="00614C06"/>
    <w:rsid w:val="00636D87"/>
    <w:rsid w:val="00644A37"/>
    <w:rsid w:val="0065125F"/>
    <w:rsid w:val="0065443B"/>
    <w:rsid w:val="006545EF"/>
    <w:rsid w:val="006630F7"/>
    <w:rsid w:val="00670C89"/>
    <w:rsid w:val="00670D88"/>
    <w:rsid w:val="00693103"/>
    <w:rsid w:val="006A0262"/>
    <w:rsid w:val="006B1AF9"/>
    <w:rsid w:val="006B33B5"/>
    <w:rsid w:val="006B3E6C"/>
    <w:rsid w:val="006B6E0D"/>
    <w:rsid w:val="006C0CAC"/>
    <w:rsid w:val="006C2691"/>
    <w:rsid w:val="006C3520"/>
    <w:rsid w:val="006C3871"/>
    <w:rsid w:val="006E1C42"/>
    <w:rsid w:val="006E7630"/>
    <w:rsid w:val="006F12B7"/>
    <w:rsid w:val="00700200"/>
    <w:rsid w:val="00733504"/>
    <w:rsid w:val="00743163"/>
    <w:rsid w:val="007517DA"/>
    <w:rsid w:val="007527EC"/>
    <w:rsid w:val="00760793"/>
    <w:rsid w:val="00762D44"/>
    <w:rsid w:val="007662DA"/>
    <w:rsid w:val="007702D2"/>
    <w:rsid w:val="007704A4"/>
    <w:rsid w:val="00771758"/>
    <w:rsid w:val="00794337"/>
    <w:rsid w:val="007A3D99"/>
    <w:rsid w:val="007B130D"/>
    <w:rsid w:val="007B40D7"/>
    <w:rsid w:val="007C4FCB"/>
    <w:rsid w:val="007C6EF9"/>
    <w:rsid w:val="007D0FEA"/>
    <w:rsid w:val="007D1C91"/>
    <w:rsid w:val="007D28DA"/>
    <w:rsid w:val="007D7990"/>
    <w:rsid w:val="007E759D"/>
    <w:rsid w:val="007F17D3"/>
    <w:rsid w:val="007F2304"/>
    <w:rsid w:val="007F339A"/>
    <w:rsid w:val="007F40FA"/>
    <w:rsid w:val="00800C4D"/>
    <w:rsid w:val="00812B50"/>
    <w:rsid w:val="0081662C"/>
    <w:rsid w:val="008254E6"/>
    <w:rsid w:val="00844907"/>
    <w:rsid w:val="00845163"/>
    <w:rsid w:val="00855DFF"/>
    <w:rsid w:val="008729F3"/>
    <w:rsid w:val="00881A43"/>
    <w:rsid w:val="00886684"/>
    <w:rsid w:val="0089369F"/>
    <w:rsid w:val="0089392F"/>
    <w:rsid w:val="008A2ADD"/>
    <w:rsid w:val="008C4231"/>
    <w:rsid w:val="008C4B16"/>
    <w:rsid w:val="008C63D9"/>
    <w:rsid w:val="008E2081"/>
    <w:rsid w:val="008E4B26"/>
    <w:rsid w:val="008F4244"/>
    <w:rsid w:val="0090597A"/>
    <w:rsid w:val="009072DB"/>
    <w:rsid w:val="00907452"/>
    <w:rsid w:val="00911E7D"/>
    <w:rsid w:val="00933345"/>
    <w:rsid w:val="00933422"/>
    <w:rsid w:val="00934802"/>
    <w:rsid w:val="00936326"/>
    <w:rsid w:val="00937C44"/>
    <w:rsid w:val="009432BB"/>
    <w:rsid w:val="009564CB"/>
    <w:rsid w:val="00956800"/>
    <w:rsid w:val="00961132"/>
    <w:rsid w:val="00963FAB"/>
    <w:rsid w:val="00966CB1"/>
    <w:rsid w:val="00972747"/>
    <w:rsid w:val="009851B6"/>
    <w:rsid w:val="00992861"/>
    <w:rsid w:val="00994CC0"/>
    <w:rsid w:val="009A795D"/>
    <w:rsid w:val="009B251D"/>
    <w:rsid w:val="009D35DB"/>
    <w:rsid w:val="009D48B5"/>
    <w:rsid w:val="009E6D92"/>
    <w:rsid w:val="009F58F8"/>
    <w:rsid w:val="009F7978"/>
    <w:rsid w:val="00A01210"/>
    <w:rsid w:val="00A02B21"/>
    <w:rsid w:val="00A22023"/>
    <w:rsid w:val="00A31FBF"/>
    <w:rsid w:val="00A323C4"/>
    <w:rsid w:val="00A35656"/>
    <w:rsid w:val="00A438E8"/>
    <w:rsid w:val="00A47803"/>
    <w:rsid w:val="00A50898"/>
    <w:rsid w:val="00A53476"/>
    <w:rsid w:val="00A61081"/>
    <w:rsid w:val="00A61154"/>
    <w:rsid w:val="00A641EA"/>
    <w:rsid w:val="00A65C5E"/>
    <w:rsid w:val="00A67CE7"/>
    <w:rsid w:val="00A76C06"/>
    <w:rsid w:val="00A835E1"/>
    <w:rsid w:val="00A8659B"/>
    <w:rsid w:val="00A93000"/>
    <w:rsid w:val="00A942A4"/>
    <w:rsid w:val="00A94799"/>
    <w:rsid w:val="00A96A1D"/>
    <w:rsid w:val="00A97149"/>
    <w:rsid w:val="00AA7920"/>
    <w:rsid w:val="00AC4B4E"/>
    <w:rsid w:val="00AC69CD"/>
    <w:rsid w:val="00AD0D8A"/>
    <w:rsid w:val="00AD3A50"/>
    <w:rsid w:val="00AD3E34"/>
    <w:rsid w:val="00AD4698"/>
    <w:rsid w:val="00AE771E"/>
    <w:rsid w:val="00B05B0E"/>
    <w:rsid w:val="00B1204A"/>
    <w:rsid w:val="00B14F73"/>
    <w:rsid w:val="00B1646C"/>
    <w:rsid w:val="00B43E07"/>
    <w:rsid w:val="00B538FD"/>
    <w:rsid w:val="00B549AA"/>
    <w:rsid w:val="00B56A32"/>
    <w:rsid w:val="00B5754C"/>
    <w:rsid w:val="00B625CA"/>
    <w:rsid w:val="00B64209"/>
    <w:rsid w:val="00B64A14"/>
    <w:rsid w:val="00B6629F"/>
    <w:rsid w:val="00B66662"/>
    <w:rsid w:val="00B72954"/>
    <w:rsid w:val="00B76FA9"/>
    <w:rsid w:val="00B83E76"/>
    <w:rsid w:val="00B908AB"/>
    <w:rsid w:val="00BA13E5"/>
    <w:rsid w:val="00BA36D2"/>
    <w:rsid w:val="00BB548C"/>
    <w:rsid w:val="00BC5A36"/>
    <w:rsid w:val="00BD63D1"/>
    <w:rsid w:val="00BE768B"/>
    <w:rsid w:val="00BF19E1"/>
    <w:rsid w:val="00BF1CC8"/>
    <w:rsid w:val="00BF438E"/>
    <w:rsid w:val="00C01BA8"/>
    <w:rsid w:val="00C03B53"/>
    <w:rsid w:val="00C04F5E"/>
    <w:rsid w:val="00C264AD"/>
    <w:rsid w:val="00C4372B"/>
    <w:rsid w:val="00C4395E"/>
    <w:rsid w:val="00C57DA5"/>
    <w:rsid w:val="00C67E93"/>
    <w:rsid w:val="00C81386"/>
    <w:rsid w:val="00C84E9E"/>
    <w:rsid w:val="00C87914"/>
    <w:rsid w:val="00C87B12"/>
    <w:rsid w:val="00C91C0D"/>
    <w:rsid w:val="00C93304"/>
    <w:rsid w:val="00C94AC7"/>
    <w:rsid w:val="00CB6F07"/>
    <w:rsid w:val="00CC5432"/>
    <w:rsid w:val="00CC77ED"/>
    <w:rsid w:val="00CD20B7"/>
    <w:rsid w:val="00CF2203"/>
    <w:rsid w:val="00CF3160"/>
    <w:rsid w:val="00CF4CBE"/>
    <w:rsid w:val="00CF6427"/>
    <w:rsid w:val="00D037C3"/>
    <w:rsid w:val="00D10E13"/>
    <w:rsid w:val="00D14548"/>
    <w:rsid w:val="00D17CC8"/>
    <w:rsid w:val="00D17CFE"/>
    <w:rsid w:val="00D2423E"/>
    <w:rsid w:val="00D2692C"/>
    <w:rsid w:val="00D36126"/>
    <w:rsid w:val="00D36888"/>
    <w:rsid w:val="00D409BC"/>
    <w:rsid w:val="00D41ADF"/>
    <w:rsid w:val="00D43F74"/>
    <w:rsid w:val="00D4529F"/>
    <w:rsid w:val="00D45A35"/>
    <w:rsid w:val="00D46018"/>
    <w:rsid w:val="00D52024"/>
    <w:rsid w:val="00D5218C"/>
    <w:rsid w:val="00D53C11"/>
    <w:rsid w:val="00D6324D"/>
    <w:rsid w:val="00D65A05"/>
    <w:rsid w:val="00D74887"/>
    <w:rsid w:val="00D77749"/>
    <w:rsid w:val="00DA58F5"/>
    <w:rsid w:val="00DA6E2F"/>
    <w:rsid w:val="00DB1D6F"/>
    <w:rsid w:val="00DB2A69"/>
    <w:rsid w:val="00DC32A2"/>
    <w:rsid w:val="00DC51C0"/>
    <w:rsid w:val="00DC52ED"/>
    <w:rsid w:val="00DD5418"/>
    <w:rsid w:val="00DE7323"/>
    <w:rsid w:val="00DF1D92"/>
    <w:rsid w:val="00DF1FBB"/>
    <w:rsid w:val="00DF2622"/>
    <w:rsid w:val="00DF74AA"/>
    <w:rsid w:val="00E00ED8"/>
    <w:rsid w:val="00E07B4C"/>
    <w:rsid w:val="00E152EC"/>
    <w:rsid w:val="00E17738"/>
    <w:rsid w:val="00E20833"/>
    <w:rsid w:val="00E27C87"/>
    <w:rsid w:val="00E30EA7"/>
    <w:rsid w:val="00E317EA"/>
    <w:rsid w:val="00E328F8"/>
    <w:rsid w:val="00E333F1"/>
    <w:rsid w:val="00E338C1"/>
    <w:rsid w:val="00E373D4"/>
    <w:rsid w:val="00E463E1"/>
    <w:rsid w:val="00E607A0"/>
    <w:rsid w:val="00E71035"/>
    <w:rsid w:val="00E74075"/>
    <w:rsid w:val="00E75BEE"/>
    <w:rsid w:val="00E8268A"/>
    <w:rsid w:val="00E8701F"/>
    <w:rsid w:val="00E94EEC"/>
    <w:rsid w:val="00EA21E4"/>
    <w:rsid w:val="00EA60F7"/>
    <w:rsid w:val="00EA63BF"/>
    <w:rsid w:val="00EB065E"/>
    <w:rsid w:val="00ED5B9D"/>
    <w:rsid w:val="00ED5F68"/>
    <w:rsid w:val="00EE2FAD"/>
    <w:rsid w:val="00EF39DB"/>
    <w:rsid w:val="00EF6A08"/>
    <w:rsid w:val="00F005C3"/>
    <w:rsid w:val="00F0356B"/>
    <w:rsid w:val="00F03588"/>
    <w:rsid w:val="00F0509E"/>
    <w:rsid w:val="00F1034C"/>
    <w:rsid w:val="00F111E0"/>
    <w:rsid w:val="00F158F8"/>
    <w:rsid w:val="00F304D0"/>
    <w:rsid w:val="00F40FC4"/>
    <w:rsid w:val="00F415A0"/>
    <w:rsid w:val="00F5697B"/>
    <w:rsid w:val="00F81B59"/>
    <w:rsid w:val="00F828E2"/>
    <w:rsid w:val="00F93C65"/>
    <w:rsid w:val="00F946A3"/>
    <w:rsid w:val="00FB314D"/>
    <w:rsid w:val="00FB31D0"/>
    <w:rsid w:val="00FC3A9A"/>
    <w:rsid w:val="00FC3D48"/>
    <w:rsid w:val="00FC42B3"/>
    <w:rsid w:val="00FE3D9C"/>
    <w:rsid w:val="00FF2EB5"/>
    <w:rsid w:val="00FF6B3F"/>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A751958-2F20-4966-BE9A-131F72D53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0648"/>
    <w:pPr>
      <w:ind w:left="720"/>
      <w:contextualSpacing/>
    </w:pPr>
  </w:style>
  <w:style w:type="paragraph" w:styleId="BalloonText">
    <w:name w:val="Balloon Text"/>
    <w:basedOn w:val="Normal"/>
    <w:link w:val="BalloonTextChar"/>
    <w:uiPriority w:val="99"/>
    <w:semiHidden/>
    <w:unhideWhenUsed/>
    <w:rsid w:val="002A4F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4F20"/>
    <w:rPr>
      <w:rFonts w:ascii="Tahoma" w:hAnsi="Tahoma" w:cs="Tahoma"/>
      <w:sz w:val="16"/>
      <w:szCs w:val="16"/>
    </w:rPr>
  </w:style>
  <w:style w:type="paragraph" w:styleId="Header">
    <w:name w:val="header"/>
    <w:basedOn w:val="Normal"/>
    <w:link w:val="HeaderChar"/>
    <w:uiPriority w:val="99"/>
    <w:unhideWhenUsed/>
    <w:rsid w:val="000827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2745"/>
  </w:style>
  <w:style w:type="paragraph" w:styleId="Footer">
    <w:name w:val="footer"/>
    <w:basedOn w:val="Normal"/>
    <w:link w:val="FooterChar"/>
    <w:uiPriority w:val="99"/>
    <w:unhideWhenUsed/>
    <w:rsid w:val="000827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27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2415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embeddings/oleObject1.bin"/></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86801223241590209"/>
          <c:y val="0.39898225224615852"/>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Size in HA</c:v>
                </c:pt>
              </c:strCache>
            </c:strRef>
          </c:tx>
          <c:dPt>
            <c:idx val="0"/>
            <c:bubble3D val="0"/>
            <c:spPr>
              <a:solidFill>
                <a:schemeClr val="bg1"/>
              </a:soli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1-F76B-4EC1-92EF-A580997A3F2C}"/>
              </c:ext>
            </c:extLst>
          </c:dPt>
          <c:dPt>
            <c:idx val="1"/>
            <c:bubble3D val="0"/>
            <c:spPr>
              <a:solidFill>
                <a:schemeClr val="bg1">
                  <a:lumMod val="85000"/>
                </a:schemeClr>
              </a:soli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3-F76B-4EC1-92EF-A580997A3F2C}"/>
              </c:ext>
            </c:extLst>
          </c:dPt>
          <c:dPt>
            <c:idx val="2"/>
            <c:bubble3D val="0"/>
            <c:spPr>
              <a:solidFill>
                <a:schemeClr val="tx1"/>
              </a:soli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5-F76B-4EC1-92EF-A580997A3F2C}"/>
              </c:ext>
            </c:extLst>
          </c:dPt>
          <c:dLbls>
            <c:dLbl>
              <c:idx val="0"/>
              <c:layout>
                <c:manualLayout>
                  <c:x val="0.16993041007488743"/>
                  <c:y val="-7.8623137295134524E-2"/>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F76B-4EC1-92EF-A580997A3F2C}"/>
                </c:ext>
              </c:extLst>
            </c:dLbl>
            <c:dLbl>
              <c:idx val="1"/>
              <c:layout>
                <c:manualLayout>
                  <c:x val="0.77748002600592336"/>
                  <c:y val="1.8052848239246966E-2"/>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F76B-4EC1-92EF-A580997A3F2C}"/>
                </c:ext>
              </c:extLst>
            </c:dLbl>
            <c:dLbl>
              <c:idx val="2"/>
              <c:layout>
                <c:manualLayout>
                  <c:x val="0.55672729899588225"/>
                  <c:y val="0.58555297648054583"/>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F76B-4EC1-92EF-A580997A3F2C}"/>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1"/>
            <c:leaderLines>
              <c:spPr>
                <a:ln w="9525" cap="flat" cmpd="sng" algn="ctr">
                  <a:noFill/>
                  <a:round/>
                </a:ln>
                <a:effectLst/>
              </c:spPr>
            </c:leaderLines>
            <c:extLst>
              <c:ext xmlns:c15="http://schemas.microsoft.com/office/drawing/2012/chart" uri="{CE6537A1-D6FC-4f65-9D91-7224C49458BB}"/>
            </c:extLst>
          </c:dLbls>
          <c:cat>
            <c:strRef>
              <c:f>Sheet1!$A$2:$A$4</c:f>
              <c:strCache>
                <c:ptCount val="3"/>
                <c:pt idx="0">
                  <c:v>Lot 1</c:v>
                </c:pt>
                <c:pt idx="1">
                  <c:v>Lot 2</c:v>
                </c:pt>
                <c:pt idx="2">
                  <c:v>Lot 3</c:v>
                </c:pt>
              </c:strCache>
            </c:strRef>
          </c:cat>
          <c:val>
            <c:numRef>
              <c:f>Sheet1!$B$2:$B$4</c:f>
              <c:numCache>
                <c:formatCode>General</c:formatCode>
                <c:ptCount val="3"/>
                <c:pt idx="0">
                  <c:v>583.13599999999997</c:v>
                </c:pt>
                <c:pt idx="1">
                  <c:v>412.10910000000001</c:v>
                </c:pt>
                <c:pt idx="2">
                  <c:v>79.495900000000006</c:v>
                </c:pt>
              </c:numCache>
            </c:numRef>
          </c:val>
          <c:extLst>
            <c:ext xmlns:c16="http://schemas.microsoft.com/office/drawing/2014/chart" uri="{C3380CC4-5D6E-409C-BE32-E72D297353CC}">
              <c16:uniqueId val="{00000006-F76B-4EC1-92EF-A580997A3F2C}"/>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layout>
        <c:manualLayout>
          <c:xMode val="edge"/>
          <c:yMode val="edge"/>
          <c:x val="0.74437029746281713"/>
          <c:y val="0.485890201224847"/>
          <c:w val="8.3245731898191636E-2"/>
          <c:h val="0.2566832655021645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0.54862</cdr:x>
      <cdr:y>0.43873</cdr:y>
    </cdr:from>
    <cdr:to>
      <cdr:x>0.66055</cdr:x>
      <cdr:y>0.52345</cdr:y>
    </cdr:to>
    <cdr:sp macro="" textlink="">
      <cdr:nvSpPr>
        <cdr:cNvPr id="3" name="Rectangle 2"/>
        <cdr:cNvSpPr/>
      </cdr:nvSpPr>
      <cdr:spPr>
        <a:xfrm xmlns:a="http://schemas.openxmlformats.org/drawingml/2006/main">
          <a:off x="2847974" y="1381125"/>
          <a:ext cx="581025" cy="266700"/>
        </a:xfrm>
        <a:prstGeom xmlns:a="http://schemas.openxmlformats.org/drawingml/2006/main" prst="rect">
          <a:avLst/>
        </a:prstGeom>
        <a:ln xmlns:a="http://schemas.openxmlformats.org/drawingml/2006/main">
          <a:noFill/>
        </a:ln>
      </cdr:spPr>
      <cdr:style>
        <a:lnRef xmlns:a="http://schemas.openxmlformats.org/drawingml/2006/main" idx="2">
          <a:schemeClr val="dk1"/>
        </a:lnRef>
        <a:fillRef xmlns:a="http://schemas.openxmlformats.org/drawingml/2006/main" idx="1">
          <a:schemeClr val="lt1"/>
        </a:fillRef>
        <a:effectRef xmlns:a="http://schemas.openxmlformats.org/drawingml/2006/main" idx="0">
          <a:schemeClr val="dk1"/>
        </a:effectRef>
        <a:fontRef xmlns:a="http://schemas.openxmlformats.org/drawingml/2006/main" idx="minor">
          <a:schemeClr val="dk1"/>
        </a:fontRef>
      </cdr:style>
      <cdr:txBody>
        <a:bodyPr xmlns:a="http://schemas.openxmlformats.org/drawingml/2006/main" vertOverflow="clip"/>
        <a:lstStyle xmlns:a="http://schemas.openxmlformats.org/drawingml/2006/main"/>
        <a:p xmlns:a="http://schemas.openxmlformats.org/drawingml/2006/main">
          <a:r>
            <a:rPr lang="en-US"/>
            <a:t>Lot 1</a:t>
          </a:r>
        </a:p>
      </cdr:txBody>
    </cdr:sp>
  </cdr:relSizeAnchor>
  <cdr:relSizeAnchor xmlns:cdr="http://schemas.openxmlformats.org/drawingml/2006/chartDrawing">
    <cdr:from>
      <cdr:x>0.2789</cdr:x>
      <cdr:y>0.45083</cdr:y>
    </cdr:from>
    <cdr:to>
      <cdr:x>0.37248</cdr:x>
      <cdr:y>0.53253</cdr:y>
    </cdr:to>
    <cdr:sp macro="" textlink="">
      <cdr:nvSpPr>
        <cdr:cNvPr id="4" name="Rectangle 3"/>
        <cdr:cNvSpPr/>
      </cdr:nvSpPr>
      <cdr:spPr>
        <a:xfrm xmlns:a="http://schemas.openxmlformats.org/drawingml/2006/main">
          <a:off x="1447800" y="1419225"/>
          <a:ext cx="485776" cy="257175"/>
        </a:xfrm>
        <a:prstGeom xmlns:a="http://schemas.openxmlformats.org/drawingml/2006/main" prst="rect">
          <a:avLst/>
        </a:prstGeom>
        <a:noFill xmlns:a="http://schemas.openxmlformats.org/drawingml/2006/main"/>
        <a:ln xmlns:a="http://schemas.openxmlformats.org/drawingml/2006/main">
          <a:noFill/>
        </a:ln>
      </cdr:spPr>
      <cdr:style>
        <a:lnRef xmlns:a="http://schemas.openxmlformats.org/drawingml/2006/main" idx="2">
          <a:schemeClr val="dk1"/>
        </a:lnRef>
        <a:fillRef xmlns:a="http://schemas.openxmlformats.org/drawingml/2006/main" idx="1">
          <a:schemeClr val="lt1"/>
        </a:fillRef>
        <a:effectRef xmlns:a="http://schemas.openxmlformats.org/drawingml/2006/main" idx="0">
          <a:schemeClr val="dk1"/>
        </a:effectRef>
        <a:fontRef xmlns:a="http://schemas.openxmlformats.org/drawingml/2006/main" idx="minor">
          <a:schemeClr val="dk1"/>
        </a:fontRef>
      </cdr:style>
      <cdr:txBody>
        <a:bodyPr xmlns:a="http://schemas.openxmlformats.org/drawingml/2006/main" vertOverflow="clip"/>
        <a:lstStyle xmlns:a="http://schemas.openxmlformats.org/drawingml/2006/main"/>
        <a:p xmlns:a="http://schemas.openxmlformats.org/drawingml/2006/main">
          <a:r>
            <a:rPr lang="en-US"/>
            <a:t>Lot 2</a:t>
          </a:r>
        </a:p>
      </cdr:txBody>
    </cdr:sp>
  </cdr:relSizeAnchor>
  <cdr:relSizeAnchor xmlns:cdr="http://schemas.openxmlformats.org/drawingml/2006/chartDrawing">
    <cdr:from>
      <cdr:x>0.32844</cdr:x>
      <cdr:y>0.06412</cdr:y>
    </cdr:from>
    <cdr:to>
      <cdr:x>0.42569</cdr:x>
      <cdr:y>0.14351</cdr:y>
    </cdr:to>
    <cdr:sp macro="" textlink="">
      <cdr:nvSpPr>
        <cdr:cNvPr id="5" name="Rectangle 4"/>
        <cdr:cNvSpPr/>
      </cdr:nvSpPr>
      <cdr:spPr>
        <a:xfrm xmlns:a="http://schemas.openxmlformats.org/drawingml/2006/main">
          <a:off x="1704974" y="200025"/>
          <a:ext cx="504826" cy="247651"/>
        </a:xfrm>
        <a:prstGeom xmlns:a="http://schemas.openxmlformats.org/drawingml/2006/main" prst="rect">
          <a:avLst/>
        </a:prstGeom>
      </cdr:spPr>
      <cdr:style>
        <a:lnRef xmlns:a="http://schemas.openxmlformats.org/drawingml/2006/main" idx="2">
          <a:schemeClr val="dk1">
            <a:shade val="50000"/>
          </a:schemeClr>
        </a:lnRef>
        <a:fillRef xmlns:a="http://schemas.openxmlformats.org/drawingml/2006/main" idx="1">
          <a:schemeClr val="dk1"/>
        </a:fillRef>
        <a:effectRef xmlns:a="http://schemas.openxmlformats.org/drawingml/2006/main" idx="0">
          <a:schemeClr val="dk1"/>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r>
            <a:rPr lang="en-US"/>
            <a:t>Lot 3</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ECF555-0C57-4B86-9E75-8344BFFB70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4713</Words>
  <Characters>26865</Characters>
  <Application>Microsoft Office Word</Application>
  <DocSecurity>0</DocSecurity>
  <Lines>223</Lines>
  <Paragraphs>63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Sandra Muengwa</cp:lastModifiedBy>
  <cp:revision>2</cp:revision>
  <cp:lastPrinted>2018-02-28T06:42:00Z</cp:lastPrinted>
  <dcterms:created xsi:type="dcterms:W3CDTF">2018-04-25T12:28:00Z</dcterms:created>
  <dcterms:modified xsi:type="dcterms:W3CDTF">2018-04-25T12:28:00Z</dcterms:modified>
</cp:coreProperties>
</file>