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4DF8B" w14:textId="77777777" w:rsidR="00D23442" w:rsidRDefault="00D23442" w:rsidP="00D23442">
      <w:pPr>
        <w:spacing w:after="0" w:line="240" w:lineRule="auto"/>
        <w:rPr>
          <w:sz w:val="28"/>
          <w:szCs w:val="28"/>
          <w:lang w:val="en-US"/>
        </w:rPr>
      </w:pPr>
    </w:p>
    <w:p w14:paraId="7860C388" w14:textId="5459412E" w:rsidR="00207721" w:rsidRPr="00BC5619" w:rsidRDefault="00BC5619" w:rsidP="00D23442">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u w:val="single"/>
          <w:lang w:val="en-US"/>
        </w:rPr>
        <w:t>REPORTABLE</w:t>
      </w:r>
      <w:r w:rsidRPr="00BC5619">
        <w:rPr>
          <w:rFonts w:ascii="Times New Roman" w:hAnsi="Times New Roman" w:cs="Times New Roman"/>
          <w:b/>
          <w:sz w:val="24"/>
          <w:szCs w:val="24"/>
          <w:lang w:val="en-US"/>
        </w:rPr>
        <w:tab/>
        <w:t>(22</w:t>
      </w:r>
      <w:r w:rsidR="00D23442" w:rsidRPr="00BC5619">
        <w:rPr>
          <w:rFonts w:ascii="Times New Roman" w:hAnsi="Times New Roman" w:cs="Times New Roman"/>
          <w:b/>
          <w:sz w:val="24"/>
          <w:szCs w:val="24"/>
          <w:lang w:val="en-US"/>
        </w:rPr>
        <w:t>)</w:t>
      </w:r>
    </w:p>
    <w:p w14:paraId="333A267A" w14:textId="77777777" w:rsidR="00D23442" w:rsidRPr="00BC5619" w:rsidRDefault="00D23442" w:rsidP="00D23442">
      <w:pPr>
        <w:spacing w:after="0" w:line="240" w:lineRule="auto"/>
        <w:rPr>
          <w:sz w:val="28"/>
          <w:szCs w:val="28"/>
          <w:lang w:val="en-US"/>
        </w:rPr>
      </w:pPr>
    </w:p>
    <w:p w14:paraId="58E2E9B7" w14:textId="77777777" w:rsidR="00207721" w:rsidRDefault="00207721" w:rsidP="007C633E">
      <w:pPr>
        <w:spacing w:after="0"/>
        <w:jc w:val="right"/>
        <w:rPr>
          <w:sz w:val="28"/>
          <w:szCs w:val="28"/>
          <w:lang w:val="en-US"/>
        </w:rPr>
      </w:pPr>
    </w:p>
    <w:p w14:paraId="142CF1B1" w14:textId="119C426D" w:rsidR="007C633E" w:rsidRPr="005F096C" w:rsidRDefault="005174DD" w:rsidP="00BC5619">
      <w:pPr>
        <w:spacing w:after="0" w:line="240" w:lineRule="auto"/>
        <w:ind w:left="360"/>
        <w:jc w:val="center"/>
        <w:rPr>
          <w:rFonts w:ascii="Times New Roman" w:hAnsi="Times New Roman" w:cs="Times New Roman"/>
          <w:b/>
          <w:sz w:val="24"/>
          <w:szCs w:val="24"/>
          <w:lang w:val="en-US"/>
        </w:rPr>
      </w:pPr>
      <w:r w:rsidRPr="005F096C">
        <w:rPr>
          <w:sz w:val="28"/>
          <w:szCs w:val="28"/>
          <w:lang w:val="en-US"/>
        </w:rPr>
        <w:t xml:space="preserve">    </w:t>
      </w:r>
      <w:r w:rsidR="005F096C" w:rsidRPr="005F096C">
        <w:rPr>
          <w:rFonts w:ascii="Times New Roman" w:hAnsi="Times New Roman" w:cs="Times New Roman"/>
          <w:b/>
          <w:sz w:val="24"/>
          <w:szCs w:val="24"/>
          <w:lang w:val="en-US"/>
        </w:rPr>
        <w:t>FADZAI</w:t>
      </w:r>
      <w:r w:rsidR="007C633E" w:rsidRPr="005F096C">
        <w:rPr>
          <w:rFonts w:ascii="Times New Roman" w:hAnsi="Times New Roman" w:cs="Times New Roman"/>
          <w:b/>
          <w:sz w:val="24"/>
          <w:szCs w:val="24"/>
          <w:lang w:val="en-US"/>
        </w:rPr>
        <w:t xml:space="preserve"> </w:t>
      </w:r>
      <w:r w:rsidRPr="005F096C">
        <w:rPr>
          <w:rFonts w:ascii="Times New Roman" w:hAnsi="Times New Roman" w:cs="Times New Roman"/>
          <w:b/>
          <w:sz w:val="24"/>
          <w:szCs w:val="24"/>
          <w:lang w:val="en-US"/>
        </w:rPr>
        <w:t xml:space="preserve">    </w:t>
      </w:r>
      <w:r w:rsidR="005F096C" w:rsidRPr="005F096C">
        <w:rPr>
          <w:rFonts w:ascii="Times New Roman" w:hAnsi="Times New Roman" w:cs="Times New Roman"/>
          <w:b/>
          <w:sz w:val="24"/>
          <w:szCs w:val="24"/>
          <w:lang w:val="en-US"/>
        </w:rPr>
        <w:t>USAYI</w:t>
      </w:r>
      <w:r w:rsidR="007C633E" w:rsidRPr="005F096C">
        <w:rPr>
          <w:rFonts w:ascii="Times New Roman" w:hAnsi="Times New Roman" w:cs="Times New Roman"/>
          <w:b/>
          <w:sz w:val="24"/>
          <w:szCs w:val="24"/>
          <w:lang w:val="en-US"/>
        </w:rPr>
        <w:t xml:space="preserve"> </w:t>
      </w:r>
      <w:r w:rsidRPr="005F096C">
        <w:rPr>
          <w:rFonts w:ascii="Times New Roman" w:hAnsi="Times New Roman" w:cs="Times New Roman"/>
          <w:b/>
          <w:sz w:val="24"/>
          <w:szCs w:val="24"/>
          <w:lang w:val="en-US"/>
        </w:rPr>
        <w:t xml:space="preserve">    </w:t>
      </w:r>
      <w:r w:rsidR="007C633E" w:rsidRPr="005F096C">
        <w:rPr>
          <w:rFonts w:ascii="Times New Roman" w:hAnsi="Times New Roman" w:cs="Times New Roman"/>
          <w:b/>
          <w:sz w:val="24"/>
          <w:szCs w:val="24"/>
          <w:lang w:val="en-US"/>
        </w:rPr>
        <w:t>(</w:t>
      </w:r>
      <w:r w:rsidR="00327658">
        <w:rPr>
          <w:rFonts w:ascii="Times New Roman" w:hAnsi="Times New Roman" w:cs="Times New Roman"/>
          <w:sz w:val="24"/>
          <w:szCs w:val="24"/>
          <w:lang w:val="en-US"/>
        </w:rPr>
        <w:t>n</w:t>
      </w:r>
      <w:r w:rsidR="005F096C" w:rsidRPr="007E0DBC">
        <w:rPr>
          <w:rFonts w:ascii="Times New Roman" w:hAnsi="Times New Roman" w:cs="Times New Roman"/>
          <w:sz w:val="24"/>
          <w:szCs w:val="24"/>
          <w:lang w:val="en-US"/>
        </w:rPr>
        <w:t xml:space="preserve">ee </w:t>
      </w:r>
      <w:r w:rsidR="005F096C" w:rsidRPr="00D459B1">
        <w:rPr>
          <w:rFonts w:ascii="Times New Roman" w:hAnsi="Times New Roman" w:cs="Times New Roman"/>
          <w:b/>
          <w:sz w:val="24"/>
          <w:szCs w:val="24"/>
          <w:lang w:val="en-US"/>
        </w:rPr>
        <w:t>MAGARA</w:t>
      </w:r>
      <w:r w:rsidR="005F096C" w:rsidRPr="005F096C">
        <w:rPr>
          <w:rFonts w:ascii="Times New Roman" w:hAnsi="Times New Roman" w:cs="Times New Roman"/>
          <w:b/>
          <w:sz w:val="24"/>
          <w:szCs w:val="24"/>
          <w:lang w:val="en-US"/>
        </w:rPr>
        <w:t>)</w:t>
      </w:r>
      <w:r w:rsidR="007C633E" w:rsidRPr="005F096C">
        <w:rPr>
          <w:rFonts w:ascii="Times New Roman" w:hAnsi="Times New Roman" w:cs="Times New Roman"/>
          <w:b/>
          <w:sz w:val="24"/>
          <w:szCs w:val="24"/>
          <w:lang w:val="en-US"/>
        </w:rPr>
        <w:t xml:space="preserve"> </w:t>
      </w:r>
      <w:r w:rsidRPr="005F096C">
        <w:rPr>
          <w:rFonts w:ascii="Times New Roman" w:hAnsi="Times New Roman" w:cs="Times New Roman"/>
          <w:b/>
          <w:sz w:val="24"/>
          <w:szCs w:val="24"/>
          <w:lang w:val="en-US"/>
        </w:rPr>
        <w:t xml:space="preserve">    </w:t>
      </w:r>
    </w:p>
    <w:p w14:paraId="1B40CF79" w14:textId="77777777" w:rsidR="007C633E" w:rsidRPr="00D23442" w:rsidRDefault="00207721" w:rsidP="00BC5619">
      <w:pPr>
        <w:spacing w:after="0" w:line="240" w:lineRule="auto"/>
        <w:jc w:val="center"/>
        <w:rPr>
          <w:rFonts w:ascii="Times New Roman" w:hAnsi="Times New Roman" w:cs="Times New Roman"/>
          <w:b/>
          <w:sz w:val="24"/>
          <w:szCs w:val="24"/>
          <w:lang w:val="en-US"/>
        </w:rPr>
      </w:pPr>
      <w:proofErr w:type="gramStart"/>
      <w:r w:rsidRPr="00D23442">
        <w:rPr>
          <w:rFonts w:ascii="Times New Roman" w:hAnsi="Times New Roman" w:cs="Times New Roman"/>
          <w:b/>
          <w:sz w:val="24"/>
          <w:szCs w:val="24"/>
          <w:lang w:val="en-US"/>
        </w:rPr>
        <w:t>v</w:t>
      </w:r>
      <w:proofErr w:type="gramEnd"/>
    </w:p>
    <w:p w14:paraId="206402F7" w14:textId="77777777" w:rsidR="007C633E" w:rsidRPr="00D23442" w:rsidRDefault="005F096C" w:rsidP="00BC5619">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LEONARD</w:t>
      </w:r>
      <w:r w:rsidR="007C633E" w:rsidRPr="00D23442">
        <w:rPr>
          <w:rFonts w:ascii="Times New Roman" w:hAnsi="Times New Roman" w:cs="Times New Roman"/>
          <w:b/>
          <w:sz w:val="24"/>
          <w:szCs w:val="24"/>
          <w:lang w:val="en-US"/>
        </w:rPr>
        <w:t xml:space="preserve"> </w:t>
      </w:r>
      <w:r w:rsidR="005174DD" w:rsidRPr="00D23442">
        <w:rPr>
          <w:rFonts w:ascii="Times New Roman" w:hAnsi="Times New Roman" w:cs="Times New Roman"/>
          <w:b/>
          <w:sz w:val="24"/>
          <w:szCs w:val="24"/>
          <w:lang w:val="en-US"/>
        </w:rPr>
        <w:t xml:space="preserve">    </w:t>
      </w:r>
      <w:r>
        <w:rPr>
          <w:rFonts w:ascii="Times New Roman" w:hAnsi="Times New Roman" w:cs="Times New Roman"/>
          <w:b/>
          <w:sz w:val="24"/>
          <w:szCs w:val="24"/>
          <w:lang w:val="en-US"/>
        </w:rPr>
        <w:t>USAYI</w:t>
      </w:r>
    </w:p>
    <w:p w14:paraId="37D28570" w14:textId="77777777" w:rsidR="005174DD" w:rsidRDefault="005174DD" w:rsidP="00BC5619">
      <w:pPr>
        <w:spacing w:after="0" w:line="240" w:lineRule="auto"/>
        <w:jc w:val="center"/>
        <w:rPr>
          <w:sz w:val="28"/>
          <w:szCs w:val="28"/>
          <w:lang w:val="en-US"/>
        </w:rPr>
      </w:pPr>
    </w:p>
    <w:p w14:paraId="2255ED03" w14:textId="77777777" w:rsidR="005174DD" w:rsidRDefault="005174DD" w:rsidP="005174DD">
      <w:pPr>
        <w:spacing w:after="0" w:line="240" w:lineRule="auto"/>
        <w:jc w:val="center"/>
        <w:rPr>
          <w:sz w:val="28"/>
          <w:szCs w:val="28"/>
          <w:lang w:val="en-US"/>
        </w:rPr>
      </w:pPr>
    </w:p>
    <w:p w14:paraId="55723EF7" w14:textId="77777777" w:rsidR="007C633E" w:rsidRDefault="007C633E" w:rsidP="007C633E">
      <w:pPr>
        <w:spacing w:after="0"/>
        <w:rPr>
          <w:sz w:val="28"/>
          <w:szCs w:val="28"/>
          <w:lang w:val="en-US"/>
        </w:rPr>
      </w:pPr>
    </w:p>
    <w:p w14:paraId="1AE67063" w14:textId="77777777" w:rsidR="007C633E" w:rsidRDefault="007C633E" w:rsidP="007C633E">
      <w:pPr>
        <w:spacing w:after="0"/>
        <w:rPr>
          <w:rFonts w:ascii="Times New Roman" w:hAnsi="Times New Roman" w:cs="Times New Roman"/>
          <w:b/>
          <w:sz w:val="24"/>
          <w:szCs w:val="24"/>
          <w:lang w:val="en-US"/>
        </w:rPr>
      </w:pPr>
      <w:r w:rsidRPr="00D23442">
        <w:rPr>
          <w:rFonts w:ascii="Times New Roman" w:hAnsi="Times New Roman" w:cs="Times New Roman"/>
          <w:b/>
          <w:sz w:val="24"/>
          <w:szCs w:val="24"/>
          <w:lang w:val="en-US"/>
        </w:rPr>
        <w:t>SUPREME COURT OF ZIMBABWE</w:t>
      </w:r>
    </w:p>
    <w:p w14:paraId="15723399" w14:textId="77777777" w:rsidR="005F096C" w:rsidRPr="00D23442" w:rsidRDefault="005F096C" w:rsidP="007C633E">
      <w:pPr>
        <w:spacing w:after="0"/>
        <w:rPr>
          <w:rFonts w:ascii="Times New Roman" w:hAnsi="Times New Roman" w:cs="Times New Roman"/>
          <w:b/>
          <w:sz w:val="24"/>
          <w:szCs w:val="24"/>
          <w:lang w:val="en-US"/>
        </w:rPr>
      </w:pPr>
      <w:r>
        <w:rPr>
          <w:rFonts w:ascii="Times New Roman" w:hAnsi="Times New Roman" w:cs="Times New Roman"/>
          <w:b/>
          <w:sz w:val="24"/>
          <w:szCs w:val="24"/>
          <w:lang w:val="en-US"/>
        </w:rPr>
        <w:t>UCHENA JA, MATHONSI JA &amp; CHATUKUTA JA</w:t>
      </w:r>
    </w:p>
    <w:p w14:paraId="59323FCF" w14:textId="68D00E43" w:rsidR="007C633E" w:rsidRDefault="007C633E" w:rsidP="007C633E">
      <w:pPr>
        <w:spacing w:after="0"/>
        <w:rPr>
          <w:rFonts w:ascii="Times New Roman" w:hAnsi="Times New Roman" w:cs="Times New Roman"/>
          <w:b/>
          <w:sz w:val="24"/>
          <w:szCs w:val="24"/>
          <w:lang w:val="en-US"/>
        </w:rPr>
      </w:pPr>
      <w:r w:rsidRPr="00D23442">
        <w:rPr>
          <w:rFonts w:ascii="Times New Roman" w:hAnsi="Times New Roman" w:cs="Times New Roman"/>
          <w:b/>
          <w:sz w:val="24"/>
          <w:szCs w:val="24"/>
          <w:lang w:val="en-US"/>
        </w:rPr>
        <w:t>HARARE</w:t>
      </w:r>
      <w:r w:rsidR="00BC5619">
        <w:rPr>
          <w:rFonts w:ascii="Times New Roman" w:hAnsi="Times New Roman" w:cs="Times New Roman"/>
          <w:b/>
          <w:sz w:val="24"/>
          <w:szCs w:val="24"/>
          <w:lang w:val="en-US"/>
        </w:rPr>
        <w:t>:</w:t>
      </w:r>
      <w:r w:rsidRPr="00D23442">
        <w:rPr>
          <w:rFonts w:ascii="Times New Roman" w:hAnsi="Times New Roman" w:cs="Times New Roman"/>
          <w:b/>
          <w:sz w:val="24"/>
          <w:szCs w:val="24"/>
          <w:lang w:val="en-US"/>
        </w:rPr>
        <w:t xml:space="preserve"> </w:t>
      </w:r>
      <w:r w:rsidR="005F096C">
        <w:rPr>
          <w:rFonts w:ascii="Times New Roman" w:hAnsi="Times New Roman" w:cs="Times New Roman"/>
          <w:b/>
          <w:sz w:val="24"/>
          <w:szCs w:val="24"/>
          <w:lang w:val="en-US"/>
        </w:rPr>
        <w:t>6 FEBRUARY 2024</w:t>
      </w:r>
      <w:r w:rsidRPr="00D23442">
        <w:rPr>
          <w:rFonts w:ascii="Times New Roman" w:hAnsi="Times New Roman" w:cs="Times New Roman"/>
          <w:b/>
          <w:sz w:val="24"/>
          <w:szCs w:val="24"/>
          <w:lang w:val="en-US"/>
        </w:rPr>
        <w:t xml:space="preserve"> </w:t>
      </w:r>
    </w:p>
    <w:p w14:paraId="77C6D01F" w14:textId="77777777" w:rsidR="00D23442" w:rsidRPr="00D23442" w:rsidRDefault="00D23442" w:rsidP="00D23442">
      <w:pPr>
        <w:spacing w:after="0" w:line="240" w:lineRule="auto"/>
        <w:rPr>
          <w:rFonts w:ascii="Times New Roman" w:hAnsi="Times New Roman" w:cs="Times New Roman"/>
          <w:b/>
          <w:sz w:val="24"/>
          <w:szCs w:val="24"/>
          <w:lang w:val="en-US"/>
        </w:rPr>
      </w:pPr>
    </w:p>
    <w:p w14:paraId="212B32FE" w14:textId="77777777" w:rsidR="005174DD" w:rsidRDefault="005174DD" w:rsidP="007C633E">
      <w:pPr>
        <w:spacing w:after="0"/>
        <w:rPr>
          <w:sz w:val="28"/>
          <w:szCs w:val="28"/>
          <w:lang w:val="en-US"/>
        </w:rPr>
      </w:pPr>
    </w:p>
    <w:p w14:paraId="11500C53" w14:textId="77777777" w:rsidR="005174DD" w:rsidRDefault="005174DD" w:rsidP="005174DD">
      <w:pPr>
        <w:spacing w:after="0" w:line="240" w:lineRule="auto"/>
        <w:rPr>
          <w:sz w:val="28"/>
          <w:szCs w:val="28"/>
          <w:lang w:val="en-US"/>
        </w:rPr>
      </w:pPr>
    </w:p>
    <w:p w14:paraId="46F57BA8" w14:textId="5B78822A" w:rsidR="007C633E" w:rsidRPr="00D23442" w:rsidRDefault="00C6086A" w:rsidP="005174DD">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5F096C">
        <w:rPr>
          <w:rFonts w:ascii="Times New Roman" w:hAnsi="Times New Roman" w:cs="Times New Roman"/>
          <w:i/>
          <w:sz w:val="24"/>
          <w:szCs w:val="24"/>
          <w:lang w:val="en-US"/>
        </w:rPr>
        <w:t xml:space="preserve">R. </w:t>
      </w:r>
      <w:proofErr w:type="spellStart"/>
      <w:r w:rsidR="005F096C">
        <w:rPr>
          <w:rFonts w:ascii="Times New Roman" w:hAnsi="Times New Roman" w:cs="Times New Roman"/>
          <w:i/>
          <w:sz w:val="24"/>
          <w:szCs w:val="24"/>
          <w:lang w:val="en-US"/>
        </w:rPr>
        <w:t>Mabwe</w:t>
      </w:r>
      <w:proofErr w:type="spellEnd"/>
      <w:r w:rsidR="005F096C">
        <w:rPr>
          <w:rFonts w:ascii="Times New Roman" w:hAnsi="Times New Roman" w:cs="Times New Roman"/>
          <w:i/>
          <w:sz w:val="24"/>
          <w:szCs w:val="24"/>
          <w:lang w:val="en-US"/>
        </w:rPr>
        <w:t xml:space="preserve"> </w:t>
      </w:r>
      <w:r w:rsidR="005F096C">
        <w:rPr>
          <w:rFonts w:ascii="Times New Roman" w:hAnsi="Times New Roman" w:cs="Times New Roman"/>
          <w:sz w:val="24"/>
          <w:szCs w:val="24"/>
          <w:lang w:val="en-US"/>
        </w:rPr>
        <w:t xml:space="preserve">with </w:t>
      </w:r>
      <w:r w:rsidR="005F096C" w:rsidRPr="005F096C">
        <w:rPr>
          <w:rFonts w:ascii="Times New Roman" w:hAnsi="Times New Roman" w:cs="Times New Roman"/>
          <w:i/>
          <w:sz w:val="24"/>
          <w:szCs w:val="24"/>
          <w:lang w:val="en-US"/>
        </w:rPr>
        <w:t>J. Sande</w:t>
      </w:r>
      <w:r w:rsidR="007C633E" w:rsidRPr="00D23442">
        <w:rPr>
          <w:rFonts w:ascii="Times New Roman" w:hAnsi="Times New Roman" w:cs="Times New Roman"/>
          <w:i/>
          <w:sz w:val="24"/>
          <w:szCs w:val="24"/>
          <w:lang w:val="en-US"/>
        </w:rPr>
        <w:t xml:space="preserve">, </w:t>
      </w:r>
      <w:r w:rsidR="007C633E" w:rsidRPr="00D23442">
        <w:rPr>
          <w:rFonts w:ascii="Times New Roman" w:hAnsi="Times New Roman" w:cs="Times New Roman"/>
          <w:sz w:val="24"/>
          <w:szCs w:val="24"/>
          <w:lang w:val="en-US"/>
        </w:rPr>
        <w:t xml:space="preserve">for the </w:t>
      </w:r>
      <w:r w:rsidR="005F096C">
        <w:rPr>
          <w:rFonts w:ascii="Times New Roman" w:hAnsi="Times New Roman" w:cs="Times New Roman"/>
          <w:sz w:val="24"/>
          <w:szCs w:val="24"/>
          <w:lang w:val="en-US"/>
        </w:rPr>
        <w:t>appellant</w:t>
      </w:r>
    </w:p>
    <w:p w14:paraId="5295BC03" w14:textId="77777777" w:rsidR="007C633E" w:rsidRDefault="005F096C" w:rsidP="005174DD">
      <w:pPr>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S. Banda</w:t>
      </w:r>
      <w:r w:rsidR="005174DD" w:rsidRPr="00D23442">
        <w:rPr>
          <w:rFonts w:ascii="Times New Roman" w:hAnsi="Times New Roman" w:cs="Times New Roman"/>
          <w:i/>
          <w:sz w:val="24"/>
          <w:szCs w:val="24"/>
          <w:lang w:val="en-US"/>
        </w:rPr>
        <w:t xml:space="preserve"> </w:t>
      </w:r>
      <w:r w:rsidR="007C633E" w:rsidRPr="00D23442">
        <w:rPr>
          <w:rFonts w:ascii="Times New Roman" w:hAnsi="Times New Roman" w:cs="Times New Roman"/>
          <w:sz w:val="24"/>
          <w:szCs w:val="24"/>
          <w:lang w:val="en-US"/>
        </w:rPr>
        <w:t>with</w:t>
      </w:r>
      <w:r w:rsidR="005174DD" w:rsidRPr="00D23442">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T. </w:t>
      </w:r>
      <w:proofErr w:type="spellStart"/>
      <w:r>
        <w:rPr>
          <w:rFonts w:ascii="Times New Roman" w:hAnsi="Times New Roman" w:cs="Times New Roman"/>
          <w:i/>
          <w:sz w:val="24"/>
          <w:szCs w:val="24"/>
          <w:lang w:val="en-US"/>
        </w:rPr>
        <w:t>Gurira</w:t>
      </w:r>
      <w:proofErr w:type="spellEnd"/>
      <w:r w:rsidR="007C633E" w:rsidRPr="00D23442">
        <w:rPr>
          <w:rFonts w:ascii="Times New Roman" w:hAnsi="Times New Roman" w:cs="Times New Roman"/>
          <w:i/>
          <w:sz w:val="24"/>
          <w:szCs w:val="24"/>
          <w:lang w:val="en-US"/>
        </w:rPr>
        <w:t xml:space="preserve">, </w:t>
      </w:r>
      <w:r w:rsidR="007C633E" w:rsidRPr="00D23442">
        <w:rPr>
          <w:rFonts w:ascii="Times New Roman" w:hAnsi="Times New Roman" w:cs="Times New Roman"/>
          <w:sz w:val="24"/>
          <w:szCs w:val="24"/>
          <w:lang w:val="en-US"/>
        </w:rPr>
        <w:t xml:space="preserve">for the </w:t>
      </w:r>
      <w:r w:rsidR="005174DD" w:rsidRPr="00D23442">
        <w:rPr>
          <w:rFonts w:ascii="Times New Roman" w:hAnsi="Times New Roman" w:cs="Times New Roman"/>
          <w:sz w:val="24"/>
          <w:szCs w:val="24"/>
          <w:lang w:val="en-US"/>
        </w:rPr>
        <w:t>r</w:t>
      </w:r>
      <w:r w:rsidR="007C633E" w:rsidRPr="00D23442">
        <w:rPr>
          <w:rFonts w:ascii="Times New Roman" w:hAnsi="Times New Roman" w:cs="Times New Roman"/>
          <w:sz w:val="24"/>
          <w:szCs w:val="24"/>
          <w:lang w:val="en-US"/>
        </w:rPr>
        <w:t>espondent</w:t>
      </w:r>
    </w:p>
    <w:p w14:paraId="555AB314" w14:textId="77777777" w:rsidR="00D23442" w:rsidRDefault="00D23442" w:rsidP="00A13B5E">
      <w:pPr>
        <w:spacing w:after="0" w:line="480" w:lineRule="auto"/>
        <w:jc w:val="both"/>
        <w:rPr>
          <w:rFonts w:ascii="Times New Roman" w:hAnsi="Times New Roman" w:cs="Times New Roman"/>
          <w:sz w:val="24"/>
          <w:szCs w:val="24"/>
          <w:lang w:val="en-US"/>
        </w:rPr>
      </w:pPr>
    </w:p>
    <w:p w14:paraId="1394E700" w14:textId="6A5212A4" w:rsidR="005F096C" w:rsidRDefault="00A13B5E" w:rsidP="00A13B5E">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A13B5E">
        <w:rPr>
          <w:rFonts w:ascii="Times New Roman" w:hAnsi="Times New Roman" w:cs="Times New Roman"/>
          <w:b/>
          <w:sz w:val="24"/>
          <w:szCs w:val="24"/>
          <w:lang w:val="en-US"/>
        </w:rPr>
        <w:t>MATHONSI JA</w:t>
      </w: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This is an appeal against part of the judgment of the High Court (the court </w:t>
      </w:r>
      <w:r>
        <w:rPr>
          <w:rFonts w:ascii="Times New Roman" w:hAnsi="Times New Roman" w:cs="Times New Roman"/>
          <w:i/>
          <w:sz w:val="24"/>
          <w:szCs w:val="24"/>
          <w:lang w:val="en-US"/>
        </w:rPr>
        <w:t>a quo</w:t>
      </w:r>
      <w:r>
        <w:rPr>
          <w:rFonts w:ascii="Times New Roman" w:hAnsi="Times New Roman" w:cs="Times New Roman"/>
          <w:sz w:val="24"/>
          <w:szCs w:val="24"/>
          <w:lang w:val="en-US"/>
        </w:rPr>
        <w:t>) handed down on 30 August 2023 granting to the appellant a decree of divorce and distributing the matrimonial assets of the parties to them.  The part of the judgment being appealed against is the award of what has been, in essence, their matrimonial home, to</w:t>
      </w:r>
      <w:r w:rsidR="00800EF4">
        <w:rPr>
          <w:rFonts w:ascii="Times New Roman" w:hAnsi="Times New Roman" w:cs="Times New Roman"/>
          <w:sz w:val="24"/>
          <w:szCs w:val="24"/>
          <w:lang w:val="en-US"/>
        </w:rPr>
        <w:t xml:space="preserve"> the respondent</w:t>
      </w:r>
      <w:r w:rsidR="0036622D">
        <w:rPr>
          <w:rFonts w:ascii="Times New Roman" w:hAnsi="Times New Roman" w:cs="Times New Roman"/>
          <w:sz w:val="24"/>
          <w:szCs w:val="24"/>
          <w:lang w:val="en-US"/>
        </w:rPr>
        <w:t>,</w:t>
      </w:r>
      <w:r w:rsidR="00800EF4">
        <w:rPr>
          <w:rFonts w:ascii="Times New Roman" w:hAnsi="Times New Roman" w:cs="Times New Roman"/>
          <w:sz w:val="24"/>
          <w:szCs w:val="24"/>
          <w:lang w:val="en-US"/>
        </w:rPr>
        <w:t xml:space="preserve"> while according to the appellant a</w:t>
      </w:r>
      <w:r w:rsidR="00FD4A10">
        <w:rPr>
          <w:rFonts w:ascii="Times New Roman" w:hAnsi="Times New Roman" w:cs="Times New Roman"/>
          <w:sz w:val="24"/>
          <w:szCs w:val="24"/>
          <w:lang w:val="en-US"/>
        </w:rPr>
        <w:t xml:space="preserve"> bed and breakfast business (B n B)  consisting of a two roomed cottage</w:t>
      </w:r>
      <w:r w:rsidR="00835BA8">
        <w:rPr>
          <w:rFonts w:ascii="Times New Roman" w:hAnsi="Times New Roman" w:cs="Times New Roman"/>
          <w:sz w:val="24"/>
          <w:szCs w:val="24"/>
          <w:lang w:val="en-US"/>
        </w:rPr>
        <w:t xml:space="preserve"> that</w:t>
      </w:r>
      <w:r w:rsidR="00FD4A10">
        <w:rPr>
          <w:rFonts w:ascii="Times New Roman" w:hAnsi="Times New Roman" w:cs="Times New Roman"/>
          <w:sz w:val="24"/>
          <w:szCs w:val="24"/>
          <w:lang w:val="en-US"/>
        </w:rPr>
        <w:t xml:space="preserve">  the parties constructed on a</w:t>
      </w:r>
      <w:r w:rsidR="00800EF4">
        <w:rPr>
          <w:rFonts w:ascii="Times New Roman" w:hAnsi="Times New Roman" w:cs="Times New Roman"/>
          <w:sz w:val="24"/>
          <w:szCs w:val="24"/>
          <w:lang w:val="en-US"/>
        </w:rPr>
        <w:t xml:space="preserve"> subdivision of the matrimonial home</w:t>
      </w:r>
      <w:r w:rsidR="00FD4A10">
        <w:rPr>
          <w:rFonts w:ascii="Times New Roman" w:hAnsi="Times New Roman" w:cs="Times New Roman"/>
          <w:sz w:val="24"/>
          <w:szCs w:val="24"/>
          <w:lang w:val="en-US"/>
        </w:rPr>
        <w:t>.</w:t>
      </w:r>
    </w:p>
    <w:p w14:paraId="526EB195" w14:textId="77777777" w:rsidR="00800EF4" w:rsidRDefault="00800EF4" w:rsidP="00A13B5E">
      <w:pPr>
        <w:spacing w:after="0" w:line="480" w:lineRule="auto"/>
        <w:jc w:val="both"/>
        <w:rPr>
          <w:rFonts w:ascii="Times New Roman" w:hAnsi="Times New Roman" w:cs="Times New Roman"/>
          <w:sz w:val="24"/>
          <w:szCs w:val="24"/>
          <w:lang w:val="en-US"/>
        </w:rPr>
      </w:pPr>
    </w:p>
    <w:p w14:paraId="7B9F7F03" w14:textId="22371A85" w:rsidR="00EF4D1E" w:rsidRDefault="00800EF4" w:rsidP="002B0D6E">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After hearing counsel and following engagemen</w:t>
      </w:r>
      <w:r w:rsidR="002B0D6E">
        <w:rPr>
          <w:rFonts w:ascii="Times New Roman" w:hAnsi="Times New Roman" w:cs="Times New Roman"/>
          <w:sz w:val="24"/>
          <w:szCs w:val="24"/>
          <w:lang w:val="en-US"/>
        </w:rPr>
        <w:t xml:space="preserve">t with the parties during which </w:t>
      </w:r>
      <w:r>
        <w:rPr>
          <w:rFonts w:ascii="Times New Roman" w:hAnsi="Times New Roman" w:cs="Times New Roman"/>
          <w:sz w:val="24"/>
          <w:szCs w:val="24"/>
          <w:lang w:val="en-US"/>
        </w:rPr>
        <w:t>each of them yielded ground on their original polarized</w:t>
      </w:r>
      <w:r w:rsidR="00EF4D1E">
        <w:rPr>
          <w:rFonts w:ascii="Times New Roman" w:hAnsi="Times New Roman" w:cs="Times New Roman"/>
          <w:sz w:val="24"/>
          <w:szCs w:val="24"/>
          <w:lang w:val="en-US"/>
        </w:rPr>
        <w:t xml:space="preserve"> positions, this Court issued the following order:</w:t>
      </w:r>
    </w:p>
    <w:p w14:paraId="30D886C9" w14:textId="76DB9DD2" w:rsidR="00EF4D1E" w:rsidRDefault="00EF4D1E" w:rsidP="00BC5619">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3225EA">
        <w:rPr>
          <w:rFonts w:ascii="Times New Roman" w:hAnsi="Times New Roman" w:cs="Times New Roman"/>
          <w:b/>
          <w:sz w:val="24"/>
          <w:szCs w:val="24"/>
          <w:lang w:val="en-US"/>
        </w:rPr>
        <w:t>IT BE AND IS HEREBY ORDERED AS FOLLOWS</w:t>
      </w:r>
      <w:r>
        <w:rPr>
          <w:rFonts w:ascii="Times New Roman" w:hAnsi="Times New Roman" w:cs="Times New Roman"/>
          <w:sz w:val="24"/>
          <w:szCs w:val="24"/>
          <w:lang w:val="en-US"/>
        </w:rPr>
        <w:t>:</w:t>
      </w:r>
    </w:p>
    <w:p w14:paraId="7DB787AF" w14:textId="77777777" w:rsidR="00EF4D1E" w:rsidRDefault="00EF4D1E" w:rsidP="00BC5619">
      <w:pPr>
        <w:pStyle w:val="ListParagraph"/>
        <w:numPr>
          <w:ilvl w:val="0"/>
          <w:numId w:val="10"/>
        </w:numPr>
        <w:spacing w:after="0" w:line="480" w:lineRule="auto"/>
        <w:ind w:left="993" w:hanging="426"/>
        <w:jc w:val="both"/>
        <w:rPr>
          <w:rFonts w:ascii="Times New Roman" w:hAnsi="Times New Roman" w:cs="Times New Roman"/>
          <w:sz w:val="24"/>
          <w:szCs w:val="24"/>
          <w:lang w:val="en-US"/>
        </w:rPr>
      </w:pPr>
      <w:r>
        <w:rPr>
          <w:rFonts w:ascii="Times New Roman" w:hAnsi="Times New Roman" w:cs="Times New Roman"/>
          <w:sz w:val="24"/>
          <w:szCs w:val="24"/>
          <w:lang w:val="en-US"/>
        </w:rPr>
        <w:t>The appeal succeeds in part with each party bearing its own costs.</w:t>
      </w:r>
    </w:p>
    <w:p w14:paraId="04DD4D66" w14:textId="77777777" w:rsidR="00EF4D1E" w:rsidRDefault="00EF4D1E" w:rsidP="00BC5619">
      <w:pPr>
        <w:pStyle w:val="ListParagraph"/>
        <w:numPr>
          <w:ilvl w:val="0"/>
          <w:numId w:val="10"/>
        </w:numPr>
        <w:spacing w:after="0" w:line="240" w:lineRule="auto"/>
        <w:ind w:left="993" w:hanging="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Paragraphs 5 and 6 of the judgment of the court </w:t>
      </w:r>
      <w:r>
        <w:rPr>
          <w:rFonts w:ascii="Times New Roman" w:hAnsi="Times New Roman" w:cs="Times New Roman"/>
          <w:i/>
          <w:sz w:val="24"/>
          <w:szCs w:val="24"/>
          <w:lang w:val="en-US"/>
        </w:rPr>
        <w:t xml:space="preserve">a quo </w:t>
      </w:r>
      <w:r>
        <w:rPr>
          <w:rFonts w:ascii="Times New Roman" w:hAnsi="Times New Roman" w:cs="Times New Roman"/>
          <w:sz w:val="24"/>
          <w:szCs w:val="24"/>
          <w:lang w:val="en-US"/>
        </w:rPr>
        <w:t>are set aside and substituted with the following:</w:t>
      </w:r>
    </w:p>
    <w:p w14:paraId="3F347291" w14:textId="77777777" w:rsidR="0036622D" w:rsidRDefault="0036622D" w:rsidP="001F448F">
      <w:pPr>
        <w:pStyle w:val="ListParagraph"/>
        <w:spacing w:after="0" w:line="240" w:lineRule="auto"/>
        <w:ind w:left="1710" w:hanging="270"/>
        <w:jc w:val="both"/>
        <w:rPr>
          <w:rFonts w:ascii="Times New Roman" w:hAnsi="Times New Roman" w:cs="Times New Roman"/>
          <w:sz w:val="24"/>
          <w:szCs w:val="24"/>
          <w:lang w:val="en-US"/>
        </w:rPr>
      </w:pPr>
    </w:p>
    <w:p w14:paraId="38EEE93E" w14:textId="33D8537F" w:rsidR="00800EF4" w:rsidRDefault="00EF4D1E" w:rsidP="008E1399">
      <w:pPr>
        <w:pStyle w:val="ListParagraph"/>
        <w:spacing w:after="0" w:line="240" w:lineRule="auto"/>
        <w:ind w:left="1710" w:hanging="292"/>
        <w:jc w:val="both"/>
        <w:rPr>
          <w:rFonts w:ascii="Times New Roman" w:hAnsi="Times New Roman" w:cs="Times New Roman"/>
          <w:sz w:val="24"/>
          <w:szCs w:val="24"/>
          <w:lang w:val="en-US"/>
        </w:rPr>
      </w:pPr>
      <w:r>
        <w:rPr>
          <w:rFonts w:ascii="Times New Roman" w:hAnsi="Times New Roman" w:cs="Times New Roman"/>
          <w:sz w:val="24"/>
          <w:szCs w:val="24"/>
          <w:lang w:val="en-US"/>
        </w:rPr>
        <w:t>‘5 Each part is awarded</w:t>
      </w:r>
      <w:r w:rsidR="00FD4A10">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fifty percent share of the values of the Remaining Extent of Lot 4 of </w:t>
      </w:r>
      <w:proofErr w:type="spellStart"/>
      <w:r>
        <w:rPr>
          <w:rFonts w:ascii="Times New Roman" w:hAnsi="Times New Roman" w:cs="Times New Roman"/>
          <w:sz w:val="24"/>
          <w:szCs w:val="24"/>
          <w:lang w:val="en-US"/>
        </w:rPr>
        <w:t>Chimwemwe</w:t>
      </w:r>
      <w:proofErr w:type="spellEnd"/>
      <w:r>
        <w:rPr>
          <w:rFonts w:ascii="Times New Roman" w:hAnsi="Times New Roman" w:cs="Times New Roman"/>
          <w:sz w:val="24"/>
          <w:szCs w:val="24"/>
          <w:lang w:val="en-US"/>
        </w:rPr>
        <w:t xml:space="preserve"> of Subdivision A of Kingsmead Extension of Borrowdale Estate measuring 2212 square </w:t>
      </w:r>
      <w:proofErr w:type="spellStart"/>
      <w:r>
        <w:rPr>
          <w:rFonts w:ascii="Times New Roman" w:hAnsi="Times New Roman" w:cs="Times New Roman"/>
          <w:sz w:val="24"/>
          <w:szCs w:val="24"/>
          <w:lang w:val="en-US"/>
        </w:rPr>
        <w:t>metres</w:t>
      </w:r>
      <w:proofErr w:type="spellEnd"/>
      <w:r>
        <w:rPr>
          <w:rFonts w:ascii="Times New Roman" w:hAnsi="Times New Roman" w:cs="Times New Roman"/>
          <w:sz w:val="24"/>
          <w:szCs w:val="24"/>
          <w:lang w:val="en-US"/>
        </w:rPr>
        <w:t xml:space="preserve"> and Stand 916 Borrowdale Township of Lot 4 of </w:t>
      </w:r>
      <w:proofErr w:type="spellStart"/>
      <w:r>
        <w:rPr>
          <w:rFonts w:ascii="Times New Roman" w:hAnsi="Times New Roman" w:cs="Times New Roman"/>
          <w:sz w:val="24"/>
          <w:szCs w:val="24"/>
          <w:lang w:val="en-US"/>
        </w:rPr>
        <w:t>Chimwemwe</w:t>
      </w:r>
      <w:proofErr w:type="spellEnd"/>
      <w:r w:rsidR="009962B9">
        <w:rPr>
          <w:rFonts w:ascii="Times New Roman" w:hAnsi="Times New Roman" w:cs="Times New Roman"/>
          <w:sz w:val="24"/>
          <w:szCs w:val="24"/>
          <w:lang w:val="en-US"/>
        </w:rPr>
        <w:t xml:space="preserve"> of Subdivision A of Kingsmead Extension of Borrowdale Estate measuring 2 000 square </w:t>
      </w:r>
      <w:proofErr w:type="spellStart"/>
      <w:r w:rsidR="009962B9">
        <w:rPr>
          <w:rFonts w:ascii="Times New Roman" w:hAnsi="Times New Roman" w:cs="Times New Roman"/>
          <w:sz w:val="24"/>
          <w:szCs w:val="24"/>
          <w:lang w:val="en-US"/>
        </w:rPr>
        <w:t>metres</w:t>
      </w:r>
      <w:proofErr w:type="spellEnd"/>
      <w:r w:rsidR="009962B9">
        <w:rPr>
          <w:rFonts w:ascii="Times New Roman" w:hAnsi="Times New Roman" w:cs="Times New Roman"/>
          <w:sz w:val="24"/>
          <w:szCs w:val="24"/>
          <w:lang w:val="en-US"/>
        </w:rPr>
        <w:t>.</w:t>
      </w:r>
      <w:r w:rsidR="00800EF4" w:rsidRPr="00EF4D1E">
        <w:rPr>
          <w:rFonts w:ascii="Times New Roman" w:hAnsi="Times New Roman" w:cs="Times New Roman"/>
          <w:sz w:val="24"/>
          <w:szCs w:val="24"/>
          <w:lang w:val="en-US"/>
        </w:rPr>
        <w:t xml:space="preserve"> </w:t>
      </w:r>
    </w:p>
    <w:p w14:paraId="4076C94A" w14:textId="77777777" w:rsidR="001F448F" w:rsidRDefault="001F448F" w:rsidP="009962B9">
      <w:pPr>
        <w:pStyle w:val="ListParagraph"/>
        <w:spacing w:after="0" w:line="240" w:lineRule="auto"/>
        <w:ind w:left="1440"/>
        <w:jc w:val="both"/>
        <w:rPr>
          <w:rFonts w:ascii="Times New Roman" w:hAnsi="Times New Roman" w:cs="Times New Roman"/>
          <w:sz w:val="24"/>
          <w:szCs w:val="24"/>
          <w:lang w:val="en-US"/>
        </w:rPr>
      </w:pPr>
    </w:p>
    <w:p w14:paraId="2814E697" w14:textId="129A4724" w:rsidR="001F448F" w:rsidRPr="00EF4C7A" w:rsidRDefault="001F448F" w:rsidP="005908C2">
      <w:pPr>
        <w:spacing w:after="0" w:line="240" w:lineRule="auto"/>
        <w:ind w:left="1890" w:hanging="450"/>
        <w:jc w:val="both"/>
        <w:rPr>
          <w:rFonts w:ascii="Times New Roman" w:hAnsi="Times New Roman" w:cs="Times New Roman"/>
          <w:sz w:val="24"/>
          <w:szCs w:val="24"/>
          <w:lang w:val="en-US"/>
        </w:rPr>
      </w:pPr>
      <w:r w:rsidRPr="00EF4C7A">
        <w:rPr>
          <w:rFonts w:ascii="Times New Roman" w:hAnsi="Times New Roman" w:cs="Times New Roman"/>
          <w:sz w:val="24"/>
          <w:szCs w:val="24"/>
          <w:lang w:val="en-US"/>
        </w:rPr>
        <w:t>6.1. The properties referred to in paragraph</w:t>
      </w:r>
      <w:r w:rsidR="00211AA9">
        <w:rPr>
          <w:rFonts w:ascii="Times New Roman" w:hAnsi="Times New Roman" w:cs="Times New Roman"/>
          <w:sz w:val="24"/>
          <w:szCs w:val="24"/>
          <w:lang w:val="en-US"/>
        </w:rPr>
        <w:t xml:space="preserve"> 5 above shall be valued by an Estate Agent appointed by the Registrar of the High Court within fourteen days of this order.</w:t>
      </w:r>
    </w:p>
    <w:p w14:paraId="44DEE601" w14:textId="77777777" w:rsidR="00C2077B" w:rsidRDefault="00C2077B" w:rsidP="001F448F">
      <w:pPr>
        <w:pStyle w:val="ListParagraph"/>
        <w:spacing w:after="0" w:line="240" w:lineRule="auto"/>
        <w:ind w:left="2520" w:hanging="360"/>
        <w:jc w:val="both"/>
        <w:rPr>
          <w:rFonts w:ascii="Times New Roman" w:hAnsi="Times New Roman" w:cs="Times New Roman"/>
          <w:sz w:val="24"/>
          <w:szCs w:val="24"/>
          <w:lang w:val="en-US"/>
        </w:rPr>
      </w:pPr>
    </w:p>
    <w:p w14:paraId="362A8237" w14:textId="77777777" w:rsidR="001F448F" w:rsidRPr="00EF4C7A" w:rsidRDefault="001F448F" w:rsidP="005908C2">
      <w:pPr>
        <w:spacing w:after="0" w:line="240" w:lineRule="auto"/>
        <w:ind w:left="1890" w:hanging="450"/>
        <w:jc w:val="both"/>
        <w:rPr>
          <w:rFonts w:ascii="Times New Roman" w:hAnsi="Times New Roman" w:cs="Times New Roman"/>
          <w:sz w:val="24"/>
          <w:szCs w:val="24"/>
          <w:lang w:val="en-US"/>
        </w:rPr>
      </w:pPr>
      <w:r w:rsidRPr="00EF4C7A">
        <w:rPr>
          <w:rFonts w:ascii="Times New Roman" w:hAnsi="Times New Roman" w:cs="Times New Roman"/>
          <w:sz w:val="24"/>
          <w:szCs w:val="24"/>
          <w:lang w:val="en-US"/>
        </w:rPr>
        <w:t>6.2. The Estate Agent so appointed shall value the properties within a further period of two months from the date of appointment.</w:t>
      </w:r>
    </w:p>
    <w:p w14:paraId="17D24742" w14:textId="77777777" w:rsidR="004C150E" w:rsidRDefault="004C150E" w:rsidP="00C2077B">
      <w:pPr>
        <w:pStyle w:val="ListParagraph"/>
        <w:spacing w:after="0" w:line="240" w:lineRule="auto"/>
        <w:ind w:left="2610" w:hanging="450"/>
        <w:jc w:val="both"/>
        <w:rPr>
          <w:rFonts w:ascii="Times New Roman" w:hAnsi="Times New Roman" w:cs="Times New Roman"/>
          <w:sz w:val="24"/>
          <w:szCs w:val="24"/>
          <w:lang w:val="en-US"/>
        </w:rPr>
      </w:pPr>
    </w:p>
    <w:p w14:paraId="79046931" w14:textId="21CA07D6" w:rsidR="001F448F" w:rsidRDefault="001F448F" w:rsidP="009962B9">
      <w:pPr>
        <w:pStyle w:val="ListParagraph"/>
        <w:spacing w:after="0" w:line="24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6.3. The costs of valuation shall be shared equally between the parties.</w:t>
      </w:r>
    </w:p>
    <w:p w14:paraId="3944822D" w14:textId="77777777" w:rsidR="004C150E" w:rsidRDefault="004C150E" w:rsidP="009962B9">
      <w:pPr>
        <w:pStyle w:val="ListParagraph"/>
        <w:spacing w:after="0" w:line="240" w:lineRule="auto"/>
        <w:ind w:left="1440"/>
        <w:jc w:val="both"/>
        <w:rPr>
          <w:rFonts w:ascii="Times New Roman" w:hAnsi="Times New Roman" w:cs="Times New Roman"/>
          <w:sz w:val="24"/>
          <w:szCs w:val="24"/>
          <w:lang w:val="en-US"/>
        </w:rPr>
      </w:pPr>
    </w:p>
    <w:p w14:paraId="1442B81D" w14:textId="77777777" w:rsidR="001F448F" w:rsidRPr="00EF4C7A" w:rsidRDefault="001F448F" w:rsidP="005908C2">
      <w:pPr>
        <w:spacing w:after="0" w:line="240" w:lineRule="auto"/>
        <w:ind w:left="1890" w:hanging="450"/>
        <w:jc w:val="both"/>
        <w:rPr>
          <w:rFonts w:ascii="Times New Roman" w:hAnsi="Times New Roman" w:cs="Times New Roman"/>
          <w:sz w:val="24"/>
          <w:szCs w:val="24"/>
          <w:lang w:val="en-US"/>
        </w:rPr>
      </w:pPr>
      <w:r w:rsidRPr="00EF4C7A">
        <w:rPr>
          <w:rFonts w:ascii="Times New Roman" w:hAnsi="Times New Roman" w:cs="Times New Roman"/>
          <w:sz w:val="24"/>
          <w:szCs w:val="24"/>
          <w:lang w:val="en-US"/>
        </w:rPr>
        <w:t xml:space="preserve">6.4. </w:t>
      </w:r>
      <w:r w:rsidR="000A3314" w:rsidRPr="00EF4C7A">
        <w:rPr>
          <w:rFonts w:ascii="Times New Roman" w:hAnsi="Times New Roman" w:cs="Times New Roman"/>
          <w:sz w:val="24"/>
          <w:szCs w:val="24"/>
          <w:lang w:val="en-US"/>
        </w:rPr>
        <w:t>The</w:t>
      </w:r>
      <w:r w:rsidRPr="00EF4C7A">
        <w:rPr>
          <w:rFonts w:ascii="Times New Roman" w:hAnsi="Times New Roman" w:cs="Times New Roman"/>
          <w:sz w:val="24"/>
          <w:szCs w:val="24"/>
          <w:lang w:val="en-US"/>
        </w:rPr>
        <w:t xml:space="preserve"> plaintiff is granted twelve months from the date the valuation report is availed to her to buy out the defendant’s fifty percent share of the value of the properties.</w:t>
      </w:r>
    </w:p>
    <w:p w14:paraId="5E9DFA1D" w14:textId="77777777" w:rsidR="004C150E" w:rsidRDefault="004C150E" w:rsidP="00C2077B">
      <w:pPr>
        <w:pStyle w:val="ListParagraph"/>
        <w:spacing w:after="0" w:line="240" w:lineRule="auto"/>
        <w:ind w:left="2610" w:hanging="450"/>
        <w:jc w:val="both"/>
        <w:rPr>
          <w:rFonts w:ascii="Times New Roman" w:hAnsi="Times New Roman" w:cs="Times New Roman"/>
          <w:sz w:val="24"/>
          <w:szCs w:val="24"/>
          <w:lang w:val="en-US"/>
        </w:rPr>
      </w:pPr>
    </w:p>
    <w:p w14:paraId="6D91129C" w14:textId="77777777" w:rsidR="001F448F" w:rsidRPr="00EF4C7A" w:rsidRDefault="001F448F" w:rsidP="005908C2">
      <w:pPr>
        <w:spacing w:after="0" w:line="240" w:lineRule="auto"/>
        <w:ind w:left="1890" w:hanging="450"/>
        <w:jc w:val="both"/>
        <w:rPr>
          <w:rFonts w:ascii="Times New Roman" w:hAnsi="Times New Roman" w:cs="Times New Roman"/>
          <w:sz w:val="24"/>
          <w:szCs w:val="24"/>
          <w:lang w:val="en-US"/>
        </w:rPr>
      </w:pPr>
      <w:r w:rsidRPr="00EF4C7A">
        <w:rPr>
          <w:rFonts w:ascii="Times New Roman" w:hAnsi="Times New Roman" w:cs="Times New Roman"/>
          <w:sz w:val="24"/>
          <w:szCs w:val="24"/>
          <w:lang w:val="en-US"/>
        </w:rPr>
        <w:t>6.5. In the event of the plaintiff’s failure to exercise the option granted to her in paragraph 6.4 above, the defendant is granted an option to buy out the plaintiff’s fifty</w:t>
      </w:r>
      <w:r w:rsidR="000A3314" w:rsidRPr="00EF4C7A">
        <w:rPr>
          <w:rFonts w:ascii="Times New Roman" w:hAnsi="Times New Roman" w:cs="Times New Roman"/>
          <w:sz w:val="24"/>
          <w:szCs w:val="24"/>
          <w:lang w:val="en-US"/>
        </w:rPr>
        <w:t xml:space="preserve"> percent share of the value of the properties within a further period of six months.</w:t>
      </w:r>
    </w:p>
    <w:p w14:paraId="7183CFF9" w14:textId="77777777" w:rsidR="004C150E" w:rsidRDefault="004C150E" w:rsidP="00C2077B">
      <w:pPr>
        <w:pStyle w:val="ListParagraph"/>
        <w:spacing w:after="0" w:line="240" w:lineRule="auto"/>
        <w:ind w:left="2610" w:hanging="450"/>
        <w:jc w:val="both"/>
        <w:rPr>
          <w:rFonts w:ascii="Times New Roman" w:hAnsi="Times New Roman" w:cs="Times New Roman"/>
          <w:sz w:val="24"/>
          <w:szCs w:val="24"/>
          <w:lang w:val="en-US"/>
        </w:rPr>
      </w:pPr>
    </w:p>
    <w:p w14:paraId="68CE7379" w14:textId="0E0C4386" w:rsidR="000A3314" w:rsidRPr="00EF4C7A" w:rsidRDefault="00BC5619" w:rsidP="00BC5619">
      <w:pPr>
        <w:spacing w:after="0" w:line="240" w:lineRule="auto"/>
        <w:ind w:left="1843" w:hanging="40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6.6. </w:t>
      </w:r>
      <w:r w:rsidR="000A3314" w:rsidRPr="00EF4C7A">
        <w:rPr>
          <w:rFonts w:ascii="Times New Roman" w:hAnsi="Times New Roman" w:cs="Times New Roman"/>
          <w:sz w:val="24"/>
          <w:szCs w:val="24"/>
          <w:lang w:val="en-US"/>
        </w:rPr>
        <w:t>Should both parties fail to exercise the option</w:t>
      </w:r>
      <w:r w:rsidR="00B7684D">
        <w:rPr>
          <w:rFonts w:ascii="Times New Roman" w:hAnsi="Times New Roman" w:cs="Times New Roman"/>
          <w:sz w:val="24"/>
          <w:szCs w:val="24"/>
          <w:lang w:val="en-US"/>
        </w:rPr>
        <w:t>s</w:t>
      </w:r>
      <w:r w:rsidR="000A3314" w:rsidRPr="00EF4C7A">
        <w:rPr>
          <w:rFonts w:ascii="Times New Roman" w:hAnsi="Times New Roman" w:cs="Times New Roman"/>
          <w:sz w:val="24"/>
          <w:szCs w:val="24"/>
          <w:lang w:val="en-US"/>
        </w:rPr>
        <w:t xml:space="preserve"> granted in paragraphs 6.4 and 6.5 above respectively, then the two properties shall be sold to best value by an Estate Agent appointed by the Registrar of the High Court and the proceeds shared equally between the parties after deducting the costs of sale.</w:t>
      </w:r>
      <w:r w:rsidR="003225EA" w:rsidRPr="00EF4C7A">
        <w:rPr>
          <w:rFonts w:ascii="Times New Roman" w:hAnsi="Times New Roman" w:cs="Times New Roman"/>
          <w:sz w:val="24"/>
          <w:szCs w:val="24"/>
          <w:lang w:val="en-US"/>
        </w:rPr>
        <w:t>’”</w:t>
      </w:r>
      <w:r w:rsidR="000A3314" w:rsidRPr="00EF4C7A">
        <w:rPr>
          <w:rFonts w:ascii="Times New Roman" w:hAnsi="Times New Roman" w:cs="Times New Roman"/>
          <w:sz w:val="24"/>
          <w:szCs w:val="24"/>
          <w:lang w:val="en-US"/>
        </w:rPr>
        <w:t xml:space="preserve"> </w:t>
      </w:r>
    </w:p>
    <w:p w14:paraId="5330D813" w14:textId="77777777" w:rsidR="005174DD" w:rsidRPr="00D23442" w:rsidRDefault="005174DD" w:rsidP="00A13B5E">
      <w:pPr>
        <w:spacing w:after="0" w:line="240" w:lineRule="auto"/>
        <w:jc w:val="both"/>
        <w:rPr>
          <w:rFonts w:ascii="Times New Roman" w:hAnsi="Times New Roman" w:cs="Times New Roman"/>
          <w:b/>
          <w:sz w:val="24"/>
          <w:szCs w:val="24"/>
          <w:lang w:val="en-US"/>
        </w:rPr>
      </w:pPr>
    </w:p>
    <w:p w14:paraId="13DE390E" w14:textId="77777777" w:rsidR="00732F7E" w:rsidRDefault="00732F7E" w:rsidP="00BC5619">
      <w:pPr>
        <w:pStyle w:val="ListParagraph"/>
        <w:spacing w:after="0"/>
        <w:jc w:val="both"/>
        <w:rPr>
          <w:sz w:val="28"/>
          <w:szCs w:val="28"/>
        </w:rPr>
      </w:pPr>
    </w:p>
    <w:p w14:paraId="551D632B" w14:textId="63400731" w:rsidR="00083CCC" w:rsidRDefault="00142281" w:rsidP="002B0D6E">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court stated that the reasons for granting the above order would follow in due course.  While the court takes the view that cases of division of matrimonial assets at divorce are not ideal for judicial docketing</w:t>
      </w:r>
      <w:r w:rsidR="007768B5">
        <w:rPr>
          <w:rFonts w:ascii="Times New Roman" w:hAnsi="Times New Roman" w:cs="Times New Roman"/>
          <w:sz w:val="24"/>
          <w:szCs w:val="24"/>
        </w:rPr>
        <w:t xml:space="preserve"> because, in</w:t>
      </w:r>
      <w:r w:rsidR="00BC5619">
        <w:rPr>
          <w:rFonts w:ascii="Times New Roman" w:hAnsi="Times New Roman" w:cs="Times New Roman"/>
          <w:sz w:val="24"/>
          <w:szCs w:val="24"/>
        </w:rPr>
        <w:t xml:space="preserve">variably it is the parties who </w:t>
      </w:r>
      <w:r w:rsidR="007768B5">
        <w:rPr>
          <w:rFonts w:ascii="Times New Roman" w:hAnsi="Times New Roman" w:cs="Times New Roman"/>
          <w:sz w:val="24"/>
          <w:szCs w:val="24"/>
        </w:rPr>
        <w:t>know the assets better,</w:t>
      </w:r>
      <w:r>
        <w:rPr>
          <w:rFonts w:ascii="Times New Roman" w:hAnsi="Times New Roman" w:cs="Times New Roman"/>
          <w:sz w:val="24"/>
          <w:szCs w:val="24"/>
        </w:rPr>
        <w:t xml:space="preserve"> and</w:t>
      </w:r>
      <w:r w:rsidR="007768B5">
        <w:rPr>
          <w:rFonts w:ascii="Times New Roman" w:hAnsi="Times New Roman" w:cs="Times New Roman"/>
          <w:sz w:val="24"/>
          <w:szCs w:val="24"/>
        </w:rPr>
        <w:t xml:space="preserve"> should be</w:t>
      </w:r>
      <w:r>
        <w:rPr>
          <w:rFonts w:ascii="Times New Roman" w:hAnsi="Times New Roman" w:cs="Times New Roman"/>
          <w:sz w:val="24"/>
          <w:szCs w:val="24"/>
        </w:rPr>
        <w:t xml:space="preserve"> encourage</w:t>
      </w:r>
      <w:r w:rsidR="007768B5">
        <w:rPr>
          <w:rFonts w:ascii="Times New Roman" w:hAnsi="Times New Roman" w:cs="Times New Roman"/>
          <w:sz w:val="24"/>
          <w:szCs w:val="24"/>
        </w:rPr>
        <w:t>d</w:t>
      </w:r>
      <w:r>
        <w:rPr>
          <w:rFonts w:ascii="Times New Roman" w:hAnsi="Times New Roman" w:cs="Times New Roman"/>
          <w:sz w:val="24"/>
          <w:szCs w:val="24"/>
        </w:rPr>
        <w:t xml:space="preserve"> to try by all means to find each other on the sharing of their assets,</w:t>
      </w:r>
      <w:r w:rsidR="00083CCC">
        <w:rPr>
          <w:rFonts w:ascii="Times New Roman" w:hAnsi="Times New Roman" w:cs="Times New Roman"/>
          <w:sz w:val="24"/>
          <w:szCs w:val="24"/>
        </w:rPr>
        <w:t xml:space="preserve"> the following are the reasons for judgment.</w:t>
      </w:r>
    </w:p>
    <w:p w14:paraId="28A1FA58" w14:textId="77777777" w:rsidR="00BC5619" w:rsidRDefault="00BC5619" w:rsidP="00142281">
      <w:pPr>
        <w:spacing w:after="0" w:line="480" w:lineRule="auto"/>
        <w:jc w:val="both"/>
        <w:rPr>
          <w:rFonts w:ascii="Times New Roman" w:hAnsi="Times New Roman" w:cs="Times New Roman"/>
          <w:sz w:val="24"/>
          <w:szCs w:val="24"/>
        </w:rPr>
      </w:pPr>
    </w:p>
    <w:p w14:paraId="6372580A" w14:textId="6CCD9A88" w:rsidR="00083CCC" w:rsidRDefault="00083CCC"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Fortunately</w:t>
      </w:r>
      <w:r w:rsidR="00C3221F">
        <w:rPr>
          <w:rFonts w:ascii="Times New Roman" w:hAnsi="Times New Roman" w:cs="Times New Roman"/>
          <w:sz w:val="24"/>
          <w:szCs w:val="24"/>
        </w:rPr>
        <w:t>,</w:t>
      </w:r>
      <w:r>
        <w:rPr>
          <w:rFonts w:ascii="Times New Roman" w:hAnsi="Times New Roman" w:cs="Times New Roman"/>
          <w:sz w:val="24"/>
          <w:szCs w:val="24"/>
        </w:rPr>
        <w:t xml:space="preserve"> the distributi</w:t>
      </w:r>
      <w:r w:rsidR="008552F8">
        <w:rPr>
          <w:rFonts w:ascii="Times New Roman" w:hAnsi="Times New Roman" w:cs="Times New Roman"/>
          <w:sz w:val="24"/>
          <w:szCs w:val="24"/>
        </w:rPr>
        <w:t>on</w:t>
      </w:r>
      <w:r>
        <w:rPr>
          <w:rFonts w:ascii="Times New Roman" w:hAnsi="Times New Roman" w:cs="Times New Roman"/>
          <w:sz w:val="24"/>
          <w:szCs w:val="24"/>
        </w:rPr>
        <w:t xml:space="preserve"> was achieved through significant concessions made by the parties</w:t>
      </w:r>
      <w:r w:rsidR="00C3221F">
        <w:rPr>
          <w:rFonts w:ascii="Times New Roman" w:hAnsi="Times New Roman" w:cs="Times New Roman"/>
          <w:sz w:val="24"/>
          <w:szCs w:val="24"/>
        </w:rPr>
        <w:t>,</w:t>
      </w:r>
      <w:r>
        <w:rPr>
          <w:rFonts w:ascii="Times New Roman" w:hAnsi="Times New Roman" w:cs="Times New Roman"/>
          <w:sz w:val="24"/>
          <w:szCs w:val="24"/>
        </w:rPr>
        <w:t xml:space="preserve"> ably assisted by their legal representatives</w:t>
      </w:r>
      <w:r w:rsidR="00725229">
        <w:rPr>
          <w:rFonts w:ascii="Times New Roman" w:hAnsi="Times New Roman" w:cs="Times New Roman"/>
          <w:sz w:val="24"/>
          <w:szCs w:val="24"/>
        </w:rPr>
        <w:t xml:space="preserve"> during robust engagement with the court.  I must commend counsel for their efforts in that regard.</w:t>
      </w:r>
    </w:p>
    <w:p w14:paraId="34A8554B" w14:textId="77777777" w:rsidR="0053056C" w:rsidRDefault="0053056C" w:rsidP="00142281">
      <w:pPr>
        <w:spacing w:after="0" w:line="480" w:lineRule="auto"/>
        <w:jc w:val="both"/>
        <w:rPr>
          <w:rFonts w:ascii="Times New Roman" w:hAnsi="Times New Roman" w:cs="Times New Roman"/>
          <w:sz w:val="24"/>
          <w:szCs w:val="24"/>
        </w:rPr>
      </w:pPr>
    </w:p>
    <w:p w14:paraId="38DCFA09" w14:textId="77777777" w:rsidR="0053056C" w:rsidRPr="0053056C" w:rsidRDefault="0053056C" w:rsidP="00142281">
      <w:pPr>
        <w:spacing w:after="0" w:line="480" w:lineRule="auto"/>
        <w:jc w:val="both"/>
        <w:rPr>
          <w:rFonts w:ascii="Times New Roman" w:hAnsi="Times New Roman" w:cs="Times New Roman"/>
          <w:b/>
          <w:sz w:val="24"/>
          <w:szCs w:val="24"/>
          <w:u w:val="single"/>
        </w:rPr>
      </w:pPr>
      <w:r w:rsidRPr="0053056C">
        <w:rPr>
          <w:rFonts w:ascii="Times New Roman" w:hAnsi="Times New Roman" w:cs="Times New Roman"/>
          <w:b/>
          <w:sz w:val="24"/>
          <w:szCs w:val="24"/>
          <w:u w:val="single"/>
        </w:rPr>
        <w:t>THE FACTS</w:t>
      </w:r>
    </w:p>
    <w:p w14:paraId="1070F24E" w14:textId="5660E4F5" w:rsidR="007706DF" w:rsidRDefault="0053056C"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At the ages of 25 and 26 respectively, the appellant and the respondent got married to each other a</w:t>
      </w:r>
      <w:r w:rsidR="007E0DBC">
        <w:rPr>
          <w:rFonts w:ascii="Times New Roman" w:hAnsi="Times New Roman" w:cs="Times New Roman"/>
          <w:sz w:val="24"/>
          <w:szCs w:val="24"/>
        </w:rPr>
        <w:t xml:space="preserve">t Harare on 27 September 1997.  </w:t>
      </w:r>
      <w:r>
        <w:rPr>
          <w:rFonts w:ascii="Times New Roman" w:hAnsi="Times New Roman" w:cs="Times New Roman"/>
          <w:sz w:val="24"/>
          <w:szCs w:val="24"/>
        </w:rPr>
        <w:t>They were both professionals employed in the banking sector and remained engaged in income generating activities one way or the other throughout their married lives.</w:t>
      </w:r>
    </w:p>
    <w:p w14:paraId="580C554E" w14:textId="77777777" w:rsidR="00116096" w:rsidRDefault="00116096" w:rsidP="0053056C">
      <w:pPr>
        <w:spacing w:after="0" w:line="480" w:lineRule="auto"/>
        <w:jc w:val="both"/>
        <w:rPr>
          <w:rFonts w:ascii="Times New Roman" w:hAnsi="Times New Roman" w:cs="Times New Roman"/>
          <w:sz w:val="24"/>
          <w:szCs w:val="24"/>
        </w:rPr>
      </w:pPr>
    </w:p>
    <w:p w14:paraId="6C31694D" w14:textId="174929D9" w:rsidR="00116096" w:rsidRDefault="00116096"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Their marriage was blessed with two children, a boy</w:t>
      </w:r>
      <w:r w:rsidR="00946087">
        <w:rPr>
          <w:rFonts w:ascii="Times New Roman" w:hAnsi="Times New Roman" w:cs="Times New Roman"/>
          <w:sz w:val="24"/>
          <w:szCs w:val="24"/>
        </w:rPr>
        <w:t>, born on 28 February 2002</w:t>
      </w:r>
      <w:r>
        <w:rPr>
          <w:rFonts w:ascii="Times New Roman" w:hAnsi="Times New Roman" w:cs="Times New Roman"/>
          <w:sz w:val="24"/>
          <w:szCs w:val="24"/>
        </w:rPr>
        <w:t xml:space="preserve"> and a girl, born on 28 February 2004.  By the time their marriage hit turbulence both children had attained majority status.  The boy was doing university studies </w:t>
      </w:r>
      <w:r w:rsidR="006D624A">
        <w:rPr>
          <w:rFonts w:ascii="Times New Roman" w:hAnsi="Times New Roman" w:cs="Times New Roman"/>
          <w:sz w:val="24"/>
          <w:szCs w:val="24"/>
        </w:rPr>
        <w:t>in</w:t>
      </w:r>
      <w:r>
        <w:rPr>
          <w:rFonts w:ascii="Times New Roman" w:hAnsi="Times New Roman" w:cs="Times New Roman"/>
          <w:sz w:val="24"/>
          <w:szCs w:val="24"/>
        </w:rPr>
        <w:t xml:space="preserve"> German</w:t>
      </w:r>
      <w:r w:rsidR="006D624A">
        <w:rPr>
          <w:rFonts w:ascii="Times New Roman" w:hAnsi="Times New Roman" w:cs="Times New Roman"/>
          <w:sz w:val="24"/>
          <w:szCs w:val="24"/>
        </w:rPr>
        <w:t>y</w:t>
      </w:r>
      <w:r>
        <w:rPr>
          <w:rFonts w:ascii="Times New Roman" w:hAnsi="Times New Roman" w:cs="Times New Roman"/>
          <w:sz w:val="24"/>
          <w:szCs w:val="24"/>
        </w:rPr>
        <w:t xml:space="preserve"> while the girl had just completed “A” level studies and</w:t>
      </w:r>
      <w:r w:rsidR="00923A53">
        <w:rPr>
          <w:rFonts w:ascii="Times New Roman" w:hAnsi="Times New Roman" w:cs="Times New Roman"/>
          <w:sz w:val="24"/>
          <w:szCs w:val="24"/>
        </w:rPr>
        <w:t xml:space="preserve"> was</w:t>
      </w:r>
      <w:r>
        <w:rPr>
          <w:rFonts w:ascii="Times New Roman" w:hAnsi="Times New Roman" w:cs="Times New Roman"/>
          <w:sz w:val="24"/>
          <w:szCs w:val="24"/>
        </w:rPr>
        <w:t xml:space="preserve"> await</w:t>
      </w:r>
      <w:r w:rsidR="00923A53">
        <w:rPr>
          <w:rFonts w:ascii="Times New Roman" w:hAnsi="Times New Roman" w:cs="Times New Roman"/>
          <w:sz w:val="24"/>
          <w:szCs w:val="24"/>
        </w:rPr>
        <w:t>ing</w:t>
      </w:r>
      <w:r>
        <w:rPr>
          <w:rFonts w:ascii="Times New Roman" w:hAnsi="Times New Roman" w:cs="Times New Roman"/>
          <w:sz w:val="24"/>
          <w:szCs w:val="24"/>
        </w:rPr>
        <w:t xml:space="preserve"> enrolment at a </w:t>
      </w:r>
      <w:r w:rsidR="006D624A">
        <w:rPr>
          <w:rFonts w:ascii="Times New Roman" w:hAnsi="Times New Roman" w:cs="Times New Roman"/>
          <w:sz w:val="24"/>
          <w:szCs w:val="24"/>
        </w:rPr>
        <w:t>u</w:t>
      </w:r>
      <w:r>
        <w:rPr>
          <w:rFonts w:ascii="Times New Roman" w:hAnsi="Times New Roman" w:cs="Times New Roman"/>
          <w:sz w:val="24"/>
          <w:szCs w:val="24"/>
        </w:rPr>
        <w:t>niversity as well.</w:t>
      </w:r>
    </w:p>
    <w:p w14:paraId="3EA19241" w14:textId="77777777" w:rsidR="00EE7CD5" w:rsidRDefault="00EE7CD5" w:rsidP="0053056C">
      <w:pPr>
        <w:spacing w:after="0" w:line="480" w:lineRule="auto"/>
        <w:jc w:val="both"/>
        <w:rPr>
          <w:rFonts w:ascii="Times New Roman" w:hAnsi="Times New Roman" w:cs="Times New Roman"/>
          <w:sz w:val="24"/>
          <w:szCs w:val="24"/>
        </w:rPr>
      </w:pPr>
    </w:p>
    <w:p w14:paraId="57749503" w14:textId="7544B2EC" w:rsidR="00EE7CD5" w:rsidRDefault="00EE7CD5"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Trouble started when they started quarrelling and fighting until the respondent was banished from the matrimonial home in Borrowdale</w:t>
      </w:r>
      <w:r w:rsidR="00256153">
        <w:rPr>
          <w:rFonts w:ascii="Times New Roman" w:hAnsi="Times New Roman" w:cs="Times New Roman"/>
          <w:sz w:val="24"/>
          <w:szCs w:val="24"/>
        </w:rPr>
        <w:t>,</w:t>
      </w:r>
      <w:r>
        <w:rPr>
          <w:rFonts w:ascii="Times New Roman" w:hAnsi="Times New Roman" w:cs="Times New Roman"/>
          <w:sz w:val="24"/>
          <w:szCs w:val="24"/>
        </w:rPr>
        <w:t xml:space="preserve"> Harare.</w:t>
      </w:r>
      <w:r w:rsidR="00526790">
        <w:rPr>
          <w:rFonts w:ascii="Times New Roman" w:hAnsi="Times New Roman" w:cs="Times New Roman"/>
          <w:sz w:val="24"/>
          <w:szCs w:val="24"/>
        </w:rPr>
        <w:t xml:space="preserve">  As a sequel to that</w:t>
      </w:r>
      <w:r w:rsidR="00DF0265">
        <w:rPr>
          <w:rFonts w:ascii="Times New Roman" w:hAnsi="Times New Roman" w:cs="Times New Roman"/>
          <w:sz w:val="24"/>
          <w:szCs w:val="24"/>
        </w:rPr>
        <w:t>,</w:t>
      </w:r>
      <w:r w:rsidR="00526790">
        <w:rPr>
          <w:rFonts w:ascii="Times New Roman" w:hAnsi="Times New Roman" w:cs="Times New Roman"/>
          <w:sz w:val="24"/>
          <w:szCs w:val="24"/>
        </w:rPr>
        <w:t xml:space="preserve"> divorce proceedings</w:t>
      </w:r>
      <w:r w:rsidR="00A407B1">
        <w:rPr>
          <w:rFonts w:ascii="Times New Roman" w:hAnsi="Times New Roman" w:cs="Times New Roman"/>
          <w:sz w:val="24"/>
          <w:szCs w:val="24"/>
        </w:rPr>
        <w:t xml:space="preserve"> loomed large and the sharing of assets also became necessary.</w:t>
      </w:r>
    </w:p>
    <w:p w14:paraId="2E858648" w14:textId="77777777" w:rsidR="00A407B1" w:rsidRDefault="00A407B1" w:rsidP="0053056C">
      <w:pPr>
        <w:spacing w:after="0" w:line="480" w:lineRule="auto"/>
        <w:jc w:val="both"/>
        <w:rPr>
          <w:rFonts w:ascii="Times New Roman" w:hAnsi="Times New Roman" w:cs="Times New Roman"/>
          <w:sz w:val="24"/>
          <w:szCs w:val="24"/>
        </w:rPr>
      </w:pPr>
    </w:p>
    <w:p w14:paraId="537D4B1A" w14:textId="77777777" w:rsidR="00A407B1" w:rsidRDefault="00A407B1" w:rsidP="0053056C">
      <w:pPr>
        <w:spacing w:after="0" w:line="480" w:lineRule="auto"/>
        <w:jc w:val="both"/>
        <w:rPr>
          <w:rFonts w:ascii="Times New Roman" w:hAnsi="Times New Roman" w:cs="Times New Roman"/>
          <w:b/>
          <w:i/>
          <w:sz w:val="24"/>
          <w:szCs w:val="24"/>
          <w:u w:val="single"/>
        </w:rPr>
      </w:pPr>
      <w:r w:rsidRPr="00A407B1">
        <w:rPr>
          <w:rFonts w:ascii="Times New Roman" w:hAnsi="Times New Roman" w:cs="Times New Roman"/>
          <w:b/>
          <w:sz w:val="24"/>
          <w:szCs w:val="24"/>
          <w:u w:val="single"/>
        </w:rPr>
        <w:t xml:space="preserve">PROCEEDINGS BEFORE THE COURT </w:t>
      </w:r>
      <w:r w:rsidRPr="00A407B1">
        <w:rPr>
          <w:rFonts w:ascii="Times New Roman" w:hAnsi="Times New Roman" w:cs="Times New Roman"/>
          <w:b/>
          <w:i/>
          <w:sz w:val="24"/>
          <w:szCs w:val="24"/>
          <w:u w:val="single"/>
        </w:rPr>
        <w:t>A QUO</w:t>
      </w:r>
    </w:p>
    <w:p w14:paraId="08B70136" w14:textId="78A73007" w:rsidR="00734617" w:rsidRDefault="00734617"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On 30 September 2021, when the parties were by then aged 49 and 50 years respectively</w:t>
      </w:r>
      <w:r w:rsidR="00622B87">
        <w:rPr>
          <w:rFonts w:ascii="Times New Roman" w:hAnsi="Times New Roman" w:cs="Times New Roman"/>
          <w:sz w:val="24"/>
          <w:szCs w:val="24"/>
        </w:rPr>
        <w:t>,</w:t>
      </w:r>
      <w:r>
        <w:rPr>
          <w:rFonts w:ascii="Times New Roman" w:hAnsi="Times New Roman" w:cs="Times New Roman"/>
          <w:sz w:val="24"/>
          <w:szCs w:val="24"/>
        </w:rPr>
        <w:t xml:space="preserve"> and 24 years into the marriage, the appellant filed for divorce and ancillary relief in the court </w:t>
      </w:r>
      <w:r>
        <w:rPr>
          <w:rFonts w:ascii="Times New Roman" w:hAnsi="Times New Roman" w:cs="Times New Roman"/>
          <w:i/>
          <w:sz w:val="24"/>
          <w:szCs w:val="24"/>
        </w:rPr>
        <w:t xml:space="preserve">a quo </w:t>
      </w:r>
      <w:r>
        <w:rPr>
          <w:rFonts w:ascii="Times New Roman" w:hAnsi="Times New Roman" w:cs="Times New Roman"/>
          <w:sz w:val="24"/>
          <w:szCs w:val="24"/>
        </w:rPr>
        <w:t>citing an irretrievable breakdown of marriage for a number of reasons.  The reasons she cited included allegations of physical violence of the respondent and his emotional and verbal abuse of the children of the marriage.</w:t>
      </w:r>
    </w:p>
    <w:p w14:paraId="6FB62325" w14:textId="76C2D64A" w:rsidR="00734617" w:rsidRDefault="00734617"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The appellant also sought the ancillary relief of what she perceived to be a fair division of their assets, namely a good number of motor vehicles, other movable items and the two immovable properties forming the subject of </w:t>
      </w:r>
      <w:r w:rsidR="002D3D6B">
        <w:rPr>
          <w:rFonts w:ascii="Times New Roman" w:hAnsi="Times New Roman" w:cs="Times New Roman"/>
          <w:sz w:val="24"/>
          <w:szCs w:val="24"/>
        </w:rPr>
        <w:t>the present appeal.  Giving reasons for doing so, the appellant lay a claim to both immovable properties.</w:t>
      </w:r>
    </w:p>
    <w:p w14:paraId="396F3AED" w14:textId="77777777" w:rsidR="000A146C" w:rsidRDefault="000A146C" w:rsidP="0053056C">
      <w:pPr>
        <w:spacing w:after="0" w:line="480" w:lineRule="auto"/>
        <w:jc w:val="both"/>
        <w:rPr>
          <w:rFonts w:ascii="Times New Roman" w:hAnsi="Times New Roman" w:cs="Times New Roman"/>
          <w:sz w:val="24"/>
          <w:szCs w:val="24"/>
        </w:rPr>
      </w:pPr>
    </w:p>
    <w:p w14:paraId="7B3472EE" w14:textId="6E677987" w:rsidR="002D3D6B" w:rsidRDefault="002D3D6B"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respondent would have none of it.  He contested the action</w:t>
      </w:r>
      <w:r w:rsidR="00622B87">
        <w:rPr>
          <w:rFonts w:ascii="Times New Roman" w:hAnsi="Times New Roman" w:cs="Times New Roman"/>
          <w:sz w:val="24"/>
          <w:szCs w:val="24"/>
        </w:rPr>
        <w:t xml:space="preserve"> with everything in his power.</w:t>
      </w:r>
      <w:r>
        <w:rPr>
          <w:rFonts w:ascii="Times New Roman" w:hAnsi="Times New Roman" w:cs="Times New Roman"/>
          <w:sz w:val="24"/>
          <w:szCs w:val="24"/>
        </w:rPr>
        <w:t xml:space="preserve">  While conceding the irretrievable breakdown of the marriage as a result of his own set of reasons, including allegations of physical and verbal abuse by the appellant, the respondent generally d</w:t>
      </w:r>
      <w:r w:rsidR="00AE2634">
        <w:rPr>
          <w:rFonts w:ascii="Times New Roman" w:hAnsi="Times New Roman" w:cs="Times New Roman"/>
          <w:sz w:val="24"/>
          <w:szCs w:val="24"/>
        </w:rPr>
        <w:t>id not put up a serious challenge to the division of the movable assets suggested by the appellant.  He had bigger fish to fry in the f</w:t>
      </w:r>
      <w:r w:rsidR="00622B87">
        <w:rPr>
          <w:rFonts w:ascii="Times New Roman" w:hAnsi="Times New Roman" w:cs="Times New Roman"/>
          <w:sz w:val="24"/>
          <w:szCs w:val="24"/>
        </w:rPr>
        <w:t>o</w:t>
      </w:r>
      <w:r w:rsidR="00AE2634">
        <w:rPr>
          <w:rFonts w:ascii="Times New Roman" w:hAnsi="Times New Roman" w:cs="Times New Roman"/>
          <w:sz w:val="24"/>
          <w:szCs w:val="24"/>
        </w:rPr>
        <w:t xml:space="preserve">rm of the appellant’s claim to exclusive ownership of the two immovable properties.  </w:t>
      </w:r>
    </w:p>
    <w:p w14:paraId="262A16B0" w14:textId="77777777" w:rsidR="00703284" w:rsidRDefault="00703284" w:rsidP="0053056C">
      <w:pPr>
        <w:spacing w:after="0" w:line="480" w:lineRule="auto"/>
        <w:jc w:val="both"/>
        <w:rPr>
          <w:rFonts w:ascii="Times New Roman" w:hAnsi="Times New Roman" w:cs="Times New Roman"/>
          <w:sz w:val="24"/>
          <w:szCs w:val="24"/>
        </w:rPr>
      </w:pPr>
    </w:p>
    <w:p w14:paraId="37B52C17" w14:textId="273D6ED7" w:rsidR="00703284" w:rsidRDefault="00703284"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reasons given by the appellant for seeking to be awarded both immovable properties were that they were acquired through her sol</w:t>
      </w:r>
      <w:r w:rsidR="003B1ACC">
        <w:rPr>
          <w:rFonts w:ascii="Times New Roman" w:hAnsi="Times New Roman" w:cs="Times New Roman"/>
          <w:sz w:val="24"/>
          <w:szCs w:val="24"/>
        </w:rPr>
        <w:t>e</w:t>
      </w:r>
      <w:r>
        <w:rPr>
          <w:rFonts w:ascii="Times New Roman" w:hAnsi="Times New Roman" w:cs="Times New Roman"/>
          <w:sz w:val="24"/>
          <w:szCs w:val="24"/>
        </w:rPr>
        <w:t xml:space="preserve"> financial </w:t>
      </w:r>
      <w:r w:rsidR="003B1ACC">
        <w:rPr>
          <w:rFonts w:ascii="Times New Roman" w:hAnsi="Times New Roman" w:cs="Times New Roman"/>
          <w:sz w:val="24"/>
          <w:szCs w:val="24"/>
        </w:rPr>
        <w:t>effort</w:t>
      </w:r>
      <w:r>
        <w:rPr>
          <w:rFonts w:ascii="Times New Roman" w:hAnsi="Times New Roman" w:cs="Times New Roman"/>
          <w:sz w:val="24"/>
          <w:szCs w:val="24"/>
        </w:rPr>
        <w:t xml:space="preserve"> in that she had to dispose of House No. 1524 Flame Lily Drive, Westgate Harare which belonged to herself and was registered in her name.  </w:t>
      </w:r>
      <w:r w:rsidR="00095A50">
        <w:rPr>
          <w:rFonts w:ascii="Times New Roman" w:hAnsi="Times New Roman" w:cs="Times New Roman"/>
          <w:sz w:val="24"/>
          <w:szCs w:val="24"/>
        </w:rPr>
        <w:t>She</w:t>
      </w:r>
      <w:r>
        <w:rPr>
          <w:rFonts w:ascii="Times New Roman" w:hAnsi="Times New Roman" w:cs="Times New Roman"/>
          <w:sz w:val="24"/>
          <w:szCs w:val="24"/>
        </w:rPr>
        <w:t xml:space="preserve"> invested the proceeds of the sale with Banc ABC Bank where it gathered interest. </w:t>
      </w:r>
    </w:p>
    <w:p w14:paraId="3C693324" w14:textId="77777777" w:rsidR="00095A50" w:rsidRDefault="00095A50" w:rsidP="0053056C">
      <w:pPr>
        <w:spacing w:after="0" w:line="480" w:lineRule="auto"/>
        <w:jc w:val="both"/>
        <w:rPr>
          <w:rFonts w:ascii="Times New Roman" w:hAnsi="Times New Roman" w:cs="Times New Roman"/>
          <w:sz w:val="24"/>
          <w:szCs w:val="24"/>
        </w:rPr>
      </w:pPr>
    </w:p>
    <w:p w14:paraId="2ADBBC2E" w14:textId="53960F32" w:rsidR="00095A50" w:rsidRDefault="00095A50"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According to the appellant, even though the parties acquired Lot 4 of </w:t>
      </w:r>
      <w:proofErr w:type="spellStart"/>
      <w:r>
        <w:rPr>
          <w:rFonts w:ascii="Times New Roman" w:hAnsi="Times New Roman" w:cs="Times New Roman"/>
          <w:sz w:val="24"/>
          <w:szCs w:val="24"/>
        </w:rPr>
        <w:t>Chimwemwe</w:t>
      </w:r>
      <w:proofErr w:type="spellEnd"/>
      <w:r>
        <w:rPr>
          <w:rFonts w:ascii="Times New Roman" w:hAnsi="Times New Roman" w:cs="Times New Roman"/>
          <w:sz w:val="24"/>
          <w:szCs w:val="24"/>
        </w:rPr>
        <w:t xml:space="preserve"> in 2003 using a housing loan secured by the respondent</w:t>
      </w:r>
      <w:r w:rsidR="007B5FF1">
        <w:rPr>
          <w:rFonts w:ascii="Times New Roman" w:hAnsi="Times New Roman" w:cs="Times New Roman"/>
          <w:sz w:val="24"/>
          <w:szCs w:val="24"/>
        </w:rPr>
        <w:t xml:space="preserve"> from Trust Bank where he was employed as Assistant</w:t>
      </w:r>
      <w:r w:rsidR="00FC1192">
        <w:rPr>
          <w:rFonts w:ascii="Times New Roman" w:hAnsi="Times New Roman" w:cs="Times New Roman"/>
          <w:sz w:val="24"/>
          <w:szCs w:val="24"/>
        </w:rPr>
        <w:t xml:space="preserve"> General</w:t>
      </w:r>
      <w:r w:rsidR="007B5FF1">
        <w:rPr>
          <w:rFonts w:ascii="Times New Roman" w:hAnsi="Times New Roman" w:cs="Times New Roman"/>
          <w:sz w:val="24"/>
          <w:szCs w:val="24"/>
        </w:rPr>
        <w:t xml:space="preserve"> Manager, they cleared the Trust Bank loan in no time using proceeds from her Banc ABC investment.</w:t>
      </w:r>
    </w:p>
    <w:p w14:paraId="4ACEEADB" w14:textId="77777777" w:rsidR="007B5FF1" w:rsidRDefault="007B5FF1" w:rsidP="0053056C">
      <w:pPr>
        <w:spacing w:after="0" w:line="480" w:lineRule="auto"/>
        <w:jc w:val="both"/>
        <w:rPr>
          <w:rFonts w:ascii="Times New Roman" w:hAnsi="Times New Roman" w:cs="Times New Roman"/>
          <w:sz w:val="24"/>
          <w:szCs w:val="24"/>
        </w:rPr>
      </w:pPr>
    </w:p>
    <w:p w14:paraId="7F14AB99" w14:textId="50FE7CE7" w:rsidR="007B5FF1" w:rsidRDefault="007B5FF1"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appellant’s case was that about 2017 and 2018 they </w:t>
      </w:r>
      <w:r w:rsidR="007466F1">
        <w:rPr>
          <w:rFonts w:ascii="Times New Roman" w:hAnsi="Times New Roman" w:cs="Times New Roman"/>
          <w:sz w:val="24"/>
          <w:szCs w:val="24"/>
        </w:rPr>
        <w:t>agreed to subdivide Lot</w:t>
      </w:r>
      <w:r w:rsidR="00E729E6">
        <w:rPr>
          <w:rFonts w:ascii="Times New Roman" w:hAnsi="Times New Roman" w:cs="Times New Roman"/>
          <w:sz w:val="24"/>
          <w:szCs w:val="24"/>
        </w:rPr>
        <w:t xml:space="preserve"> </w:t>
      </w:r>
      <w:r w:rsidR="000E2F63">
        <w:rPr>
          <w:rFonts w:ascii="Times New Roman" w:hAnsi="Times New Roman" w:cs="Times New Roman"/>
          <w:sz w:val="24"/>
          <w:szCs w:val="24"/>
        </w:rPr>
        <w:t xml:space="preserve">4 </w:t>
      </w:r>
      <w:r w:rsidR="00E729E6">
        <w:rPr>
          <w:rFonts w:ascii="Times New Roman" w:hAnsi="Times New Roman" w:cs="Times New Roman"/>
          <w:sz w:val="24"/>
          <w:szCs w:val="24"/>
        </w:rPr>
        <w:t xml:space="preserve">of </w:t>
      </w:r>
      <w:proofErr w:type="spellStart"/>
      <w:r w:rsidR="00E729E6">
        <w:rPr>
          <w:rFonts w:ascii="Times New Roman" w:hAnsi="Times New Roman" w:cs="Times New Roman"/>
          <w:sz w:val="24"/>
          <w:szCs w:val="24"/>
        </w:rPr>
        <w:t>Chimwemwe</w:t>
      </w:r>
      <w:proofErr w:type="spellEnd"/>
      <w:r w:rsidR="00E729E6">
        <w:rPr>
          <w:rFonts w:ascii="Times New Roman" w:hAnsi="Times New Roman" w:cs="Times New Roman"/>
          <w:sz w:val="24"/>
          <w:szCs w:val="24"/>
        </w:rPr>
        <w:t xml:space="preserve"> in order to have the smaller Stand 916 Borrowdale Township on which to build </w:t>
      </w:r>
      <w:r w:rsidR="00E729E6">
        <w:rPr>
          <w:rFonts w:ascii="Times New Roman" w:hAnsi="Times New Roman" w:cs="Times New Roman"/>
          <w:sz w:val="24"/>
          <w:szCs w:val="24"/>
        </w:rPr>
        <w:lastRenderedPageBreak/>
        <w:t>a cottage to be used as a business.  They ran a</w:t>
      </w:r>
      <w:r w:rsidR="00256153">
        <w:rPr>
          <w:rFonts w:ascii="Times New Roman" w:hAnsi="Times New Roman" w:cs="Times New Roman"/>
          <w:sz w:val="24"/>
          <w:szCs w:val="24"/>
        </w:rPr>
        <w:t xml:space="preserve"> </w:t>
      </w:r>
      <w:r w:rsidR="000E2F63">
        <w:rPr>
          <w:rFonts w:ascii="Times New Roman" w:hAnsi="Times New Roman" w:cs="Times New Roman"/>
          <w:sz w:val="24"/>
          <w:szCs w:val="24"/>
        </w:rPr>
        <w:t>B n B</w:t>
      </w:r>
      <w:r w:rsidR="00E729E6">
        <w:rPr>
          <w:rFonts w:ascii="Times New Roman" w:hAnsi="Times New Roman" w:cs="Times New Roman"/>
          <w:sz w:val="24"/>
          <w:szCs w:val="24"/>
        </w:rPr>
        <w:t xml:space="preserve"> business catering for mainly international guests.  The cottage was constructed using a loan she obtained from Standard Chartered Bank, her employer.  She was solely responsible for servicing that loan and needs the business to raise money to pay the children’s university fees.  She has had to shoulder that responsibility on her own without any assistance from the respondent.</w:t>
      </w:r>
      <w:r w:rsidR="00695C65">
        <w:rPr>
          <w:rFonts w:ascii="Times New Roman" w:hAnsi="Times New Roman" w:cs="Times New Roman"/>
          <w:sz w:val="24"/>
          <w:szCs w:val="24"/>
        </w:rPr>
        <w:t xml:space="preserve"> I mention in passing that the respondent conceded that he has never contributed to the education expenses of the children but blamed the appellant for not involving him.</w:t>
      </w:r>
      <w:r w:rsidR="00513FA5">
        <w:rPr>
          <w:rFonts w:ascii="Times New Roman" w:hAnsi="Times New Roman" w:cs="Times New Roman"/>
          <w:sz w:val="24"/>
          <w:szCs w:val="24"/>
        </w:rPr>
        <w:t xml:space="preserve"> Strange indeed.</w:t>
      </w:r>
    </w:p>
    <w:p w14:paraId="5707F6D4" w14:textId="77777777" w:rsidR="00E729E6" w:rsidRDefault="00E729E6" w:rsidP="0053056C">
      <w:pPr>
        <w:spacing w:after="0" w:line="480" w:lineRule="auto"/>
        <w:jc w:val="both"/>
        <w:rPr>
          <w:rFonts w:ascii="Times New Roman" w:hAnsi="Times New Roman" w:cs="Times New Roman"/>
          <w:sz w:val="24"/>
          <w:szCs w:val="24"/>
        </w:rPr>
      </w:pPr>
    </w:p>
    <w:p w14:paraId="679512BB" w14:textId="31EFDBA8" w:rsidR="00E729E6" w:rsidRDefault="00E729E6"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respondent’s case</w:t>
      </w:r>
      <w:r w:rsidR="000740E6">
        <w:rPr>
          <w:rFonts w:ascii="Times New Roman" w:hAnsi="Times New Roman" w:cs="Times New Roman"/>
          <w:sz w:val="24"/>
          <w:szCs w:val="24"/>
        </w:rPr>
        <w:t>, as hinted above,</w:t>
      </w:r>
      <w:r>
        <w:rPr>
          <w:rFonts w:ascii="Times New Roman" w:hAnsi="Times New Roman" w:cs="Times New Roman"/>
          <w:sz w:val="24"/>
          <w:szCs w:val="24"/>
        </w:rPr>
        <w:t xml:space="preserve"> was that he singularly purchased the matrimonial home from proceeds of a personal housing loan he obtained from Trust Bank where he was employed</w:t>
      </w:r>
      <w:r w:rsidR="003B6288">
        <w:rPr>
          <w:rFonts w:ascii="Times New Roman" w:hAnsi="Times New Roman" w:cs="Times New Roman"/>
          <w:sz w:val="24"/>
          <w:szCs w:val="24"/>
        </w:rPr>
        <w:t xml:space="preserve"> as Assistant General Manager.  Much later he donated to the appellant part of the land as a subdivision on which a cottage was built.  He denied that proceeds from the sale of the Westgate property were used to acquire the matrimonial home.</w:t>
      </w:r>
    </w:p>
    <w:p w14:paraId="5CFC8977" w14:textId="77777777" w:rsidR="003B6288" w:rsidRDefault="003B6288" w:rsidP="0053056C">
      <w:pPr>
        <w:spacing w:after="0" w:line="480" w:lineRule="auto"/>
        <w:jc w:val="both"/>
        <w:rPr>
          <w:rFonts w:ascii="Times New Roman" w:hAnsi="Times New Roman" w:cs="Times New Roman"/>
          <w:sz w:val="24"/>
          <w:szCs w:val="24"/>
        </w:rPr>
      </w:pPr>
    </w:p>
    <w:p w14:paraId="5F328BE5" w14:textId="50911E6F" w:rsidR="003B6288" w:rsidRDefault="003B6288"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the respondent’s view, an equitable division would be one which awards to him, as his sole and absolute property, the matrimonial home, being the </w:t>
      </w:r>
      <w:r w:rsidR="000740E6">
        <w:rPr>
          <w:rFonts w:ascii="Times New Roman" w:hAnsi="Times New Roman" w:cs="Times New Roman"/>
          <w:sz w:val="24"/>
          <w:szCs w:val="24"/>
        </w:rPr>
        <w:t>R</w:t>
      </w:r>
      <w:r>
        <w:rPr>
          <w:rFonts w:ascii="Times New Roman" w:hAnsi="Times New Roman" w:cs="Times New Roman"/>
          <w:sz w:val="24"/>
          <w:szCs w:val="24"/>
        </w:rPr>
        <w:t xml:space="preserve">emaining </w:t>
      </w:r>
      <w:r w:rsidR="000740E6">
        <w:rPr>
          <w:rFonts w:ascii="Times New Roman" w:hAnsi="Times New Roman" w:cs="Times New Roman"/>
          <w:sz w:val="24"/>
          <w:szCs w:val="24"/>
        </w:rPr>
        <w:t>E</w:t>
      </w:r>
      <w:r>
        <w:rPr>
          <w:rFonts w:ascii="Times New Roman" w:hAnsi="Times New Roman" w:cs="Times New Roman"/>
          <w:sz w:val="24"/>
          <w:szCs w:val="24"/>
        </w:rPr>
        <w:t>xten</w:t>
      </w:r>
      <w:r w:rsidR="000740E6">
        <w:rPr>
          <w:rFonts w:ascii="Times New Roman" w:hAnsi="Times New Roman" w:cs="Times New Roman"/>
          <w:sz w:val="24"/>
          <w:szCs w:val="24"/>
        </w:rPr>
        <w:t>t</w:t>
      </w:r>
      <w:r>
        <w:rPr>
          <w:rFonts w:ascii="Times New Roman" w:hAnsi="Times New Roman" w:cs="Times New Roman"/>
          <w:sz w:val="24"/>
          <w:szCs w:val="24"/>
        </w:rPr>
        <w:t xml:space="preserve"> of Lot 4 of </w:t>
      </w:r>
      <w:proofErr w:type="spellStart"/>
      <w:r>
        <w:rPr>
          <w:rFonts w:ascii="Times New Roman" w:hAnsi="Times New Roman" w:cs="Times New Roman"/>
          <w:sz w:val="24"/>
          <w:szCs w:val="24"/>
        </w:rPr>
        <w:t>Chimwemwe</w:t>
      </w:r>
      <w:proofErr w:type="spellEnd"/>
      <w:r>
        <w:rPr>
          <w:rFonts w:ascii="Times New Roman" w:hAnsi="Times New Roman" w:cs="Times New Roman"/>
          <w:sz w:val="24"/>
          <w:szCs w:val="24"/>
        </w:rPr>
        <w:t xml:space="preserve"> of Subdivision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Kingsmead of Borrowdale Harare, while awarding to the appellant the two roomed cottage built on the adjoining land he donated to his wife.</w:t>
      </w:r>
    </w:p>
    <w:p w14:paraId="312DBF16" w14:textId="77777777" w:rsidR="002A2446" w:rsidRDefault="002A2446" w:rsidP="0053056C">
      <w:pPr>
        <w:spacing w:after="0" w:line="480" w:lineRule="auto"/>
        <w:jc w:val="both"/>
        <w:rPr>
          <w:rFonts w:ascii="Times New Roman" w:hAnsi="Times New Roman" w:cs="Times New Roman"/>
          <w:sz w:val="24"/>
          <w:szCs w:val="24"/>
        </w:rPr>
      </w:pPr>
    </w:p>
    <w:p w14:paraId="4308823D" w14:textId="78D688CD" w:rsidR="002A2446" w:rsidRDefault="002A2446" w:rsidP="00393BE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 the immovable properties the court </w:t>
      </w:r>
      <w:r w:rsidRPr="002A2446">
        <w:rPr>
          <w:rFonts w:ascii="Times New Roman" w:hAnsi="Times New Roman" w:cs="Times New Roman"/>
          <w:i/>
          <w:sz w:val="24"/>
          <w:szCs w:val="24"/>
        </w:rPr>
        <w:t>a quo</w:t>
      </w:r>
      <w:r>
        <w:rPr>
          <w:rFonts w:ascii="Times New Roman" w:hAnsi="Times New Roman" w:cs="Times New Roman"/>
          <w:sz w:val="24"/>
          <w:szCs w:val="24"/>
        </w:rPr>
        <w:t xml:space="preserve"> found that the </w:t>
      </w:r>
      <w:r w:rsidR="00074CA8">
        <w:rPr>
          <w:rFonts w:ascii="Times New Roman" w:hAnsi="Times New Roman" w:cs="Times New Roman"/>
          <w:sz w:val="24"/>
          <w:szCs w:val="24"/>
        </w:rPr>
        <w:t>R</w:t>
      </w:r>
      <w:r>
        <w:rPr>
          <w:rFonts w:ascii="Times New Roman" w:hAnsi="Times New Roman" w:cs="Times New Roman"/>
          <w:sz w:val="24"/>
          <w:szCs w:val="24"/>
        </w:rPr>
        <w:t xml:space="preserve">emaining </w:t>
      </w:r>
      <w:r w:rsidR="00074CA8">
        <w:rPr>
          <w:rFonts w:ascii="Times New Roman" w:hAnsi="Times New Roman" w:cs="Times New Roman"/>
          <w:sz w:val="24"/>
          <w:szCs w:val="24"/>
        </w:rPr>
        <w:t>E</w:t>
      </w:r>
      <w:r>
        <w:rPr>
          <w:rFonts w:ascii="Times New Roman" w:hAnsi="Times New Roman" w:cs="Times New Roman"/>
          <w:sz w:val="24"/>
          <w:szCs w:val="24"/>
        </w:rPr>
        <w:t>xtent of Lot 4 is where the matrimonial home is located and it is registered in the name of the respondent.  It</w:t>
      </w:r>
      <w:r w:rsidR="003171EC">
        <w:rPr>
          <w:rFonts w:ascii="Times New Roman" w:hAnsi="Times New Roman" w:cs="Times New Roman"/>
          <w:sz w:val="24"/>
          <w:szCs w:val="24"/>
        </w:rPr>
        <w:t xml:space="preserve"> found that S</w:t>
      </w:r>
      <w:r>
        <w:rPr>
          <w:rFonts w:ascii="Times New Roman" w:hAnsi="Times New Roman" w:cs="Times New Roman"/>
          <w:sz w:val="24"/>
          <w:szCs w:val="24"/>
        </w:rPr>
        <w:t>tand 916 Borrowdale Township was severed from the matrimonial home to build a cottage used in the B</w:t>
      </w:r>
      <w:r w:rsidR="00C761FA">
        <w:rPr>
          <w:rFonts w:ascii="Times New Roman" w:hAnsi="Times New Roman" w:cs="Times New Roman"/>
          <w:sz w:val="24"/>
          <w:szCs w:val="24"/>
        </w:rPr>
        <w:t xml:space="preserve"> n B</w:t>
      </w:r>
      <w:r>
        <w:rPr>
          <w:rFonts w:ascii="Times New Roman" w:hAnsi="Times New Roman" w:cs="Times New Roman"/>
          <w:sz w:val="24"/>
          <w:szCs w:val="24"/>
        </w:rPr>
        <w:t xml:space="preserve"> business and is registered in the name of the appellant.</w:t>
      </w:r>
    </w:p>
    <w:p w14:paraId="3879306F" w14:textId="77777777" w:rsidR="00D51090" w:rsidRDefault="00D51090" w:rsidP="0053056C">
      <w:pPr>
        <w:spacing w:after="0" w:line="480" w:lineRule="auto"/>
        <w:jc w:val="both"/>
        <w:rPr>
          <w:rFonts w:ascii="Times New Roman" w:hAnsi="Times New Roman" w:cs="Times New Roman"/>
          <w:sz w:val="24"/>
          <w:szCs w:val="24"/>
        </w:rPr>
      </w:pPr>
    </w:p>
    <w:p w14:paraId="1C43D6BC" w14:textId="37011CC9" w:rsidR="00D51090" w:rsidRDefault="00D51090" w:rsidP="002B0D6E">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After identifying the factors that should be taken into account in considering the division of matrimonial assets as set out in s 7 of the Matrimonial Causes Act [</w:t>
      </w:r>
      <w:r w:rsidRPr="00D51090">
        <w:rPr>
          <w:rFonts w:ascii="Times New Roman" w:hAnsi="Times New Roman" w:cs="Times New Roman"/>
          <w:i/>
          <w:sz w:val="24"/>
          <w:szCs w:val="24"/>
        </w:rPr>
        <w:t>Chapter 5:13</w:t>
      </w:r>
      <w:r>
        <w:rPr>
          <w:rFonts w:ascii="Times New Roman" w:hAnsi="Times New Roman" w:cs="Times New Roman"/>
          <w:sz w:val="24"/>
          <w:szCs w:val="24"/>
        </w:rPr>
        <w:t xml:space="preserve">], the court </w:t>
      </w:r>
      <w:r w:rsidRPr="00D51090">
        <w:rPr>
          <w:rFonts w:ascii="Times New Roman" w:hAnsi="Times New Roman" w:cs="Times New Roman"/>
          <w:i/>
          <w:sz w:val="24"/>
          <w:szCs w:val="24"/>
        </w:rPr>
        <w:t>a quo</w:t>
      </w:r>
      <w:r>
        <w:rPr>
          <w:rFonts w:ascii="Times New Roman" w:hAnsi="Times New Roman" w:cs="Times New Roman"/>
          <w:sz w:val="24"/>
          <w:szCs w:val="24"/>
        </w:rPr>
        <w:t xml:space="preserve"> examined the contributions of the parties</w:t>
      </w:r>
      <w:r w:rsidR="0090150A">
        <w:rPr>
          <w:rFonts w:ascii="Times New Roman" w:hAnsi="Times New Roman" w:cs="Times New Roman"/>
          <w:sz w:val="24"/>
          <w:szCs w:val="24"/>
        </w:rPr>
        <w:t xml:space="preserve"> towards their acquisition.  It found that there was no “clear answer as to the extent of each party’s contribution.”  It then concluded that none of the parties discharged the burden of proof resting on</w:t>
      </w:r>
      <w:r w:rsidR="00E408F0">
        <w:rPr>
          <w:rFonts w:ascii="Times New Roman" w:hAnsi="Times New Roman" w:cs="Times New Roman"/>
          <w:sz w:val="24"/>
          <w:szCs w:val="24"/>
        </w:rPr>
        <w:t xml:space="preserve"> it</w:t>
      </w:r>
      <w:r w:rsidR="0090150A">
        <w:rPr>
          <w:rFonts w:ascii="Times New Roman" w:hAnsi="Times New Roman" w:cs="Times New Roman"/>
          <w:sz w:val="24"/>
          <w:szCs w:val="24"/>
        </w:rPr>
        <w:t xml:space="preserve"> and that the “probabilities are evenly balanced.”</w:t>
      </w:r>
    </w:p>
    <w:p w14:paraId="7191BDEA" w14:textId="77777777" w:rsidR="0090150A" w:rsidRDefault="0090150A" w:rsidP="0053056C">
      <w:pPr>
        <w:spacing w:after="0" w:line="480" w:lineRule="auto"/>
        <w:jc w:val="both"/>
        <w:rPr>
          <w:rFonts w:ascii="Times New Roman" w:hAnsi="Times New Roman" w:cs="Times New Roman"/>
          <w:sz w:val="24"/>
          <w:szCs w:val="24"/>
        </w:rPr>
      </w:pPr>
    </w:p>
    <w:p w14:paraId="7F2FAF1E" w14:textId="71CFBC00" w:rsidR="0090150A" w:rsidRDefault="0090150A" w:rsidP="002B0D6E">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 the factor relating to the needs of the children, the court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found that the interests of the children were “immaterial considering that they are both majors now and can </w:t>
      </w:r>
      <w:r w:rsidR="0016094E">
        <w:rPr>
          <w:rFonts w:ascii="Times New Roman" w:hAnsi="Times New Roman" w:cs="Times New Roman"/>
          <w:sz w:val="24"/>
          <w:szCs w:val="24"/>
        </w:rPr>
        <w:t>chart their own paths in life</w:t>
      </w:r>
      <w:r w:rsidR="00FC626F">
        <w:rPr>
          <w:rFonts w:ascii="Times New Roman" w:hAnsi="Times New Roman" w:cs="Times New Roman"/>
          <w:sz w:val="24"/>
          <w:szCs w:val="24"/>
        </w:rPr>
        <w:t>.”</w:t>
      </w:r>
      <w:r w:rsidR="0016094E">
        <w:rPr>
          <w:rFonts w:ascii="Times New Roman" w:hAnsi="Times New Roman" w:cs="Times New Roman"/>
          <w:sz w:val="24"/>
          <w:szCs w:val="24"/>
        </w:rPr>
        <w:t xml:space="preserve">  In arriving at the division of the immovable property which it settled for the court </w:t>
      </w:r>
      <w:r w:rsidR="0016094E">
        <w:rPr>
          <w:rFonts w:ascii="Times New Roman" w:hAnsi="Times New Roman" w:cs="Times New Roman"/>
          <w:i/>
          <w:sz w:val="24"/>
          <w:szCs w:val="24"/>
        </w:rPr>
        <w:t xml:space="preserve">a quo </w:t>
      </w:r>
      <w:r w:rsidR="0016094E">
        <w:rPr>
          <w:rFonts w:ascii="Times New Roman" w:hAnsi="Times New Roman" w:cs="Times New Roman"/>
          <w:sz w:val="24"/>
          <w:szCs w:val="24"/>
        </w:rPr>
        <w:t>reasoned as follows:</w:t>
      </w:r>
    </w:p>
    <w:p w14:paraId="635E0E81" w14:textId="70AC6EC7" w:rsidR="0016094E" w:rsidRPr="0016094E" w:rsidRDefault="0016094E" w:rsidP="002B0D6E">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“Divorce, of necessity, brings about fundamental changes in the parties’ lives and comes with the consequences of proper</w:t>
      </w:r>
      <w:r w:rsidR="00654DC4">
        <w:rPr>
          <w:rFonts w:ascii="Times New Roman" w:hAnsi="Times New Roman" w:cs="Times New Roman"/>
          <w:sz w:val="24"/>
          <w:szCs w:val="24"/>
        </w:rPr>
        <w:t xml:space="preserve">ty sharing.  In </w:t>
      </w:r>
      <w:r w:rsidR="00654DC4" w:rsidRPr="00654DC4">
        <w:rPr>
          <w:rFonts w:ascii="Times New Roman" w:hAnsi="Times New Roman" w:cs="Times New Roman"/>
          <w:i/>
          <w:sz w:val="24"/>
          <w:szCs w:val="24"/>
        </w:rPr>
        <w:t>casu</w:t>
      </w:r>
      <w:r w:rsidR="00654DC4">
        <w:rPr>
          <w:rFonts w:ascii="Times New Roman" w:hAnsi="Times New Roman" w:cs="Times New Roman"/>
          <w:sz w:val="24"/>
          <w:szCs w:val="24"/>
        </w:rPr>
        <w:t xml:space="preserve">, there are two properties registered in each of the spouses’ names.  The registration </w:t>
      </w:r>
      <w:r w:rsidR="005C5E0B">
        <w:rPr>
          <w:rFonts w:ascii="Times New Roman" w:hAnsi="Times New Roman" w:cs="Times New Roman"/>
          <w:sz w:val="24"/>
          <w:szCs w:val="24"/>
        </w:rPr>
        <w:t>of rights in immovable property in terms of the Deeds Registries Act [</w:t>
      </w:r>
      <w:r w:rsidR="005C5E0B" w:rsidRPr="00930CF4">
        <w:rPr>
          <w:rFonts w:ascii="Times New Roman" w:hAnsi="Times New Roman" w:cs="Times New Roman"/>
          <w:i/>
          <w:sz w:val="24"/>
          <w:szCs w:val="24"/>
        </w:rPr>
        <w:t>Chapter 20:05</w:t>
      </w:r>
      <w:r w:rsidR="005C5E0B">
        <w:rPr>
          <w:rFonts w:ascii="Times New Roman" w:hAnsi="Times New Roman" w:cs="Times New Roman"/>
          <w:sz w:val="24"/>
          <w:szCs w:val="24"/>
        </w:rPr>
        <w:t>] is not a mere matter of form.  It co</w:t>
      </w:r>
      <w:r w:rsidR="00FC626F">
        <w:rPr>
          <w:rFonts w:ascii="Times New Roman" w:hAnsi="Times New Roman" w:cs="Times New Roman"/>
          <w:sz w:val="24"/>
          <w:szCs w:val="24"/>
        </w:rPr>
        <w:t>n</w:t>
      </w:r>
      <w:r w:rsidR="005C5E0B">
        <w:rPr>
          <w:rFonts w:ascii="Times New Roman" w:hAnsi="Times New Roman" w:cs="Times New Roman"/>
          <w:sz w:val="24"/>
          <w:szCs w:val="24"/>
        </w:rPr>
        <w:t xml:space="preserve">veys real rights upon those in whose name the property is registered.  See </w:t>
      </w:r>
      <w:proofErr w:type="spellStart"/>
      <w:r w:rsidR="005C5E0B" w:rsidRPr="005C5E0B">
        <w:rPr>
          <w:rFonts w:ascii="Times New Roman" w:hAnsi="Times New Roman" w:cs="Times New Roman"/>
          <w:i/>
          <w:sz w:val="24"/>
          <w:szCs w:val="24"/>
        </w:rPr>
        <w:t>Takafuma</w:t>
      </w:r>
      <w:proofErr w:type="spellEnd"/>
      <w:r w:rsidR="005C5E0B" w:rsidRPr="005C5E0B">
        <w:rPr>
          <w:rFonts w:ascii="Times New Roman" w:hAnsi="Times New Roman" w:cs="Times New Roman"/>
          <w:i/>
          <w:sz w:val="24"/>
          <w:szCs w:val="24"/>
        </w:rPr>
        <w:t xml:space="preserve"> v </w:t>
      </w:r>
      <w:proofErr w:type="spellStart"/>
      <w:r w:rsidR="005C5E0B" w:rsidRPr="005C5E0B">
        <w:rPr>
          <w:rFonts w:ascii="Times New Roman" w:hAnsi="Times New Roman" w:cs="Times New Roman"/>
          <w:i/>
          <w:sz w:val="24"/>
          <w:szCs w:val="24"/>
        </w:rPr>
        <w:t>Takafuma</w:t>
      </w:r>
      <w:proofErr w:type="spellEnd"/>
      <w:r w:rsidR="005C5E0B">
        <w:rPr>
          <w:rFonts w:ascii="Times New Roman" w:hAnsi="Times New Roman" w:cs="Times New Roman"/>
          <w:sz w:val="24"/>
          <w:szCs w:val="24"/>
        </w:rPr>
        <w:t xml:space="preserve"> (</w:t>
      </w:r>
      <w:r w:rsidR="005C5E0B" w:rsidRPr="005C5E0B">
        <w:rPr>
          <w:rFonts w:ascii="Times New Roman" w:hAnsi="Times New Roman" w:cs="Times New Roman"/>
          <w:i/>
          <w:sz w:val="24"/>
          <w:szCs w:val="24"/>
          <w:u w:val="single"/>
        </w:rPr>
        <w:t>supra</w:t>
      </w:r>
      <w:r w:rsidR="005C5E0B">
        <w:rPr>
          <w:rFonts w:ascii="Times New Roman" w:hAnsi="Times New Roman" w:cs="Times New Roman"/>
          <w:sz w:val="24"/>
          <w:szCs w:val="24"/>
        </w:rPr>
        <w:t>).  The properties therefore fall into the category of ‘his’ and ‘hers’ by virtue of registration.  From the above analysis, there is no ju</w:t>
      </w:r>
      <w:r w:rsidR="00FC626F">
        <w:rPr>
          <w:rFonts w:ascii="Times New Roman" w:hAnsi="Times New Roman" w:cs="Times New Roman"/>
          <w:sz w:val="24"/>
          <w:szCs w:val="24"/>
        </w:rPr>
        <w:t>stification</w:t>
      </w:r>
      <w:r w:rsidR="005C5E0B">
        <w:rPr>
          <w:rFonts w:ascii="Times New Roman" w:hAnsi="Times New Roman" w:cs="Times New Roman"/>
          <w:sz w:val="24"/>
          <w:szCs w:val="24"/>
        </w:rPr>
        <w:t xml:space="preserve"> for taking any portion away from one and give to the other.  Accordingly, each spouse retains the immovable property registered in his or her name.” </w:t>
      </w:r>
    </w:p>
    <w:p w14:paraId="2A5F4767" w14:textId="77777777" w:rsidR="007706DF" w:rsidRPr="00A80779" w:rsidRDefault="00A80779" w:rsidP="002B0D6E">
      <w:pPr>
        <w:spacing w:after="0" w:line="240" w:lineRule="auto"/>
        <w:jc w:val="both"/>
        <w:rPr>
          <w:sz w:val="28"/>
          <w:szCs w:val="28"/>
        </w:rPr>
      </w:pPr>
      <w:r>
        <w:rPr>
          <w:sz w:val="28"/>
          <w:szCs w:val="28"/>
        </w:rPr>
        <w:tab/>
      </w:r>
      <w:r>
        <w:rPr>
          <w:sz w:val="28"/>
          <w:szCs w:val="28"/>
        </w:rPr>
        <w:tab/>
      </w:r>
      <w:r w:rsidR="00734617">
        <w:rPr>
          <w:sz w:val="28"/>
          <w:szCs w:val="28"/>
        </w:rPr>
        <w:t xml:space="preserve"> </w:t>
      </w:r>
    </w:p>
    <w:p w14:paraId="2442FA69" w14:textId="77777777" w:rsidR="00936CE2" w:rsidRPr="002B0D6E" w:rsidRDefault="00936CE2" w:rsidP="002B0D6E">
      <w:pPr>
        <w:spacing w:line="240" w:lineRule="auto"/>
        <w:rPr>
          <w:rFonts w:ascii="Times New Roman" w:hAnsi="Times New Roman" w:cs="Times New Roman"/>
          <w:sz w:val="24"/>
          <w:szCs w:val="24"/>
        </w:rPr>
      </w:pPr>
    </w:p>
    <w:p w14:paraId="388D4644" w14:textId="32D94D08" w:rsidR="00936CE2" w:rsidRDefault="00936CE2" w:rsidP="002B0D6E">
      <w:pPr>
        <w:spacing w:line="480" w:lineRule="auto"/>
        <w:ind w:firstLine="1134"/>
        <w:jc w:val="both"/>
        <w:rPr>
          <w:rFonts w:ascii="Times New Roman" w:hAnsi="Times New Roman" w:cs="Times New Roman"/>
          <w:sz w:val="24"/>
          <w:szCs w:val="24"/>
        </w:rPr>
      </w:pPr>
      <w:r w:rsidRPr="00936CE2">
        <w:rPr>
          <w:rFonts w:ascii="Times New Roman" w:hAnsi="Times New Roman" w:cs="Times New Roman"/>
          <w:sz w:val="24"/>
          <w:szCs w:val="24"/>
        </w:rPr>
        <w:t>It is a strain to the</w:t>
      </w:r>
      <w:r>
        <w:rPr>
          <w:rFonts w:ascii="Times New Roman" w:hAnsi="Times New Roman" w:cs="Times New Roman"/>
          <w:sz w:val="24"/>
          <w:szCs w:val="24"/>
        </w:rPr>
        <w:t xml:space="preserve"> mind to try and decipher which, </w:t>
      </w:r>
      <w:r w:rsidR="0033125D">
        <w:rPr>
          <w:rFonts w:ascii="Times New Roman" w:hAnsi="Times New Roman" w:cs="Times New Roman"/>
          <w:sz w:val="24"/>
          <w:szCs w:val="24"/>
        </w:rPr>
        <w:t>of all the factors set out in s </w:t>
      </w:r>
      <w:r>
        <w:rPr>
          <w:rFonts w:ascii="Times New Roman" w:hAnsi="Times New Roman" w:cs="Times New Roman"/>
          <w:sz w:val="24"/>
          <w:szCs w:val="24"/>
        </w:rPr>
        <w:t xml:space="preserve">7 of the Matrimonial Causes Act for consideration in determining how to divide the assets of the spouses, the court </w:t>
      </w:r>
      <w:r w:rsidRPr="005B3A2A">
        <w:rPr>
          <w:rFonts w:ascii="Times New Roman" w:hAnsi="Times New Roman" w:cs="Times New Roman"/>
          <w:i/>
          <w:sz w:val="24"/>
          <w:szCs w:val="24"/>
        </w:rPr>
        <w:t>a quo</w:t>
      </w:r>
      <w:r>
        <w:rPr>
          <w:rFonts w:ascii="Times New Roman" w:hAnsi="Times New Roman" w:cs="Times New Roman"/>
          <w:sz w:val="24"/>
          <w:szCs w:val="24"/>
        </w:rPr>
        <w:t xml:space="preserve"> took into account in arriving at that conclusion.  Whatever the case, the outcome was an award of the entire house the appellant lived in with the children to the respondent, while the appellant was awarded the two roomed cottage used as a business.</w:t>
      </w:r>
    </w:p>
    <w:p w14:paraId="1ECD7A6B" w14:textId="77777777" w:rsidR="00195556" w:rsidRDefault="00195556" w:rsidP="007818EE">
      <w:pPr>
        <w:spacing w:after="0" w:line="240" w:lineRule="auto"/>
        <w:jc w:val="both"/>
        <w:rPr>
          <w:rFonts w:ascii="Times New Roman" w:hAnsi="Times New Roman" w:cs="Times New Roman"/>
          <w:sz w:val="24"/>
          <w:szCs w:val="24"/>
        </w:rPr>
      </w:pPr>
    </w:p>
    <w:p w14:paraId="4BDE1AEF" w14:textId="42F8FB3F" w:rsidR="00195556" w:rsidRDefault="00195556" w:rsidP="002B0D6E">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 mention</w:t>
      </w:r>
      <w:r w:rsidR="00F55284">
        <w:rPr>
          <w:rFonts w:ascii="Times New Roman" w:hAnsi="Times New Roman" w:cs="Times New Roman"/>
          <w:sz w:val="24"/>
          <w:szCs w:val="24"/>
        </w:rPr>
        <w:t>, again</w:t>
      </w:r>
      <w:r>
        <w:rPr>
          <w:rFonts w:ascii="Times New Roman" w:hAnsi="Times New Roman" w:cs="Times New Roman"/>
          <w:sz w:val="24"/>
          <w:szCs w:val="24"/>
        </w:rPr>
        <w:t xml:space="preserve"> in passing</w:t>
      </w:r>
      <w:r w:rsidR="00F55284">
        <w:rPr>
          <w:rFonts w:ascii="Times New Roman" w:hAnsi="Times New Roman" w:cs="Times New Roman"/>
          <w:sz w:val="24"/>
          <w:szCs w:val="24"/>
        </w:rPr>
        <w:t>,</w:t>
      </w:r>
      <w:r>
        <w:rPr>
          <w:rFonts w:ascii="Times New Roman" w:hAnsi="Times New Roman" w:cs="Times New Roman"/>
          <w:sz w:val="24"/>
          <w:szCs w:val="24"/>
        </w:rPr>
        <w:t xml:space="preserve"> that such division was arrived at without regard to the values of each of the properties or any of the guidelines set out by the law.  So, by dint merely </w:t>
      </w:r>
      <w:r>
        <w:rPr>
          <w:rFonts w:ascii="Times New Roman" w:hAnsi="Times New Roman" w:cs="Times New Roman"/>
          <w:sz w:val="24"/>
          <w:szCs w:val="24"/>
        </w:rPr>
        <w:lastRenderedPageBreak/>
        <w:t xml:space="preserve">of registration of title and nothing more, the court </w:t>
      </w:r>
      <w:r>
        <w:rPr>
          <w:rFonts w:ascii="Times New Roman" w:hAnsi="Times New Roman" w:cs="Times New Roman"/>
          <w:i/>
          <w:sz w:val="24"/>
          <w:szCs w:val="24"/>
        </w:rPr>
        <w:t xml:space="preserve">a quo </w:t>
      </w:r>
      <w:r>
        <w:rPr>
          <w:rFonts w:ascii="Times New Roman" w:hAnsi="Times New Roman" w:cs="Times New Roman"/>
          <w:sz w:val="24"/>
          <w:szCs w:val="24"/>
        </w:rPr>
        <w:t>r</w:t>
      </w:r>
      <w:r w:rsidR="002B0D6E">
        <w:rPr>
          <w:rFonts w:ascii="Times New Roman" w:hAnsi="Times New Roman" w:cs="Times New Roman"/>
          <w:sz w:val="24"/>
          <w:szCs w:val="24"/>
        </w:rPr>
        <w:t xml:space="preserve">esolved the dispute between the </w:t>
      </w:r>
      <w:r>
        <w:rPr>
          <w:rFonts w:ascii="Times New Roman" w:hAnsi="Times New Roman" w:cs="Times New Roman"/>
          <w:sz w:val="24"/>
          <w:szCs w:val="24"/>
        </w:rPr>
        <w:t>parties.</w:t>
      </w:r>
    </w:p>
    <w:p w14:paraId="22BC2847" w14:textId="77777777" w:rsidR="00307D44" w:rsidRDefault="00307D44" w:rsidP="00E3142E">
      <w:pPr>
        <w:spacing w:after="0" w:line="240" w:lineRule="auto"/>
        <w:jc w:val="both"/>
        <w:rPr>
          <w:rFonts w:ascii="Times New Roman" w:hAnsi="Times New Roman" w:cs="Times New Roman"/>
          <w:sz w:val="24"/>
          <w:szCs w:val="24"/>
        </w:rPr>
      </w:pPr>
    </w:p>
    <w:p w14:paraId="27620363" w14:textId="77777777" w:rsidR="00307D44" w:rsidRPr="00307D44" w:rsidRDefault="00307D44" w:rsidP="002B0D6E">
      <w:pPr>
        <w:spacing w:after="0" w:line="480" w:lineRule="auto"/>
        <w:jc w:val="both"/>
        <w:rPr>
          <w:rFonts w:ascii="Times New Roman" w:hAnsi="Times New Roman" w:cs="Times New Roman"/>
          <w:b/>
          <w:sz w:val="24"/>
          <w:szCs w:val="24"/>
          <w:u w:val="single"/>
        </w:rPr>
      </w:pPr>
      <w:r w:rsidRPr="00307D44">
        <w:rPr>
          <w:rFonts w:ascii="Times New Roman" w:hAnsi="Times New Roman" w:cs="Times New Roman"/>
          <w:b/>
          <w:sz w:val="24"/>
          <w:szCs w:val="24"/>
          <w:u w:val="single"/>
        </w:rPr>
        <w:t>PROCEEDINGS BEFORE THIS COURT</w:t>
      </w:r>
    </w:p>
    <w:p w14:paraId="7628AD66" w14:textId="64CB72AE" w:rsidR="0033125D" w:rsidRDefault="00AA67DD" w:rsidP="00910D9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Finding herself clutching only onto the cottage notwithstanding all the evidence she led to justify what she regarded as her entitlement to more, the appellant was understandably aggrieved.  She noted the present appeal on the following grounds of appeal:</w:t>
      </w:r>
    </w:p>
    <w:p w14:paraId="5931A7E0" w14:textId="77777777" w:rsidR="00910D9D" w:rsidRDefault="00910D9D" w:rsidP="00910D9D">
      <w:pPr>
        <w:spacing w:after="0" w:line="480" w:lineRule="auto"/>
        <w:jc w:val="both"/>
        <w:rPr>
          <w:rFonts w:ascii="Times New Roman" w:hAnsi="Times New Roman" w:cs="Times New Roman"/>
          <w:sz w:val="24"/>
          <w:szCs w:val="24"/>
        </w:rPr>
      </w:pPr>
    </w:p>
    <w:p w14:paraId="11912A5A" w14:textId="7AD85B40" w:rsidR="00563EE1" w:rsidRPr="00936CE2" w:rsidRDefault="00563EE1" w:rsidP="005B3A2A">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563EE1">
        <w:rPr>
          <w:rFonts w:ascii="Times New Roman" w:hAnsi="Times New Roman" w:cs="Times New Roman"/>
          <w:b/>
          <w:sz w:val="24"/>
          <w:szCs w:val="24"/>
          <w:u w:val="single"/>
        </w:rPr>
        <w:t>GROUNDS OF APPEAL</w:t>
      </w:r>
    </w:p>
    <w:p w14:paraId="091281C3" w14:textId="45143690" w:rsidR="000277B5" w:rsidRDefault="00563EE1" w:rsidP="00910D9D">
      <w:pPr>
        <w:pStyle w:val="ListParagraph"/>
        <w:numPr>
          <w:ilvl w:val="0"/>
          <w:numId w:val="11"/>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The </w:t>
      </w:r>
      <w:r w:rsidR="00910D9D">
        <w:rPr>
          <w:rFonts w:ascii="Times New Roman" w:hAnsi="Times New Roman" w:cs="Times New Roman"/>
          <w:sz w:val="24"/>
          <w:szCs w:val="24"/>
        </w:rPr>
        <w:t>c</w:t>
      </w:r>
      <w:r>
        <w:rPr>
          <w:rFonts w:ascii="Times New Roman" w:hAnsi="Times New Roman" w:cs="Times New Roman"/>
          <w:sz w:val="24"/>
          <w:szCs w:val="24"/>
        </w:rPr>
        <w:t xml:space="preserve">ourt </w:t>
      </w:r>
      <w:r>
        <w:rPr>
          <w:rFonts w:ascii="Times New Roman" w:hAnsi="Times New Roman" w:cs="Times New Roman"/>
          <w:i/>
          <w:sz w:val="24"/>
          <w:szCs w:val="24"/>
        </w:rPr>
        <w:t xml:space="preserve">a quo </w:t>
      </w:r>
      <w:r>
        <w:rPr>
          <w:rFonts w:ascii="Times New Roman" w:hAnsi="Times New Roman" w:cs="Times New Roman"/>
          <w:sz w:val="24"/>
          <w:szCs w:val="24"/>
        </w:rPr>
        <w:t>grossly erred in failing to consider the import and operation of the Matrimonial Causes Act [</w:t>
      </w:r>
      <w:r w:rsidRPr="00AF159D">
        <w:rPr>
          <w:rFonts w:ascii="Times New Roman" w:hAnsi="Times New Roman" w:cs="Times New Roman"/>
          <w:i/>
          <w:iCs/>
          <w:sz w:val="24"/>
          <w:szCs w:val="24"/>
        </w:rPr>
        <w:t>Chapter 5:13</w:t>
      </w:r>
      <w:r>
        <w:rPr>
          <w:rFonts w:ascii="Times New Roman" w:hAnsi="Times New Roman" w:cs="Times New Roman"/>
          <w:sz w:val="24"/>
          <w:szCs w:val="24"/>
        </w:rPr>
        <w:t xml:space="preserve">].  Particularly, the </w:t>
      </w:r>
      <w:r w:rsidR="00910D9D">
        <w:rPr>
          <w:rFonts w:ascii="Times New Roman" w:hAnsi="Times New Roman" w:cs="Times New Roman"/>
          <w:sz w:val="24"/>
          <w:szCs w:val="24"/>
        </w:rPr>
        <w:t>c</w:t>
      </w:r>
      <w:r>
        <w:rPr>
          <w:rFonts w:ascii="Times New Roman" w:hAnsi="Times New Roman" w:cs="Times New Roman"/>
          <w:sz w:val="24"/>
          <w:szCs w:val="24"/>
        </w:rPr>
        <w:t xml:space="preserve">ourt </w:t>
      </w:r>
      <w:r>
        <w:rPr>
          <w:rFonts w:ascii="Times New Roman" w:hAnsi="Times New Roman" w:cs="Times New Roman"/>
          <w:i/>
          <w:sz w:val="24"/>
          <w:szCs w:val="24"/>
        </w:rPr>
        <w:t xml:space="preserve">a quo </w:t>
      </w:r>
      <w:r>
        <w:rPr>
          <w:rFonts w:ascii="Times New Roman" w:hAnsi="Times New Roman" w:cs="Times New Roman"/>
          <w:sz w:val="24"/>
          <w:szCs w:val="24"/>
        </w:rPr>
        <w:t>did not consider that the appellant resides with her daughter at the matrimonial home and that it is considered the primary residence by the children who are still dependent on the appellant.</w:t>
      </w:r>
    </w:p>
    <w:p w14:paraId="2608B8C2" w14:textId="5E0BF39B" w:rsidR="00563EE1" w:rsidRDefault="00563EE1" w:rsidP="00910D9D">
      <w:pPr>
        <w:pStyle w:val="ListParagraph"/>
        <w:numPr>
          <w:ilvl w:val="0"/>
          <w:numId w:val="11"/>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The </w:t>
      </w:r>
      <w:r w:rsidR="00910D9D">
        <w:rPr>
          <w:rFonts w:ascii="Times New Roman" w:hAnsi="Times New Roman" w:cs="Times New Roman"/>
          <w:sz w:val="24"/>
          <w:szCs w:val="24"/>
        </w:rPr>
        <w:t>c</w:t>
      </w:r>
      <w:r>
        <w:rPr>
          <w:rFonts w:ascii="Times New Roman" w:hAnsi="Times New Roman" w:cs="Times New Roman"/>
          <w:sz w:val="24"/>
          <w:szCs w:val="24"/>
        </w:rPr>
        <w:t xml:space="preserve">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erred in failing to consider evidence establishing the appellant’s direct contributions in the acquisition of the Remaining Extent of Lot 4 of </w:t>
      </w:r>
      <w:proofErr w:type="spellStart"/>
      <w:r>
        <w:rPr>
          <w:rFonts w:ascii="Times New Roman" w:hAnsi="Times New Roman" w:cs="Times New Roman"/>
          <w:sz w:val="24"/>
          <w:szCs w:val="24"/>
        </w:rPr>
        <w:t>Chimwemwe</w:t>
      </w:r>
      <w:proofErr w:type="spellEnd"/>
      <w:r>
        <w:rPr>
          <w:rFonts w:ascii="Times New Roman" w:hAnsi="Times New Roman" w:cs="Times New Roman"/>
          <w:sz w:val="24"/>
          <w:szCs w:val="24"/>
        </w:rPr>
        <w:t xml:space="preserve"> of Subdivision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 Kingsmead Extension of Borrowdale Estate.  </w:t>
      </w:r>
      <w:r w:rsidRPr="00563EE1">
        <w:rPr>
          <w:rFonts w:ascii="Times New Roman" w:hAnsi="Times New Roman" w:cs="Times New Roman"/>
          <w:i/>
          <w:sz w:val="24"/>
          <w:szCs w:val="24"/>
        </w:rPr>
        <w:t>Inter alia</w:t>
      </w:r>
      <w:r>
        <w:rPr>
          <w:rFonts w:ascii="Times New Roman" w:hAnsi="Times New Roman" w:cs="Times New Roman"/>
          <w:sz w:val="24"/>
          <w:szCs w:val="24"/>
        </w:rPr>
        <w:t xml:space="preserve"> the </w:t>
      </w:r>
      <w:r w:rsidR="00910D9D">
        <w:rPr>
          <w:rFonts w:ascii="Times New Roman" w:hAnsi="Times New Roman" w:cs="Times New Roman"/>
          <w:sz w:val="24"/>
          <w:szCs w:val="24"/>
        </w:rPr>
        <w:t>c</w:t>
      </w:r>
      <w:r>
        <w:rPr>
          <w:rFonts w:ascii="Times New Roman" w:hAnsi="Times New Roman" w:cs="Times New Roman"/>
          <w:sz w:val="24"/>
          <w:szCs w:val="24"/>
        </w:rPr>
        <w:t xml:space="preserve">ourt ignored the </w:t>
      </w:r>
      <w:proofErr w:type="spellStart"/>
      <w:r>
        <w:rPr>
          <w:rFonts w:ascii="Times New Roman" w:hAnsi="Times New Roman" w:cs="Times New Roman"/>
          <w:sz w:val="24"/>
          <w:szCs w:val="24"/>
        </w:rPr>
        <w:t>Zimra</w:t>
      </w:r>
      <w:proofErr w:type="spellEnd"/>
      <w:r>
        <w:rPr>
          <w:rFonts w:ascii="Times New Roman" w:hAnsi="Times New Roman" w:cs="Times New Roman"/>
          <w:sz w:val="24"/>
          <w:szCs w:val="24"/>
        </w:rPr>
        <w:t xml:space="preserve"> Tax </w:t>
      </w:r>
      <w:r w:rsidR="00AF159D">
        <w:rPr>
          <w:rFonts w:ascii="Times New Roman" w:hAnsi="Times New Roman" w:cs="Times New Roman"/>
          <w:sz w:val="24"/>
          <w:szCs w:val="24"/>
        </w:rPr>
        <w:t>C</w:t>
      </w:r>
      <w:r>
        <w:rPr>
          <w:rFonts w:ascii="Times New Roman" w:hAnsi="Times New Roman" w:cs="Times New Roman"/>
          <w:sz w:val="24"/>
          <w:szCs w:val="24"/>
        </w:rPr>
        <w:t>learance Certificate proving that funds from the sale of the s</w:t>
      </w:r>
      <w:r w:rsidR="00A3012A">
        <w:rPr>
          <w:rFonts w:ascii="Times New Roman" w:hAnsi="Times New Roman" w:cs="Times New Roman"/>
          <w:sz w:val="24"/>
          <w:szCs w:val="24"/>
        </w:rPr>
        <w:t>aid</w:t>
      </w:r>
      <w:r>
        <w:rPr>
          <w:rFonts w:ascii="Times New Roman" w:hAnsi="Times New Roman" w:cs="Times New Roman"/>
          <w:sz w:val="24"/>
          <w:szCs w:val="24"/>
        </w:rPr>
        <w:t xml:space="preserve"> appellant’s Westgate property were utilised towards purchasing the aforesaid property.</w:t>
      </w:r>
    </w:p>
    <w:p w14:paraId="37A4B6AE" w14:textId="35C0BB47" w:rsidR="00563EE1" w:rsidRDefault="00563EE1" w:rsidP="00910D9D">
      <w:pPr>
        <w:pStyle w:val="ListParagraph"/>
        <w:numPr>
          <w:ilvl w:val="0"/>
          <w:numId w:val="11"/>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Concomitantly</w:t>
      </w:r>
      <w:r w:rsidR="00BA17E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10D9D">
        <w:rPr>
          <w:rFonts w:ascii="Times New Roman" w:hAnsi="Times New Roman" w:cs="Times New Roman"/>
          <w:sz w:val="24"/>
          <w:szCs w:val="24"/>
        </w:rPr>
        <w:t>c</w:t>
      </w:r>
      <w:r>
        <w:rPr>
          <w:rFonts w:ascii="Times New Roman" w:hAnsi="Times New Roman" w:cs="Times New Roman"/>
          <w:sz w:val="24"/>
          <w:szCs w:val="24"/>
        </w:rPr>
        <w:t xml:space="preserve">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grossly misdirected itself in failing to find that stand Remaining Extent (sic) of Lot 4 </w:t>
      </w:r>
      <w:proofErr w:type="spellStart"/>
      <w:r>
        <w:rPr>
          <w:rFonts w:ascii="Times New Roman" w:hAnsi="Times New Roman" w:cs="Times New Roman"/>
          <w:sz w:val="24"/>
          <w:szCs w:val="24"/>
        </w:rPr>
        <w:t>Chimwemwe</w:t>
      </w:r>
      <w:proofErr w:type="spellEnd"/>
      <w:r>
        <w:rPr>
          <w:rFonts w:ascii="Times New Roman" w:hAnsi="Times New Roman" w:cs="Times New Roman"/>
          <w:sz w:val="24"/>
          <w:szCs w:val="24"/>
        </w:rPr>
        <w:t xml:space="preserve"> of Subdivision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 Kingsmead Extension of Borrowdale Estate being a purchase from the proceedings from the sale of the appellant’s Westgate property ought to have been awarded to the appellant.</w:t>
      </w:r>
    </w:p>
    <w:p w14:paraId="450100A3" w14:textId="77777777" w:rsidR="006041AD" w:rsidRPr="006041AD" w:rsidRDefault="006041AD" w:rsidP="006041AD">
      <w:pPr>
        <w:pStyle w:val="ListParagraph"/>
        <w:rPr>
          <w:rFonts w:ascii="Times New Roman" w:hAnsi="Times New Roman" w:cs="Times New Roman"/>
          <w:sz w:val="24"/>
          <w:szCs w:val="24"/>
        </w:rPr>
      </w:pPr>
    </w:p>
    <w:p w14:paraId="5282355F" w14:textId="6FDD1435" w:rsidR="00BC73E5" w:rsidRDefault="00BB325D" w:rsidP="00910D9D">
      <w:pPr>
        <w:pStyle w:val="ListParagraph"/>
        <w:numPr>
          <w:ilvl w:val="0"/>
          <w:numId w:val="11"/>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910D9D">
        <w:rPr>
          <w:rFonts w:ascii="Times New Roman" w:hAnsi="Times New Roman" w:cs="Times New Roman"/>
          <w:sz w:val="24"/>
          <w:szCs w:val="24"/>
        </w:rPr>
        <w:t>c</w:t>
      </w:r>
      <w:r>
        <w:rPr>
          <w:rFonts w:ascii="Times New Roman" w:hAnsi="Times New Roman" w:cs="Times New Roman"/>
          <w:sz w:val="24"/>
          <w:szCs w:val="24"/>
        </w:rPr>
        <w:t xml:space="preserve">ourt </w:t>
      </w:r>
      <w:r>
        <w:rPr>
          <w:rFonts w:ascii="Times New Roman" w:hAnsi="Times New Roman" w:cs="Times New Roman"/>
          <w:i/>
          <w:sz w:val="24"/>
          <w:szCs w:val="24"/>
        </w:rPr>
        <w:t xml:space="preserve">a quo </w:t>
      </w:r>
      <w:r>
        <w:rPr>
          <w:rFonts w:ascii="Times New Roman" w:hAnsi="Times New Roman" w:cs="Times New Roman"/>
          <w:sz w:val="24"/>
          <w:szCs w:val="24"/>
        </w:rPr>
        <w:t>grossly erred at law in failing to consider evidence establishing the conduct of the parties in accordance with s 7 (4) of the Matrimonial Causes Act and how they related</w:t>
      </w:r>
      <w:r w:rsidR="00BC73E5">
        <w:rPr>
          <w:rFonts w:ascii="Times New Roman" w:hAnsi="Times New Roman" w:cs="Times New Roman"/>
          <w:sz w:val="24"/>
          <w:szCs w:val="24"/>
        </w:rPr>
        <w:t xml:space="preserve"> to the properties during the subsistence of the marriage.  Particularly, the erroneously (sic) disregarded an email dated 14</w:t>
      </w:r>
      <w:r w:rsidR="00BC73E5" w:rsidRPr="00BC73E5">
        <w:rPr>
          <w:rFonts w:ascii="Times New Roman" w:hAnsi="Times New Roman" w:cs="Times New Roman"/>
          <w:sz w:val="24"/>
          <w:szCs w:val="24"/>
          <w:vertAlign w:val="superscript"/>
        </w:rPr>
        <w:t>th</w:t>
      </w:r>
      <w:r w:rsidR="00BC73E5">
        <w:rPr>
          <w:rFonts w:ascii="Times New Roman" w:hAnsi="Times New Roman" w:cs="Times New Roman"/>
          <w:sz w:val="24"/>
          <w:szCs w:val="24"/>
        </w:rPr>
        <w:t xml:space="preserve"> August 2013 in which the respondent considered Remaining Extent of Lot 4 of </w:t>
      </w:r>
      <w:proofErr w:type="spellStart"/>
      <w:r w:rsidR="00BC73E5">
        <w:rPr>
          <w:rFonts w:ascii="Times New Roman" w:hAnsi="Times New Roman" w:cs="Times New Roman"/>
          <w:sz w:val="24"/>
          <w:szCs w:val="24"/>
        </w:rPr>
        <w:t>Chimwemwe</w:t>
      </w:r>
      <w:proofErr w:type="spellEnd"/>
      <w:r w:rsidR="00BC73E5">
        <w:rPr>
          <w:rFonts w:ascii="Times New Roman" w:hAnsi="Times New Roman" w:cs="Times New Roman"/>
          <w:sz w:val="24"/>
          <w:szCs w:val="24"/>
        </w:rPr>
        <w:t xml:space="preserve"> of Subdivision A of Kingsmead Extension of Borrowdale Estate as property belonging to the appellant.</w:t>
      </w:r>
    </w:p>
    <w:p w14:paraId="68465447" w14:textId="793ED2E7" w:rsidR="007B139D" w:rsidRDefault="00BC73E5" w:rsidP="00910D9D">
      <w:pPr>
        <w:pStyle w:val="ListParagraph"/>
        <w:numPr>
          <w:ilvl w:val="0"/>
          <w:numId w:val="11"/>
        </w:numPr>
        <w:spacing w:after="0" w:line="480" w:lineRule="auto"/>
        <w:ind w:left="851" w:hanging="284"/>
        <w:jc w:val="both"/>
        <w:rPr>
          <w:rFonts w:ascii="Times New Roman" w:hAnsi="Times New Roman" w:cs="Times New Roman"/>
          <w:sz w:val="24"/>
          <w:szCs w:val="24"/>
        </w:rPr>
      </w:pPr>
      <w:r w:rsidRPr="00BC73E5">
        <w:rPr>
          <w:rFonts w:ascii="Times New Roman" w:hAnsi="Times New Roman" w:cs="Times New Roman"/>
          <w:sz w:val="24"/>
          <w:szCs w:val="24"/>
        </w:rPr>
        <w:t xml:space="preserve">The court </w:t>
      </w:r>
      <w:r w:rsidRPr="00BC73E5">
        <w:rPr>
          <w:rFonts w:ascii="Times New Roman" w:hAnsi="Times New Roman" w:cs="Times New Roman"/>
          <w:i/>
          <w:sz w:val="24"/>
          <w:szCs w:val="24"/>
        </w:rPr>
        <w:t xml:space="preserve">a quo </w:t>
      </w:r>
      <w:r w:rsidRPr="00BC73E5">
        <w:rPr>
          <w:rFonts w:ascii="Times New Roman" w:hAnsi="Times New Roman" w:cs="Times New Roman"/>
          <w:sz w:val="24"/>
          <w:szCs w:val="24"/>
        </w:rPr>
        <w:t>grossly misdirected itself in failing to properly consider the circumstances as delimited by s 7 (4) of the Matrimonial Causes</w:t>
      </w:r>
      <w:r w:rsidR="00BA17E6">
        <w:rPr>
          <w:rFonts w:ascii="Times New Roman" w:hAnsi="Times New Roman" w:cs="Times New Roman"/>
          <w:sz w:val="24"/>
          <w:szCs w:val="24"/>
        </w:rPr>
        <w:t xml:space="preserve"> Act</w:t>
      </w:r>
      <w:r w:rsidRPr="00BC73E5">
        <w:rPr>
          <w:rFonts w:ascii="Times New Roman" w:hAnsi="Times New Roman" w:cs="Times New Roman"/>
          <w:sz w:val="24"/>
          <w:szCs w:val="24"/>
        </w:rPr>
        <w:t xml:space="preserve"> establishing those circumstances.  The court </w:t>
      </w:r>
      <w:r w:rsidRPr="00BC73E5">
        <w:rPr>
          <w:rFonts w:ascii="Times New Roman" w:hAnsi="Times New Roman" w:cs="Times New Roman"/>
          <w:i/>
          <w:sz w:val="24"/>
          <w:szCs w:val="24"/>
        </w:rPr>
        <w:t xml:space="preserve">a quo </w:t>
      </w:r>
      <w:r w:rsidRPr="00BC73E5">
        <w:rPr>
          <w:rFonts w:ascii="Times New Roman" w:hAnsi="Times New Roman" w:cs="Times New Roman"/>
          <w:sz w:val="24"/>
          <w:szCs w:val="24"/>
        </w:rPr>
        <w:t xml:space="preserve">ought to have awarded the Remaining Extent of Lot 4 of </w:t>
      </w:r>
      <w:proofErr w:type="spellStart"/>
      <w:r w:rsidRPr="00BC73E5">
        <w:rPr>
          <w:rFonts w:ascii="Times New Roman" w:hAnsi="Times New Roman" w:cs="Times New Roman"/>
          <w:sz w:val="24"/>
          <w:szCs w:val="24"/>
        </w:rPr>
        <w:t>Chimwemwe</w:t>
      </w:r>
      <w:proofErr w:type="spellEnd"/>
      <w:r w:rsidRPr="00BC73E5">
        <w:rPr>
          <w:rFonts w:ascii="Times New Roman" w:hAnsi="Times New Roman" w:cs="Times New Roman"/>
          <w:sz w:val="24"/>
          <w:szCs w:val="24"/>
        </w:rPr>
        <w:t xml:space="preserve"> of Subdivision A of Kingsmead Extension of Borrowdale Estate in favour of the appellant.</w:t>
      </w:r>
      <w:r w:rsidR="001E1DB0">
        <w:rPr>
          <w:rFonts w:ascii="Times New Roman" w:hAnsi="Times New Roman" w:cs="Times New Roman"/>
          <w:sz w:val="24"/>
          <w:szCs w:val="24"/>
        </w:rPr>
        <w:t>”</w:t>
      </w:r>
    </w:p>
    <w:p w14:paraId="6D1C0EAB" w14:textId="77777777" w:rsidR="007B139D" w:rsidRDefault="007B139D" w:rsidP="007B139D">
      <w:pPr>
        <w:spacing w:after="0" w:line="240" w:lineRule="auto"/>
        <w:jc w:val="both"/>
        <w:rPr>
          <w:sz w:val="28"/>
          <w:szCs w:val="28"/>
        </w:rPr>
      </w:pPr>
    </w:p>
    <w:p w14:paraId="686B9F05" w14:textId="1DF33E97" w:rsidR="00EE61F0" w:rsidRDefault="00503DBB" w:rsidP="00910D9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With those long-winding</w:t>
      </w:r>
      <w:r w:rsidR="00657FC6">
        <w:rPr>
          <w:rFonts w:ascii="Times New Roman" w:hAnsi="Times New Roman" w:cs="Times New Roman"/>
          <w:sz w:val="24"/>
          <w:szCs w:val="24"/>
        </w:rPr>
        <w:t>,</w:t>
      </w:r>
      <w:r>
        <w:rPr>
          <w:rFonts w:ascii="Times New Roman" w:hAnsi="Times New Roman" w:cs="Times New Roman"/>
          <w:sz w:val="24"/>
          <w:szCs w:val="24"/>
        </w:rPr>
        <w:t xml:space="preserve"> and indeed repetitive grounds of appeal, the appellant sought the setting aside of the award of the matrimonial home to the respondent and that it, instead, be awarded to herself.  The grounds</w:t>
      </w:r>
      <w:r w:rsidR="00EE61F0">
        <w:rPr>
          <w:sz w:val="28"/>
          <w:szCs w:val="28"/>
        </w:rPr>
        <w:t xml:space="preserve"> </w:t>
      </w:r>
      <w:r w:rsidR="00EE61F0" w:rsidRPr="00EE61F0">
        <w:rPr>
          <w:rFonts w:ascii="Times New Roman" w:hAnsi="Times New Roman" w:cs="Times New Roman"/>
          <w:sz w:val="24"/>
          <w:szCs w:val="24"/>
        </w:rPr>
        <w:t>could have been more elegantly drafted but only</w:t>
      </w:r>
      <w:r w:rsidR="00106F74" w:rsidRPr="00EE61F0">
        <w:rPr>
          <w:rFonts w:ascii="Times New Roman" w:hAnsi="Times New Roman" w:cs="Times New Roman"/>
          <w:sz w:val="24"/>
          <w:szCs w:val="24"/>
        </w:rPr>
        <w:t xml:space="preserve"> </w:t>
      </w:r>
      <w:r w:rsidR="00EE61F0">
        <w:rPr>
          <w:rFonts w:ascii="Times New Roman" w:hAnsi="Times New Roman" w:cs="Times New Roman"/>
          <w:sz w:val="24"/>
          <w:szCs w:val="24"/>
        </w:rPr>
        <w:t xml:space="preserve">one issue commends itself for determination from those grounds.  It is: </w:t>
      </w:r>
      <w:r w:rsidR="00657FC6">
        <w:rPr>
          <w:rFonts w:ascii="Times New Roman" w:hAnsi="Times New Roman" w:cs="Times New Roman"/>
          <w:sz w:val="24"/>
          <w:szCs w:val="24"/>
        </w:rPr>
        <w:t>h</w:t>
      </w:r>
      <w:r w:rsidR="00EE61F0">
        <w:rPr>
          <w:rFonts w:ascii="Times New Roman" w:hAnsi="Times New Roman" w:cs="Times New Roman"/>
          <w:sz w:val="24"/>
          <w:szCs w:val="24"/>
        </w:rPr>
        <w:t>ow should the immovable property of the parties be divided between them.</w:t>
      </w:r>
    </w:p>
    <w:p w14:paraId="03C0680C" w14:textId="77777777" w:rsidR="00EE61F0" w:rsidRDefault="00EE61F0" w:rsidP="00E27C58">
      <w:pPr>
        <w:spacing w:after="0" w:line="480" w:lineRule="auto"/>
        <w:ind w:firstLine="1440"/>
        <w:jc w:val="both"/>
        <w:rPr>
          <w:rFonts w:ascii="Times New Roman" w:hAnsi="Times New Roman" w:cs="Times New Roman"/>
          <w:sz w:val="24"/>
          <w:szCs w:val="24"/>
        </w:rPr>
      </w:pPr>
    </w:p>
    <w:p w14:paraId="0764570D" w14:textId="1BB830D0" w:rsidR="00633163" w:rsidRPr="007B139D" w:rsidRDefault="00EE61F0" w:rsidP="00910D9D">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Ms </w:t>
      </w:r>
      <w:proofErr w:type="spellStart"/>
      <w:r w:rsidRPr="006041AD">
        <w:rPr>
          <w:rFonts w:ascii="Times New Roman" w:hAnsi="Times New Roman" w:cs="Times New Roman"/>
          <w:i/>
          <w:sz w:val="24"/>
          <w:szCs w:val="24"/>
        </w:rPr>
        <w:t>Mabwe</w:t>
      </w:r>
      <w:proofErr w:type="spellEnd"/>
      <w:r>
        <w:rPr>
          <w:rFonts w:ascii="Times New Roman" w:hAnsi="Times New Roman" w:cs="Times New Roman"/>
          <w:sz w:val="24"/>
          <w:szCs w:val="24"/>
        </w:rPr>
        <w:t>, who appeared for the appellant</w:t>
      </w:r>
      <w:r w:rsidR="00391892">
        <w:rPr>
          <w:rFonts w:ascii="Times New Roman" w:hAnsi="Times New Roman" w:cs="Times New Roman"/>
          <w:sz w:val="24"/>
          <w:szCs w:val="24"/>
        </w:rPr>
        <w:t>,</w:t>
      </w:r>
      <w:r>
        <w:rPr>
          <w:rFonts w:ascii="Times New Roman" w:hAnsi="Times New Roman" w:cs="Times New Roman"/>
          <w:sz w:val="24"/>
          <w:szCs w:val="24"/>
        </w:rPr>
        <w:t xml:space="preserve"> strongly submitted that even though the court </w:t>
      </w:r>
      <w:r>
        <w:rPr>
          <w:rFonts w:ascii="Times New Roman" w:hAnsi="Times New Roman" w:cs="Times New Roman"/>
          <w:i/>
          <w:sz w:val="24"/>
          <w:szCs w:val="24"/>
        </w:rPr>
        <w:t xml:space="preserve">a quo </w:t>
      </w:r>
      <w:r>
        <w:rPr>
          <w:rFonts w:ascii="Times New Roman" w:hAnsi="Times New Roman" w:cs="Times New Roman"/>
          <w:sz w:val="24"/>
          <w:szCs w:val="24"/>
        </w:rPr>
        <w:t>correctly captured the applicable principle</w:t>
      </w:r>
      <w:r w:rsidR="00391892">
        <w:rPr>
          <w:rFonts w:ascii="Times New Roman" w:hAnsi="Times New Roman" w:cs="Times New Roman"/>
          <w:sz w:val="24"/>
          <w:szCs w:val="24"/>
        </w:rPr>
        <w:t>s</w:t>
      </w:r>
      <w:r>
        <w:rPr>
          <w:rFonts w:ascii="Times New Roman" w:hAnsi="Times New Roman" w:cs="Times New Roman"/>
          <w:sz w:val="24"/>
          <w:szCs w:val="24"/>
        </w:rPr>
        <w:t xml:space="preserve"> set out in the Act for distribution of matrimonial assets, it completely ignored those principles when making the award.  Counsel submitted that the court </w:t>
      </w:r>
      <w:r w:rsidR="007C71E6">
        <w:rPr>
          <w:rFonts w:ascii="Times New Roman" w:hAnsi="Times New Roman" w:cs="Times New Roman"/>
          <w:i/>
          <w:sz w:val="24"/>
          <w:szCs w:val="24"/>
        </w:rPr>
        <w:t xml:space="preserve">a quo </w:t>
      </w:r>
      <w:r w:rsidR="007C71E6">
        <w:rPr>
          <w:rFonts w:ascii="Times New Roman" w:hAnsi="Times New Roman" w:cs="Times New Roman"/>
          <w:sz w:val="24"/>
          <w:szCs w:val="24"/>
        </w:rPr>
        <w:t>strayed after correctly identifying the relevant legal principles, by adverting to s 26 of the Constitution.  According to counsel</w:t>
      </w:r>
      <w:r w:rsidR="00391892">
        <w:rPr>
          <w:rFonts w:ascii="Times New Roman" w:hAnsi="Times New Roman" w:cs="Times New Roman"/>
          <w:sz w:val="24"/>
          <w:szCs w:val="24"/>
        </w:rPr>
        <w:t>,</w:t>
      </w:r>
      <w:r w:rsidR="007C71E6">
        <w:rPr>
          <w:rFonts w:ascii="Times New Roman" w:hAnsi="Times New Roman" w:cs="Times New Roman"/>
          <w:sz w:val="24"/>
          <w:szCs w:val="24"/>
        </w:rPr>
        <w:t xml:space="preserve"> that constitutional provision is not a rights</w:t>
      </w:r>
      <w:r w:rsidR="00391892">
        <w:rPr>
          <w:rFonts w:ascii="Times New Roman" w:hAnsi="Times New Roman" w:cs="Times New Roman"/>
          <w:sz w:val="24"/>
          <w:szCs w:val="24"/>
        </w:rPr>
        <w:t>-</w:t>
      </w:r>
      <w:r w:rsidR="007C71E6">
        <w:rPr>
          <w:rFonts w:ascii="Times New Roman" w:hAnsi="Times New Roman" w:cs="Times New Roman"/>
          <w:sz w:val="24"/>
          <w:szCs w:val="24"/>
        </w:rPr>
        <w:t xml:space="preserve"> creating provision as stated by the Constitutional Court in </w:t>
      </w:r>
      <w:r w:rsidR="007C71E6" w:rsidRPr="007C71E6">
        <w:rPr>
          <w:rFonts w:ascii="Times New Roman" w:hAnsi="Times New Roman" w:cs="Times New Roman"/>
          <w:i/>
          <w:sz w:val="24"/>
          <w:szCs w:val="24"/>
        </w:rPr>
        <w:t xml:space="preserve">S v </w:t>
      </w:r>
      <w:proofErr w:type="spellStart"/>
      <w:r w:rsidR="007C71E6" w:rsidRPr="007C71E6">
        <w:rPr>
          <w:rFonts w:ascii="Times New Roman" w:hAnsi="Times New Roman" w:cs="Times New Roman"/>
          <w:i/>
          <w:sz w:val="24"/>
          <w:szCs w:val="24"/>
        </w:rPr>
        <w:t>Chokuramba</w:t>
      </w:r>
      <w:proofErr w:type="spellEnd"/>
      <w:r w:rsidR="007C71E6" w:rsidRPr="007C71E6">
        <w:rPr>
          <w:rFonts w:ascii="Times New Roman" w:hAnsi="Times New Roman" w:cs="Times New Roman"/>
          <w:i/>
          <w:sz w:val="24"/>
          <w:szCs w:val="24"/>
        </w:rPr>
        <w:t xml:space="preserve"> &amp; O</w:t>
      </w:r>
      <w:r w:rsidR="00910D9D">
        <w:rPr>
          <w:rFonts w:ascii="Times New Roman" w:hAnsi="Times New Roman" w:cs="Times New Roman"/>
          <w:i/>
          <w:sz w:val="24"/>
          <w:szCs w:val="24"/>
        </w:rPr>
        <w:t>the</w:t>
      </w:r>
      <w:r w:rsidR="007C71E6" w:rsidRPr="007C71E6">
        <w:rPr>
          <w:rFonts w:ascii="Times New Roman" w:hAnsi="Times New Roman" w:cs="Times New Roman"/>
          <w:i/>
          <w:sz w:val="24"/>
          <w:szCs w:val="24"/>
        </w:rPr>
        <w:t>rs</w:t>
      </w:r>
      <w:r w:rsidR="007C71E6">
        <w:rPr>
          <w:rFonts w:ascii="Times New Roman" w:hAnsi="Times New Roman" w:cs="Times New Roman"/>
          <w:sz w:val="24"/>
          <w:szCs w:val="24"/>
        </w:rPr>
        <w:t xml:space="preserve"> CCZ 10/19.</w:t>
      </w:r>
      <w:r w:rsidR="00106F74" w:rsidRPr="00EE61F0">
        <w:rPr>
          <w:rFonts w:ascii="Times New Roman" w:hAnsi="Times New Roman" w:cs="Times New Roman"/>
          <w:sz w:val="24"/>
          <w:szCs w:val="24"/>
        </w:rPr>
        <w:t xml:space="preserve">                                                                                                                                                                                                                                                                                                                                                                                                                                                                                                                                                                                                          </w:t>
      </w:r>
      <w:r w:rsidR="00790905" w:rsidRPr="00EE61F0">
        <w:rPr>
          <w:rFonts w:ascii="Times New Roman" w:hAnsi="Times New Roman" w:cs="Times New Roman"/>
          <w:sz w:val="24"/>
          <w:szCs w:val="24"/>
        </w:rPr>
        <w:t xml:space="preserve">                            </w:t>
      </w:r>
    </w:p>
    <w:p w14:paraId="2F6C342A" w14:textId="5373D574" w:rsidR="00F50F51" w:rsidRPr="00F50F51" w:rsidRDefault="007C71E6" w:rsidP="00910D9D">
      <w:pPr>
        <w:pStyle w:val="ListParagraph"/>
        <w:spacing w:line="480" w:lineRule="auto"/>
        <w:ind w:left="0" w:firstLine="1134"/>
        <w:jc w:val="both"/>
        <w:rPr>
          <w:rFonts w:ascii="Times New Roman" w:hAnsi="Times New Roman" w:cs="Times New Roman"/>
          <w:sz w:val="24"/>
          <w:szCs w:val="24"/>
        </w:rPr>
      </w:pPr>
      <w:r w:rsidRPr="007C71E6">
        <w:rPr>
          <w:rFonts w:ascii="Times New Roman" w:hAnsi="Times New Roman" w:cs="Times New Roman"/>
          <w:sz w:val="24"/>
          <w:szCs w:val="24"/>
        </w:rPr>
        <w:lastRenderedPageBreak/>
        <w:t>I</w:t>
      </w:r>
      <w:r w:rsidR="00391892">
        <w:rPr>
          <w:rFonts w:ascii="Times New Roman" w:hAnsi="Times New Roman" w:cs="Times New Roman"/>
          <w:sz w:val="24"/>
          <w:szCs w:val="24"/>
        </w:rPr>
        <w:t>t</w:t>
      </w:r>
      <w:r w:rsidRPr="007C71E6">
        <w:rPr>
          <w:rFonts w:ascii="Times New Roman" w:hAnsi="Times New Roman" w:cs="Times New Roman"/>
          <w:sz w:val="24"/>
          <w:szCs w:val="24"/>
        </w:rPr>
        <w:t xml:space="preserve"> was further submitted </w:t>
      </w:r>
      <w:r>
        <w:rPr>
          <w:rFonts w:ascii="Times New Roman" w:hAnsi="Times New Roman" w:cs="Times New Roman"/>
          <w:sz w:val="24"/>
          <w:szCs w:val="24"/>
        </w:rPr>
        <w:t xml:space="preserve">on behalf of the appellant that, if the court </w:t>
      </w:r>
      <w:r>
        <w:rPr>
          <w:rFonts w:ascii="Times New Roman" w:hAnsi="Times New Roman" w:cs="Times New Roman"/>
          <w:i/>
          <w:sz w:val="24"/>
          <w:szCs w:val="24"/>
        </w:rPr>
        <w:t xml:space="preserve">a quo </w:t>
      </w:r>
      <w:r w:rsidR="00C21B8E">
        <w:rPr>
          <w:rFonts w:ascii="Times New Roman" w:hAnsi="Times New Roman" w:cs="Times New Roman"/>
          <w:sz w:val="24"/>
          <w:szCs w:val="24"/>
        </w:rPr>
        <w:t xml:space="preserve">had had regard to s 7 of the </w:t>
      </w:r>
      <w:r w:rsidR="00391892">
        <w:rPr>
          <w:rFonts w:ascii="Times New Roman" w:hAnsi="Times New Roman" w:cs="Times New Roman"/>
          <w:sz w:val="24"/>
          <w:szCs w:val="24"/>
          <w:lang w:val="en-US"/>
        </w:rPr>
        <w:t>A</w:t>
      </w:r>
      <w:r w:rsidR="00F50F51" w:rsidRPr="00F50F51">
        <w:rPr>
          <w:rFonts w:ascii="Times New Roman" w:hAnsi="Times New Roman" w:cs="Times New Roman"/>
          <w:sz w:val="24"/>
          <w:szCs w:val="24"/>
          <w:lang w:val="en-US"/>
        </w:rPr>
        <w:t>ct, in particular the future earning capacity and obligations of each of the parties and their direct contributions to the acquisition of the properties</w:t>
      </w:r>
      <w:r w:rsidR="00391892">
        <w:rPr>
          <w:rFonts w:ascii="Times New Roman" w:hAnsi="Times New Roman" w:cs="Times New Roman"/>
          <w:sz w:val="24"/>
          <w:szCs w:val="24"/>
          <w:lang w:val="en-US"/>
        </w:rPr>
        <w:t>,</w:t>
      </w:r>
      <w:r w:rsidR="00F50F51" w:rsidRPr="00F50F51">
        <w:rPr>
          <w:rFonts w:ascii="Times New Roman" w:hAnsi="Times New Roman" w:cs="Times New Roman"/>
          <w:sz w:val="24"/>
          <w:szCs w:val="24"/>
          <w:lang w:val="en-US"/>
        </w:rPr>
        <w:t xml:space="preserve"> it would have reali</w:t>
      </w:r>
      <w:r w:rsidR="00391892">
        <w:rPr>
          <w:rFonts w:ascii="Times New Roman" w:hAnsi="Times New Roman" w:cs="Times New Roman"/>
          <w:sz w:val="24"/>
          <w:szCs w:val="24"/>
          <w:lang w:val="en-US"/>
        </w:rPr>
        <w:t>z</w:t>
      </w:r>
      <w:r w:rsidR="00F50F51" w:rsidRPr="00F50F51">
        <w:rPr>
          <w:rFonts w:ascii="Times New Roman" w:hAnsi="Times New Roman" w:cs="Times New Roman"/>
          <w:sz w:val="24"/>
          <w:szCs w:val="24"/>
          <w:lang w:val="en-US"/>
        </w:rPr>
        <w:t xml:space="preserve">ed that registration of title was an insignificant consideration. </w:t>
      </w:r>
    </w:p>
    <w:p w14:paraId="6519E9B3" w14:textId="77777777" w:rsidR="00F50F51" w:rsidRPr="00F50F51" w:rsidRDefault="00F50F51" w:rsidP="006166CA">
      <w:pPr>
        <w:spacing w:after="0" w:line="240" w:lineRule="auto"/>
        <w:jc w:val="both"/>
        <w:rPr>
          <w:rFonts w:ascii="Times New Roman" w:hAnsi="Times New Roman" w:cs="Times New Roman"/>
          <w:sz w:val="24"/>
          <w:szCs w:val="24"/>
          <w:lang w:val="en-US"/>
        </w:rPr>
      </w:pPr>
    </w:p>
    <w:p w14:paraId="2E276BF1" w14:textId="0C19EFDC" w:rsidR="00F50F51" w:rsidRPr="00F50F51" w:rsidRDefault="00F50F51" w:rsidP="00910D9D">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i/>
          <w:sz w:val="24"/>
          <w:szCs w:val="24"/>
          <w:lang w:val="en-US"/>
        </w:rPr>
        <w:t>Per contra</w:t>
      </w:r>
      <w:r w:rsidRPr="00F50F51">
        <w:rPr>
          <w:rFonts w:ascii="Times New Roman" w:hAnsi="Times New Roman" w:cs="Times New Roman"/>
          <w:sz w:val="24"/>
          <w:szCs w:val="24"/>
          <w:lang w:val="en-US"/>
        </w:rPr>
        <w:t xml:space="preserve">, </w:t>
      </w:r>
      <w:proofErr w:type="spellStart"/>
      <w:r w:rsidRPr="00F50F51">
        <w:rPr>
          <w:rFonts w:ascii="Times New Roman" w:hAnsi="Times New Roman" w:cs="Times New Roman"/>
          <w:sz w:val="24"/>
          <w:szCs w:val="24"/>
          <w:lang w:val="en-US"/>
        </w:rPr>
        <w:t>Mr</w:t>
      </w:r>
      <w:proofErr w:type="spellEnd"/>
      <w:r w:rsidRPr="00F50F51">
        <w:rPr>
          <w:rFonts w:ascii="Times New Roman" w:hAnsi="Times New Roman" w:cs="Times New Roman"/>
          <w:sz w:val="24"/>
          <w:szCs w:val="24"/>
          <w:lang w:val="en-US"/>
        </w:rPr>
        <w:t xml:space="preserve"> </w:t>
      </w:r>
      <w:r w:rsidRPr="00F50F51">
        <w:rPr>
          <w:rFonts w:ascii="Times New Roman" w:hAnsi="Times New Roman" w:cs="Times New Roman"/>
          <w:i/>
          <w:sz w:val="24"/>
          <w:szCs w:val="24"/>
          <w:lang w:val="en-US"/>
        </w:rPr>
        <w:t xml:space="preserve">Banda </w:t>
      </w:r>
      <w:r w:rsidRPr="00F50F51">
        <w:rPr>
          <w:rFonts w:ascii="Times New Roman" w:hAnsi="Times New Roman" w:cs="Times New Roman"/>
          <w:sz w:val="24"/>
          <w:szCs w:val="24"/>
          <w:lang w:val="en-US"/>
        </w:rPr>
        <w:t>for the respondent</w:t>
      </w:r>
      <w:r w:rsidR="004651AE">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submitted that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correctly exercised its discretion when it rejected the appellant’s claim bec</w:t>
      </w:r>
      <w:r w:rsidR="004651AE">
        <w:rPr>
          <w:rFonts w:ascii="Times New Roman" w:hAnsi="Times New Roman" w:cs="Times New Roman"/>
          <w:sz w:val="24"/>
          <w:szCs w:val="24"/>
          <w:lang w:val="en-US"/>
        </w:rPr>
        <w:t>ause</w:t>
      </w:r>
      <w:r w:rsidRPr="00F50F51">
        <w:rPr>
          <w:rFonts w:ascii="Times New Roman" w:hAnsi="Times New Roman" w:cs="Times New Roman"/>
          <w:sz w:val="24"/>
          <w:szCs w:val="24"/>
          <w:lang w:val="en-US"/>
        </w:rPr>
        <w:t xml:space="preserve"> he</w:t>
      </w:r>
      <w:r w:rsidR="006166CA">
        <w:rPr>
          <w:rFonts w:ascii="Times New Roman" w:hAnsi="Times New Roman" w:cs="Times New Roman"/>
          <w:sz w:val="24"/>
          <w:szCs w:val="24"/>
          <w:lang w:val="en-US"/>
        </w:rPr>
        <w:t xml:space="preserve">r proposed division was unfair.  </w:t>
      </w:r>
      <w:r w:rsidRPr="00F50F51">
        <w:rPr>
          <w:rFonts w:ascii="Times New Roman" w:hAnsi="Times New Roman" w:cs="Times New Roman"/>
          <w:sz w:val="24"/>
          <w:szCs w:val="24"/>
          <w:lang w:val="en-US"/>
        </w:rPr>
        <w:t xml:space="preserve">Counsel further submitted that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correctly rejected the aspect of the interests of the children regard being had to their majority status at the time of divorce. </w:t>
      </w:r>
    </w:p>
    <w:p w14:paraId="3964D651" w14:textId="77777777" w:rsidR="00F50F51" w:rsidRPr="00F50F51" w:rsidRDefault="00F50F51" w:rsidP="006166CA">
      <w:pPr>
        <w:spacing w:after="0" w:line="240" w:lineRule="auto"/>
        <w:ind w:firstLine="1134"/>
        <w:jc w:val="both"/>
        <w:rPr>
          <w:rFonts w:ascii="Times New Roman" w:hAnsi="Times New Roman" w:cs="Times New Roman"/>
          <w:sz w:val="24"/>
          <w:szCs w:val="24"/>
          <w:lang w:val="en-US"/>
        </w:rPr>
      </w:pPr>
    </w:p>
    <w:p w14:paraId="6C7EAC20" w14:textId="2DCFB533" w:rsidR="00F50F51" w:rsidRPr="00F50F51" w:rsidRDefault="00F50F51" w:rsidP="00910D9D">
      <w:pPr>
        <w:spacing w:after="0" w:line="480" w:lineRule="auto"/>
        <w:ind w:firstLine="1134"/>
        <w:jc w:val="both"/>
        <w:rPr>
          <w:rFonts w:ascii="Times New Roman" w:hAnsi="Times New Roman" w:cs="Times New Roman"/>
          <w:sz w:val="24"/>
          <w:szCs w:val="24"/>
          <w:lang w:val="en-US"/>
        </w:rPr>
      </w:pPr>
      <w:proofErr w:type="spellStart"/>
      <w:r w:rsidRPr="00F50F51">
        <w:rPr>
          <w:rFonts w:ascii="Times New Roman" w:hAnsi="Times New Roman" w:cs="Times New Roman"/>
          <w:sz w:val="24"/>
          <w:szCs w:val="24"/>
          <w:lang w:val="en-US"/>
        </w:rPr>
        <w:t>Mr</w:t>
      </w:r>
      <w:proofErr w:type="spellEnd"/>
      <w:r w:rsidRPr="00F50F51">
        <w:rPr>
          <w:rFonts w:ascii="Times New Roman" w:hAnsi="Times New Roman" w:cs="Times New Roman"/>
          <w:sz w:val="24"/>
          <w:szCs w:val="24"/>
          <w:lang w:val="en-US"/>
        </w:rPr>
        <w:t xml:space="preserve"> </w:t>
      </w:r>
      <w:r w:rsidRPr="00F50F51">
        <w:rPr>
          <w:rFonts w:ascii="Times New Roman" w:hAnsi="Times New Roman" w:cs="Times New Roman"/>
          <w:i/>
          <w:sz w:val="24"/>
          <w:szCs w:val="24"/>
          <w:lang w:val="en-US"/>
        </w:rPr>
        <w:t>Banda</w:t>
      </w:r>
      <w:r w:rsidRPr="00F50F51">
        <w:rPr>
          <w:rFonts w:ascii="Times New Roman" w:hAnsi="Times New Roman" w:cs="Times New Roman"/>
          <w:sz w:val="24"/>
          <w:szCs w:val="24"/>
          <w:lang w:val="en-US"/>
        </w:rPr>
        <w:t xml:space="preserve"> took the view that the division adopted by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was fair because each of the parties was a</w:t>
      </w:r>
      <w:r w:rsidR="006166CA">
        <w:rPr>
          <w:rFonts w:ascii="Times New Roman" w:hAnsi="Times New Roman" w:cs="Times New Roman"/>
          <w:sz w:val="24"/>
          <w:szCs w:val="24"/>
          <w:lang w:val="en-US"/>
        </w:rPr>
        <w:t xml:space="preserve">warded </w:t>
      </w:r>
      <w:r w:rsidR="008B3E1D">
        <w:rPr>
          <w:rFonts w:ascii="Times New Roman" w:hAnsi="Times New Roman" w:cs="Times New Roman"/>
          <w:sz w:val="24"/>
          <w:szCs w:val="24"/>
          <w:lang w:val="en-US"/>
        </w:rPr>
        <w:t>a</w:t>
      </w:r>
      <w:r w:rsidR="006166CA">
        <w:rPr>
          <w:rFonts w:ascii="Times New Roman" w:hAnsi="Times New Roman" w:cs="Times New Roman"/>
          <w:sz w:val="24"/>
          <w:szCs w:val="24"/>
          <w:lang w:val="en-US"/>
        </w:rPr>
        <w:t xml:space="preserve"> “habitable” property.  </w:t>
      </w:r>
      <w:r w:rsidRPr="00F50F51">
        <w:rPr>
          <w:rFonts w:ascii="Times New Roman" w:hAnsi="Times New Roman" w:cs="Times New Roman"/>
          <w:sz w:val="24"/>
          <w:szCs w:val="24"/>
          <w:lang w:val="en-US"/>
        </w:rPr>
        <w:t xml:space="preserve">That way neither of them was rendered homeless. </w:t>
      </w:r>
    </w:p>
    <w:p w14:paraId="529E4B7F" w14:textId="77777777" w:rsidR="00F50F51" w:rsidRPr="00F50F51" w:rsidRDefault="00F50F51" w:rsidP="00F50F51">
      <w:pPr>
        <w:spacing w:after="0" w:line="480" w:lineRule="auto"/>
        <w:ind w:firstLine="1134"/>
        <w:jc w:val="both"/>
        <w:rPr>
          <w:rFonts w:ascii="Times New Roman" w:hAnsi="Times New Roman" w:cs="Times New Roman"/>
          <w:sz w:val="24"/>
          <w:szCs w:val="24"/>
          <w:lang w:val="en-US"/>
        </w:rPr>
      </w:pPr>
    </w:p>
    <w:p w14:paraId="1DC33B5A" w14:textId="44683CFC" w:rsidR="00F50F51" w:rsidRDefault="00F50F51" w:rsidP="00910D9D">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I must point out that after extensive engagement with the court both counsel conceded that an equitable division would be one that accords to each party a fifty percent share of the matrimonial home. </w:t>
      </w:r>
      <w:r w:rsidR="006166CA">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However</w:t>
      </w:r>
      <w:r w:rsidR="00630434">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after being allowed the opportunity to confer with their respective clients</w:t>
      </w:r>
      <w:r w:rsidR="00630434">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counsel could not achieve any further convergence on the modalities of such fifty percent sharing. </w:t>
      </w:r>
      <w:r w:rsidR="006166CA">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Significantly it became common cause that the appellant continues to singularly look after the parties</w:t>
      </w:r>
      <w:r w:rsidR="00630434">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grown up children and to meet their university fees without any assistan</w:t>
      </w:r>
      <w:r w:rsidR="00D36AB1">
        <w:rPr>
          <w:rFonts w:ascii="Times New Roman" w:hAnsi="Times New Roman" w:cs="Times New Roman"/>
          <w:sz w:val="24"/>
          <w:szCs w:val="24"/>
          <w:lang w:val="en-US"/>
        </w:rPr>
        <w:t>ce</w:t>
      </w:r>
      <w:r w:rsidRPr="00F50F51">
        <w:rPr>
          <w:rFonts w:ascii="Times New Roman" w:hAnsi="Times New Roman" w:cs="Times New Roman"/>
          <w:sz w:val="24"/>
          <w:szCs w:val="24"/>
          <w:lang w:val="en-US"/>
        </w:rPr>
        <w:t xml:space="preserve"> from the respondent. </w:t>
      </w:r>
    </w:p>
    <w:p w14:paraId="0473F576" w14:textId="77777777" w:rsidR="00377A10" w:rsidRDefault="00377A10" w:rsidP="006166CA">
      <w:pPr>
        <w:spacing w:after="0" w:line="480" w:lineRule="auto"/>
        <w:ind w:firstLine="1440"/>
        <w:jc w:val="both"/>
        <w:rPr>
          <w:rFonts w:ascii="Times New Roman" w:hAnsi="Times New Roman" w:cs="Times New Roman"/>
          <w:sz w:val="24"/>
          <w:szCs w:val="24"/>
          <w:lang w:val="en-US"/>
        </w:rPr>
      </w:pPr>
    </w:p>
    <w:p w14:paraId="08717741" w14:textId="79DBC712" w:rsidR="00654696" w:rsidRPr="00654696" w:rsidRDefault="00654696" w:rsidP="00377A10">
      <w:pPr>
        <w:spacing w:after="0" w:line="480" w:lineRule="auto"/>
        <w:jc w:val="both"/>
        <w:rPr>
          <w:rFonts w:ascii="Times New Roman" w:hAnsi="Times New Roman" w:cs="Times New Roman"/>
          <w:b/>
          <w:bCs/>
          <w:sz w:val="24"/>
          <w:szCs w:val="24"/>
          <w:u w:val="single"/>
          <w:lang w:val="en-US"/>
        </w:rPr>
      </w:pPr>
      <w:r w:rsidRPr="00654696">
        <w:rPr>
          <w:rFonts w:ascii="Times New Roman" w:hAnsi="Times New Roman" w:cs="Times New Roman"/>
          <w:b/>
          <w:bCs/>
          <w:sz w:val="24"/>
          <w:szCs w:val="24"/>
          <w:u w:val="single"/>
          <w:lang w:val="en-US"/>
        </w:rPr>
        <w:t>THE LAW</w:t>
      </w:r>
    </w:p>
    <w:p w14:paraId="60B99CAD" w14:textId="75C0A895" w:rsidR="00F50F51" w:rsidRPr="00F50F51" w:rsidRDefault="00F50F51" w:rsidP="00F50F51">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The point of departure in discussing the law regulating the division of the assets of spouses at divorce is reference to s 7 (1) of the Act which empowers an appropriate court to make an order with regard to “the division</w:t>
      </w:r>
      <w:r w:rsidR="00654696">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apportionment or distribution of the assets of the </w:t>
      </w:r>
      <w:r w:rsidRPr="00F50F51">
        <w:rPr>
          <w:rFonts w:ascii="Times New Roman" w:hAnsi="Times New Roman" w:cs="Times New Roman"/>
          <w:sz w:val="24"/>
          <w:szCs w:val="24"/>
          <w:lang w:val="en-US"/>
        </w:rPr>
        <w:lastRenderedPageBreak/>
        <w:t>spouses.” What the court has regards to in that endeavor is set out in s 7 (4)</w:t>
      </w:r>
      <w:r w:rsidR="00654696">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which was quoted </w:t>
      </w:r>
      <w:r w:rsidRPr="00654696">
        <w:rPr>
          <w:rFonts w:ascii="Times New Roman" w:hAnsi="Times New Roman" w:cs="Times New Roman"/>
          <w:i/>
          <w:iCs/>
          <w:sz w:val="24"/>
          <w:szCs w:val="24"/>
          <w:lang w:val="en-US"/>
        </w:rPr>
        <w:t xml:space="preserve">in </w:t>
      </w:r>
      <w:proofErr w:type="spellStart"/>
      <w:r w:rsidRPr="00654696">
        <w:rPr>
          <w:rFonts w:ascii="Times New Roman" w:hAnsi="Times New Roman" w:cs="Times New Roman"/>
          <w:i/>
          <w:iCs/>
          <w:sz w:val="24"/>
          <w:szCs w:val="24"/>
          <w:lang w:val="en-US"/>
        </w:rPr>
        <w:t>extenso</w:t>
      </w:r>
      <w:proofErr w:type="spellEnd"/>
      <w:r w:rsidRPr="00F50F51">
        <w:rPr>
          <w:rFonts w:ascii="Times New Roman" w:hAnsi="Times New Roman" w:cs="Times New Roman"/>
          <w:sz w:val="24"/>
          <w:szCs w:val="24"/>
          <w:lang w:val="en-US"/>
        </w:rPr>
        <w:t xml:space="preserve"> by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to wit:</w:t>
      </w:r>
    </w:p>
    <w:p w14:paraId="4BBC77DB" w14:textId="5C379C7A" w:rsidR="00F50F51" w:rsidRPr="00F50F51" w:rsidRDefault="00F50F51" w:rsidP="00910D9D">
      <w:pPr>
        <w:spacing w:line="240" w:lineRule="auto"/>
        <w:ind w:left="993" w:hanging="426"/>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“(a) the income-earning capacity, assets and other financial resources which each spouse and child has or is likely to have in the foreseeable future;</w:t>
      </w:r>
    </w:p>
    <w:p w14:paraId="184EF2B0" w14:textId="35E6CE6C" w:rsidR="00F50F51" w:rsidRPr="00F50F51" w:rsidRDefault="00F50F51" w:rsidP="00910D9D">
      <w:pPr>
        <w:spacing w:line="240" w:lineRule="auto"/>
        <w:ind w:left="993" w:hanging="28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(b) </w:t>
      </w:r>
      <w:proofErr w:type="gramStart"/>
      <w:r w:rsidRPr="00F50F51">
        <w:rPr>
          <w:rFonts w:ascii="Times New Roman" w:hAnsi="Times New Roman" w:cs="Times New Roman"/>
          <w:sz w:val="24"/>
          <w:szCs w:val="24"/>
          <w:lang w:val="en-US"/>
        </w:rPr>
        <w:t>the</w:t>
      </w:r>
      <w:proofErr w:type="gramEnd"/>
      <w:r w:rsidRPr="00F50F51">
        <w:rPr>
          <w:rFonts w:ascii="Times New Roman" w:hAnsi="Times New Roman" w:cs="Times New Roman"/>
          <w:sz w:val="24"/>
          <w:szCs w:val="24"/>
          <w:lang w:val="en-US"/>
        </w:rPr>
        <w:t xml:space="preserve"> financial needs, obligations and responsibilities which each spouse and child has or is likely to have in the foreseeable future;</w:t>
      </w:r>
    </w:p>
    <w:p w14:paraId="27C11385" w14:textId="31873C9C" w:rsidR="00F50F51" w:rsidRPr="00F50F51" w:rsidRDefault="006166CA" w:rsidP="00910D9D">
      <w:pPr>
        <w:spacing w:line="240" w:lineRule="auto"/>
        <w:ind w:left="993" w:hanging="37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50F51" w:rsidRPr="00F50F51">
        <w:rPr>
          <w:rFonts w:ascii="Times New Roman" w:hAnsi="Times New Roman" w:cs="Times New Roman"/>
          <w:sz w:val="24"/>
          <w:szCs w:val="24"/>
          <w:lang w:val="en-US"/>
        </w:rPr>
        <w:t xml:space="preserve">(c) the standard of living of the family, including the manner in which any child was </w:t>
      </w:r>
      <w:r>
        <w:rPr>
          <w:rFonts w:ascii="Times New Roman" w:hAnsi="Times New Roman" w:cs="Times New Roman"/>
          <w:sz w:val="24"/>
          <w:szCs w:val="24"/>
          <w:lang w:val="en-US"/>
        </w:rPr>
        <w:t xml:space="preserve">  </w:t>
      </w:r>
      <w:r w:rsidR="00F50F51" w:rsidRPr="00F50F51">
        <w:rPr>
          <w:rFonts w:ascii="Times New Roman" w:hAnsi="Times New Roman" w:cs="Times New Roman"/>
          <w:sz w:val="24"/>
          <w:szCs w:val="24"/>
          <w:lang w:val="en-US"/>
        </w:rPr>
        <w:t>being educated or trained or expected to be educated or trained;</w:t>
      </w:r>
    </w:p>
    <w:p w14:paraId="35169708" w14:textId="081F5044" w:rsidR="00F50F51" w:rsidRPr="00F50F51" w:rsidRDefault="00F50F51" w:rsidP="00F50F51">
      <w:pPr>
        <w:spacing w:line="240" w:lineRule="auto"/>
        <w:ind w:left="992" w:hanging="28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(d) </w:t>
      </w:r>
      <w:proofErr w:type="gramStart"/>
      <w:r w:rsidRPr="00F50F51">
        <w:rPr>
          <w:rFonts w:ascii="Times New Roman" w:hAnsi="Times New Roman" w:cs="Times New Roman"/>
          <w:sz w:val="24"/>
          <w:szCs w:val="24"/>
          <w:lang w:val="en-US"/>
        </w:rPr>
        <w:t>the</w:t>
      </w:r>
      <w:proofErr w:type="gramEnd"/>
      <w:r w:rsidRPr="00F50F51">
        <w:rPr>
          <w:rFonts w:ascii="Times New Roman" w:hAnsi="Times New Roman" w:cs="Times New Roman"/>
          <w:sz w:val="24"/>
          <w:szCs w:val="24"/>
          <w:lang w:val="en-US"/>
        </w:rPr>
        <w:t xml:space="preserve"> age and physical</w:t>
      </w:r>
      <w:r w:rsidR="00654696">
        <w:rPr>
          <w:rFonts w:ascii="Times New Roman" w:hAnsi="Times New Roman" w:cs="Times New Roman"/>
          <w:sz w:val="24"/>
          <w:szCs w:val="24"/>
          <w:lang w:val="en-US"/>
        </w:rPr>
        <w:t xml:space="preserve"> and</w:t>
      </w:r>
      <w:r w:rsidRPr="00F50F51">
        <w:rPr>
          <w:rFonts w:ascii="Times New Roman" w:hAnsi="Times New Roman" w:cs="Times New Roman"/>
          <w:sz w:val="24"/>
          <w:szCs w:val="24"/>
          <w:lang w:val="en-US"/>
        </w:rPr>
        <w:t xml:space="preserve"> mental condition of each spouse or child; </w:t>
      </w:r>
    </w:p>
    <w:p w14:paraId="3EACCCD9" w14:textId="15D83E4D" w:rsidR="00F50F51" w:rsidRPr="00F50F51" w:rsidRDefault="00653A76" w:rsidP="00653A76">
      <w:pPr>
        <w:spacing w:line="240" w:lineRule="auto"/>
        <w:ind w:left="993" w:hanging="28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00F50F51" w:rsidRPr="00F50F51">
        <w:rPr>
          <w:rFonts w:ascii="Times New Roman" w:hAnsi="Times New Roman" w:cs="Times New Roman"/>
          <w:sz w:val="24"/>
          <w:szCs w:val="24"/>
          <w:lang w:val="en-US"/>
        </w:rPr>
        <w:t>the direct or indirect contribution made by each spouse to the family</w:t>
      </w:r>
      <w:r w:rsidR="00654696">
        <w:rPr>
          <w:rFonts w:ascii="Times New Roman" w:hAnsi="Times New Roman" w:cs="Times New Roman"/>
          <w:sz w:val="24"/>
          <w:szCs w:val="24"/>
          <w:lang w:val="en-US"/>
        </w:rPr>
        <w:t>,</w:t>
      </w:r>
      <w:r w:rsidR="00F50F51" w:rsidRPr="00F50F51">
        <w:rPr>
          <w:rFonts w:ascii="Times New Roman" w:hAnsi="Times New Roman" w:cs="Times New Roman"/>
          <w:sz w:val="24"/>
          <w:szCs w:val="24"/>
          <w:lang w:val="en-US"/>
        </w:rPr>
        <w:t xml:space="preserve"> including contributions made by looking after the home and caring for the family and any other domestic duties; </w:t>
      </w:r>
    </w:p>
    <w:p w14:paraId="063B6A7E" w14:textId="23DAD6DB" w:rsidR="00F50F51" w:rsidRPr="00F50F51" w:rsidRDefault="00F50F51" w:rsidP="00653A76">
      <w:pPr>
        <w:spacing w:line="240" w:lineRule="auto"/>
        <w:ind w:left="993" w:hanging="285"/>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(f) </w:t>
      </w:r>
      <w:proofErr w:type="gramStart"/>
      <w:r w:rsidRPr="00F50F51">
        <w:rPr>
          <w:rFonts w:ascii="Times New Roman" w:hAnsi="Times New Roman" w:cs="Times New Roman"/>
          <w:sz w:val="24"/>
          <w:szCs w:val="24"/>
          <w:lang w:val="en-US"/>
        </w:rPr>
        <w:t>the</w:t>
      </w:r>
      <w:proofErr w:type="gramEnd"/>
      <w:r w:rsidRPr="00F50F51">
        <w:rPr>
          <w:rFonts w:ascii="Times New Roman" w:hAnsi="Times New Roman" w:cs="Times New Roman"/>
          <w:sz w:val="24"/>
          <w:szCs w:val="24"/>
          <w:lang w:val="en-US"/>
        </w:rPr>
        <w:t xml:space="preserve"> value to either of the spouses or to any child of any benefit, including a pension or gratuity which such spouse or child will lose as a result of the dissolution of the marriage;</w:t>
      </w:r>
    </w:p>
    <w:p w14:paraId="231947CE" w14:textId="1FBAF67C" w:rsidR="00654696" w:rsidRDefault="00F50F51" w:rsidP="00684A50">
      <w:pPr>
        <w:spacing w:line="240" w:lineRule="auto"/>
        <w:ind w:left="992" w:hanging="28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(g) </w:t>
      </w:r>
      <w:proofErr w:type="gramStart"/>
      <w:r w:rsidRPr="00F50F51">
        <w:rPr>
          <w:rFonts w:ascii="Times New Roman" w:hAnsi="Times New Roman" w:cs="Times New Roman"/>
          <w:sz w:val="24"/>
          <w:szCs w:val="24"/>
          <w:lang w:val="en-US"/>
        </w:rPr>
        <w:t>the</w:t>
      </w:r>
      <w:proofErr w:type="gramEnd"/>
      <w:r w:rsidRPr="00F50F51">
        <w:rPr>
          <w:rFonts w:ascii="Times New Roman" w:hAnsi="Times New Roman" w:cs="Times New Roman"/>
          <w:sz w:val="24"/>
          <w:szCs w:val="24"/>
          <w:lang w:val="en-US"/>
        </w:rPr>
        <w:t xml:space="preserve"> duration of the marriage; </w:t>
      </w:r>
    </w:p>
    <w:p w14:paraId="30710618" w14:textId="1DBD836E" w:rsidR="00F50F51" w:rsidRDefault="00F50F51" w:rsidP="00653A76">
      <w:pPr>
        <w:spacing w:after="0" w:line="240" w:lineRule="auto"/>
        <w:ind w:left="992"/>
        <w:jc w:val="both"/>
        <w:rPr>
          <w:rFonts w:ascii="Times New Roman" w:hAnsi="Times New Roman" w:cs="Times New Roman"/>
          <w:sz w:val="24"/>
          <w:szCs w:val="24"/>
          <w:lang w:val="en-US"/>
        </w:rPr>
      </w:pPr>
      <w:r w:rsidRPr="00684A50">
        <w:rPr>
          <w:rFonts w:ascii="Times New Roman" w:hAnsi="Times New Roman" w:cs="Times New Roman"/>
          <w:sz w:val="24"/>
          <w:szCs w:val="24"/>
          <w:u w:val="single"/>
          <w:lang w:val="en-US"/>
        </w:rPr>
        <w:t>and in so doing the court shall endeavor as far as is reasonable and practicable and, havin</w:t>
      </w:r>
      <w:r w:rsidR="00654696">
        <w:rPr>
          <w:rFonts w:ascii="Times New Roman" w:hAnsi="Times New Roman" w:cs="Times New Roman"/>
          <w:sz w:val="24"/>
          <w:szCs w:val="24"/>
          <w:u w:val="single"/>
          <w:lang w:val="en-US"/>
        </w:rPr>
        <w:t>g</w:t>
      </w:r>
      <w:r w:rsidRPr="00684A50">
        <w:rPr>
          <w:rFonts w:ascii="Times New Roman" w:hAnsi="Times New Roman" w:cs="Times New Roman"/>
          <w:sz w:val="24"/>
          <w:szCs w:val="24"/>
          <w:u w:val="single"/>
          <w:lang w:val="en-US"/>
        </w:rPr>
        <w:t xml:space="preserve"> regard to their conduct, is just to do so, to place the spouse</w:t>
      </w:r>
      <w:r w:rsidR="006F3197">
        <w:rPr>
          <w:rFonts w:ascii="Times New Roman" w:hAnsi="Times New Roman" w:cs="Times New Roman"/>
          <w:sz w:val="24"/>
          <w:szCs w:val="24"/>
          <w:u w:val="single"/>
          <w:lang w:val="en-US"/>
        </w:rPr>
        <w:t>s</w:t>
      </w:r>
      <w:r w:rsidRPr="00684A50">
        <w:rPr>
          <w:rFonts w:ascii="Times New Roman" w:hAnsi="Times New Roman" w:cs="Times New Roman"/>
          <w:sz w:val="24"/>
          <w:szCs w:val="24"/>
          <w:u w:val="single"/>
          <w:lang w:val="en-US"/>
        </w:rPr>
        <w:t xml:space="preserve"> and children in the position they would have been in had a normal marriage relationship continued between the spouses</w:t>
      </w:r>
      <w:r w:rsidRPr="00F50F51">
        <w:rPr>
          <w:rFonts w:ascii="Times New Roman" w:hAnsi="Times New Roman" w:cs="Times New Roman"/>
          <w:sz w:val="24"/>
          <w:szCs w:val="24"/>
          <w:lang w:val="en-US"/>
        </w:rPr>
        <w:t>.” (</w:t>
      </w:r>
      <w:r w:rsidR="00327AF1" w:rsidRPr="00F50F51">
        <w:rPr>
          <w:rFonts w:ascii="Times New Roman" w:hAnsi="Times New Roman" w:cs="Times New Roman"/>
          <w:sz w:val="24"/>
          <w:szCs w:val="24"/>
          <w:lang w:val="en-US"/>
        </w:rPr>
        <w:t>Underlining</w:t>
      </w:r>
      <w:r w:rsidRPr="00F50F51">
        <w:rPr>
          <w:rFonts w:ascii="Times New Roman" w:hAnsi="Times New Roman" w:cs="Times New Roman"/>
          <w:sz w:val="24"/>
          <w:szCs w:val="24"/>
          <w:lang w:val="en-US"/>
        </w:rPr>
        <w:t xml:space="preserve"> is mine) </w:t>
      </w:r>
    </w:p>
    <w:p w14:paraId="7B038189" w14:textId="77777777" w:rsidR="00684A50" w:rsidRPr="00F50F51" w:rsidRDefault="00684A50" w:rsidP="00653A76">
      <w:pPr>
        <w:spacing w:after="0" w:line="240" w:lineRule="auto"/>
        <w:ind w:left="992" w:hanging="284"/>
        <w:jc w:val="both"/>
        <w:rPr>
          <w:rFonts w:ascii="Times New Roman" w:hAnsi="Times New Roman" w:cs="Times New Roman"/>
          <w:sz w:val="24"/>
          <w:szCs w:val="24"/>
          <w:lang w:val="en-US"/>
        </w:rPr>
      </w:pPr>
    </w:p>
    <w:p w14:paraId="508D5529" w14:textId="77777777" w:rsidR="00F50F51" w:rsidRPr="00F50F51" w:rsidRDefault="00F50F51" w:rsidP="00F50F51">
      <w:pPr>
        <w:spacing w:after="0" w:line="240" w:lineRule="auto"/>
        <w:ind w:left="567"/>
        <w:jc w:val="both"/>
        <w:rPr>
          <w:rFonts w:ascii="Times New Roman" w:hAnsi="Times New Roman" w:cs="Times New Roman"/>
          <w:sz w:val="24"/>
          <w:szCs w:val="24"/>
          <w:lang w:val="en-US"/>
        </w:rPr>
      </w:pPr>
    </w:p>
    <w:p w14:paraId="5908F16A" w14:textId="2506F2EE" w:rsidR="00F50F51" w:rsidRPr="00F50F51" w:rsidRDefault="00F50F51" w:rsidP="00975C60">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Clearly therefore, the law provides a wide range of factors that go into the division of the assets thereby giving the court an extremely wide, if not unfettered, d</w:t>
      </w:r>
      <w:r w:rsidR="00684A50">
        <w:rPr>
          <w:rFonts w:ascii="Times New Roman" w:hAnsi="Times New Roman" w:cs="Times New Roman"/>
          <w:sz w:val="24"/>
          <w:szCs w:val="24"/>
          <w:lang w:val="en-US"/>
        </w:rPr>
        <w:t xml:space="preserve">iscretion to divide the assets.  </w:t>
      </w:r>
      <w:r w:rsidRPr="00F50F51">
        <w:rPr>
          <w:rFonts w:ascii="Times New Roman" w:hAnsi="Times New Roman" w:cs="Times New Roman"/>
          <w:sz w:val="24"/>
          <w:szCs w:val="24"/>
          <w:lang w:val="en-US"/>
        </w:rPr>
        <w:t>In doing so, the overa</w:t>
      </w:r>
      <w:r w:rsidR="00EC23B8">
        <w:rPr>
          <w:rFonts w:ascii="Times New Roman" w:hAnsi="Times New Roman" w:cs="Times New Roman"/>
          <w:sz w:val="24"/>
          <w:szCs w:val="24"/>
          <w:lang w:val="en-US"/>
        </w:rPr>
        <w:t>rch</w:t>
      </w:r>
      <w:r w:rsidRPr="00F50F51">
        <w:rPr>
          <w:rFonts w:ascii="Times New Roman" w:hAnsi="Times New Roman" w:cs="Times New Roman"/>
          <w:sz w:val="24"/>
          <w:szCs w:val="24"/>
          <w:lang w:val="en-US"/>
        </w:rPr>
        <w:t xml:space="preserve">ing consideration is to place the parties in the position they would have occupied if the marriage had continued, as far as possible in the circumstances. </w:t>
      </w:r>
    </w:p>
    <w:p w14:paraId="49E175A9" w14:textId="77777777" w:rsidR="00C72BE2" w:rsidRDefault="00C72BE2" w:rsidP="00C72BE2">
      <w:pPr>
        <w:spacing w:line="480" w:lineRule="auto"/>
        <w:jc w:val="both"/>
        <w:rPr>
          <w:rFonts w:ascii="Times New Roman" w:hAnsi="Times New Roman" w:cs="Times New Roman"/>
          <w:sz w:val="24"/>
          <w:szCs w:val="24"/>
          <w:lang w:val="en-US"/>
        </w:rPr>
      </w:pPr>
    </w:p>
    <w:p w14:paraId="0D27A1AF" w14:textId="77D86F01" w:rsidR="00F50F51" w:rsidRPr="00F50F51" w:rsidRDefault="00F50F51" w:rsidP="00C72BE2">
      <w:pPr>
        <w:spacing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It is significant that s 7 does not recognize the </w:t>
      </w:r>
      <w:proofErr w:type="spellStart"/>
      <w:r w:rsidRPr="00F50F51">
        <w:rPr>
          <w:rFonts w:ascii="Times New Roman" w:hAnsi="Times New Roman" w:cs="Times New Roman"/>
          <w:sz w:val="24"/>
          <w:szCs w:val="24"/>
          <w:lang w:val="en-US"/>
        </w:rPr>
        <w:t>spect</w:t>
      </w:r>
      <w:r w:rsidR="0099257C">
        <w:rPr>
          <w:rFonts w:ascii="Times New Roman" w:hAnsi="Times New Roman" w:cs="Times New Roman"/>
          <w:sz w:val="24"/>
          <w:szCs w:val="24"/>
          <w:lang w:val="en-US"/>
        </w:rPr>
        <w:t>re</w:t>
      </w:r>
      <w:proofErr w:type="spellEnd"/>
      <w:r w:rsidRPr="00F50F51">
        <w:rPr>
          <w:rFonts w:ascii="Times New Roman" w:hAnsi="Times New Roman" w:cs="Times New Roman"/>
          <w:sz w:val="24"/>
          <w:szCs w:val="24"/>
          <w:lang w:val="en-US"/>
        </w:rPr>
        <w:t xml:space="preserve"> of registration of property as an important consideration in the division except that s 7 (3) protects certain types of property from the long reach of the court. </w:t>
      </w:r>
      <w:r w:rsidR="00684A50">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The property forming the subject of this appeal does not fall under the exclusionary provision</w:t>
      </w:r>
      <w:r w:rsidR="00723D7D">
        <w:rPr>
          <w:rFonts w:ascii="Times New Roman" w:hAnsi="Times New Roman" w:cs="Times New Roman"/>
          <w:sz w:val="24"/>
          <w:szCs w:val="24"/>
          <w:lang w:val="en-US"/>
        </w:rPr>
        <w:t>s</w:t>
      </w:r>
      <w:r w:rsidRPr="00F50F51">
        <w:rPr>
          <w:rFonts w:ascii="Times New Roman" w:hAnsi="Times New Roman" w:cs="Times New Roman"/>
          <w:sz w:val="24"/>
          <w:szCs w:val="24"/>
          <w:lang w:val="en-US"/>
        </w:rPr>
        <w:t xml:space="preserve"> of subs (3). </w:t>
      </w:r>
      <w:r w:rsidR="00684A50">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Yet subs (1) specifically empowers the court, where appropriate, to order the transfer of property from one spouse to the other.</w:t>
      </w:r>
      <w:r w:rsidR="00843A09">
        <w:rPr>
          <w:rFonts w:ascii="Times New Roman" w:hAnsi="Times New Roman" w:cs="Times New Roman"/>
          <w:sz w:val="24"/>
          <w:szCs w:val="24"/>
          <w:lang w:val="en-US"/>
        </w:rPr>
        <w:t xml:space="preserve"> Having said </w:t>
      </w:r>
      <w:r w:rsidR="00843A09">
        <w:rPr>
          <w:rFonts w:ascii="Times New Roman" w:hAnsi="Times New Roman" w:cs="Times New Roman"/>
          <w:sz w:val="24"/>
          <w:szCs w:val="24"/>
          <w:lang w:val="en-US"/>
        </w:rPr>
        <w:lastRenderedPageBreak/>
        <w:t xml:space="preserve">that, it becomes apparent that what the court </w:t>
      </w:r>
      <w:r w:rsidR="00843A09" w:rsidRPr="00843A09">
        <w:rPr>
          <w:rFonts w:ascii="Times New Roman" w:hAnsi="Times New Roman" w:cs="Times New Roman"/>
          <w:i/>
          <w:iCs/>
          <w:sz w:val="24"/>
          <w:szCs w:val="24"/>
          <w:lang w:val="en-US"/>
        </w:rPr>
        <w:t>a quo</w:t>
      </w:r>
      <w:r w:rsidR="00843A09">
        <w:rPr>
          <w:rFonts w:ascii="Times New Roman" w:hAnsi="Times New Roman" w:cs="Times New Roman"/>
          <w:sz w:val="24"/>
          <w:szCs w:val="24"/>
          <w:lang w:val="en-US"/>
        </w:rPr>
        <w:t xml:space="preserve"> regarded as a matter of life and death, the registration of title, was only a footnote in the broader scheme of things.</w:t>
      </w:r>
      <w:r w:rsidRPr="00F50F51">
        <w:rPr>
          <w:rFonts w:ascii="Times New Roman" w:hAnsi="Times New Roman" w:cs="Times New Roman"/>
          <w:sz w:val="24"/>
          <w:szCs w:val="24"/>
          <w:lang w:val="en-US"/>
        </w:rPr>
        <w:t xml:space="preserve"> </w:t>
      </w:r>
    </w:p>
    <w:p w14:paraId="44726A20" w14:textId="77777777" w:rsidR="00F50F51" w:rsidRPr="00F50F51" w:rsidRDefault="00F50F51" w:rsidP="00377A10">
      <w:pPr>
        <w:spacing w:after="0" w:line="240" w:lineRule="auto"/>
        <w:ind w:firstLine="1134"/>
        <w:jc w:val="both"/>
        <w:rPr>
          <w:rFonts w:ascii="Times New Roman" w:hAnsi="Times New Roman" w:cs="Times New Roman"/>
          <w:sz w:val="24"/>
          <w:szCs w:val="24"/>
          <w:lang w:val="en-US"/>
        </w:rPr>
      </w:pPr>
    </w:p>
    <w:p w14:paraId="745E2643" w14:textId="0A67DE6B" w:rsidR="00F50F51" w:rsidRPr="00F50F51" w:rsidRDefault="00F50F51" w:rsidP="00F50F51">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The provision</w:t>
      </w:r>
      <w:r w:rsidR="006F3197">
        <w:rPr>
          <w:rFonts w:ascii="Times New Roman" w:hAnsi="Times New Roman" w:cs="Times New Roman"/>
          <w:sz w:val="24"/>
          <w:szCs w:val="24"/>
          <w:lang w:val="en-US"/>
        </w:rPr>
        <w:t>s</w:t>
      </w:r>
      <w:r w:rsidRPr="00F50F51">
        <w:rPr>
          <w:rFonts w:ascii="Times New Roman" w:hAnsi="Times New Roman" w:cs="Times New Roman"/>
          <w:sz w:val="24"/>
          <w:szCs w:val="24"/>
          <w:lang w:val="en-US"/>
        </w:rPr>
        <w:t xml:space="preserve"> of s 7 have been subjected to judicial interpretation in a number of cases. Some of the most recent cases include </w:t>
      </w:r>
      <w:proofErr w:type="spellStart"/>
      <w:r w:rsidRPr="00F50F51">
        <w:rPr>
          <w:rFonts w:ascii="Times New Roman" w:hAnsi="Times New Roman" w:cs="Times New Roman"/>
          <w:i/>
          <w:sz w:val="24"/>
          <w:szCs w:val="24"/>
          <w:lang w:val="en-US"/>
        </w:rPr>
        <w:t>Mhora</w:t>
      </w:r>
      <w:proofErr w:type="spellEnd"/>
      <w:r w:rsidRPr="00F50F51">
        <w:rPr>
          <w:rFonts w:ascii="Times New Roman" w:hAnsi="Times New Roman" w:cs="Times New Roman"/>
          <w:i/>
          <w:sz w:val="24"/>
          <w:szCs w:val="24"/>
          <w:lang w:val="en-US"/>
        </w:rPr>
        <w:t xml:space="preserve"> v </w:t>
      </w:r>
      <w:proofErr w:type="spellStart"/>
      <w:r w:rsidRPr="00F50F51">
        <w:rPr>
          <w:rFonts w:ascii="Times New Roman" w:hAnsi="Times New Roman" w:cs="Times New Roman"/>
          <w:i/>
          <w:sz w:val="24"/>
          <w:szCs w:val="24"/>
          <w:lang w:val="en-US"/>
        </w:rPr>
        <w:t>Mhora</w:t>
      </w:r>
      <w:proofErr w:type="spellEnd"/>
      <w:r w:rsidRPr="00F50F51">
        <w:rPr>
          <w:rFonts w:ascii="Times New Roman" w:hAnsi="Times New Roman" w:cs="Times New Roman"/>
          <w:i/>
          <w:sz w:val="24"/>
          <w:szCs w:val="24"/>
          <w:lang w:val="en-US"/>
        </w:rPr>
        <w:t xml:space="preserve"> </w:t>
      </w:r>
      <w:r w:rsidRPr="00F50F51">
        <w:rPr>
          <w:rFonts w:ascii="Times New Roman" w:hAnsi="Times New Roman" w:cs="Times New Roman"/>
          <w:sz w:val="24"/>
          <w:szCs w:val="24"/>
          <w:lang w:val="en-US"/>
        </w:rPr>
        <w:t xml:space="preserve">SC 89/20 where this Court stated at p 12: </w:t>
      </w:r>
    </w:p>
    <w:p w14:paraId="5AEED3F8" w14:textId="54F85494" w:rsidR="00F50F51" w:rsidRPr="00F50F51" w:rsidRDefault="00F50F51" w:rsidP="00C72BE2">
      <w:pPr>
        <w:spacing w:after="0" w:line="240" w:lineRule="auto"/>
        <w:ind w:left="567"/>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“It is trite that in matters involving the distribution of property, the court has to exercise </w:t>
      </w:r>
      <w:r w:rsidR="00684A50">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its discretion in deciding what is a just and equitable distribution of the parties</w:t>
      </w:r>
      <w:r w:rsidR="00B159FE">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property. As a result, a lot of authorities</w:t>
      </w:r>
      <w:r w:rsidR="00B159FE">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in construing s 7 as a whole</w:t>
      </w:r>
      <w:r w:rsidR="00B159FE">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refer to the need to achieve an equitable distribution of the assets of the spouses consequent upon the grant of a decree of divorce. This Court’s view on the discretion of the trial court on the distribution of assets of the parties was aptly stated in the </w:t>
      </w:r>
      <w:proofErr w:type="spellStart"/>
      <w:r w:rsidRPr="00F50F51">
        <w:rPr>
          <w:rFonts w:ascii="Times New Roman" w:hAnsi="Times New Roman" w:cs="Times New Roman"/>
          <w:i/>
          <w:sz w:val="24"/>
          <w:szCs w:val="24"/>
          <w:lang w:val="en-US"/>
        </w:rPr>
        <w:t>Ncube</w:t>
      </w:r>
      <w:proofErr w:type="spellEnd"/>
      <w:r w:rsidRPr="00F50F51">
        <w:rPr>
          <w:rFonts w:ascii="Times New Roman" w:hAnsi="Times New Roman" w:cs="Times New Roman"/>
          <w:sz w:val="24"/>
          <w:szCs w:val="24"/>
          <w:lang w:val="en-US"/>
        </w:rPr>
        <w:t xml:space="preserve"> case, </w:t>
      </w:r>
      <w:r w:rsidRPr="00F50F51">
        <w:rPr>
          <w:rFonts w:ascii="Times New Roman" w:hAnsi="Times New Roman" w:cs="Times New Roman"/>
          <w:i/>
          <w:sz w:val="24"/>
          <w:szCs w:val="24"/>
          <w:lang w:val="en-US"/>
        </w:rPr>
        <w:t>supra</w:t>
      </w:r>
      <w:r w:rsidRPr="00F50F51">
        <w:rPr>
          <w:rFonts w:ascii="Times New Roman" w:hAnsi="Times New Roman" w:cs="Times New Roman"/>
          <w:sz w:val="24"/>
          <w:szCs w:val="24"/>
          <w:lang w:val="en-US"/>
        </w:rPr>
        <w:t xml:space="preserve">, at p 41A where the court said:  </w:t>
      </w:r>
    </w:p>
    <w:p w14:paraId="1746C636" w14:textId="77777777" w:rsidR="00F50F51" w:rsidRPr="00F50F51" w:rsidRDefault="00F50F51" w:rsidP="00F50F51">
      <w:pPr>
        <w:spacing w:after="0" w:line="240" w:lineRule="auto"/>
        <w:ind w:left="709" w:hanging="142"/>
        <w:jc w:val="both"/>
        <w:rPr>
          <w:rFonts w:ascii="Times New Roman" w:hAnsi="Times New Roman" w:cs="Times New Roman"/>
          <w:sz w:val="24"/>
          <w:szCs w:val="24"/>
          <w:lang w:val="en-US"/>
        </w:rPr>
      </w:pPr>
    </w:p>
    <w:p w14:paraId="112EB56D" w14:textId="55D1A06F" w:rsidR="00F50F51" w:rsidRDefault="00F50F51" w:rsidP="00C72BE2">
      <w:pPr>
        <w:spacing w:after="0" w:line="240" w:lineRule="auto"/>
        <w:ind w:left="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‘the determination of the strict property rights of each spouse in such circumstances involving, as it may, factors that are not easily quantifiable in terms of money, is invariably of theoretical exercise for which the courts are indubitably imbued with wide discretion’”. (</w:t>
      </w:r>
      <w:r w:rsidR="00684A50" w:rsidRPr="00F50F51">
        <w:rPr>
          <w:rFonts w:ascii="Times New Roman" w:hAnsi="Times New Roman" w:cs="Times New Roman"/>
          <w:sz w:val="24"/>
          <w:szCs w:val="24"/>
          <w:lang w:val="en-US"/>
        </w:rPr>
        <w:t>My</w:t>
      </w:r>
      <w:r w:rsidRPr="00F50F51">
        <w:rPr>
          <w:rFonts w:ascii="Times New Roman" w:hAnsi="Times New Roman" w:cs="Times New Roman"/>
          <w:sz w:val="24"/>
          <w:szCs w:val="24"/>
          <w:lang w:val="en-US"/>
        </w:rPr>
        <w:t xml:space="preserve"> emphasis) </w:t>
      </w:r>
    </w:p>
    <w:p w14:paraId="47F2C5BA" w14:textId="77777777" w:rsidR="000C77DC" w:rsidRPr="00F50F51" w:rsidRDefault="000C77DC" w:rsidP="00C72BE2">
      <w:pPr>
        <w:spacing w:after="0" w:line="240" w:lineRule="auto"/>
        <w:ind w:left="1440"/>
        <w:jc w:val="both"/>
        <w:rPr>
          <w:rFonts w:ascii="Times New Roman" w:hAnsi="Times New Roman" w:cs="Times New Roman"/>
          <w:sz w:val="24"/>
          <w:szCs w:val="24"/>
          <w:lang w:val="en-US"/>
        </w:rPr>
      </w:pPr>
    </w:p>
    <w:p w14:paraId="47985413" w14:textId="77777777" w:rsidR="00F50F51" w:rsidRPr="00F50F51" w:rsidRDefault="00F50F51" w:rsidP="00C72BE2">
      <w:pPr>
        <w:spacing w:after="0" w:line="240" w:lineRule="auto"/>
        <w:ind w:left="709" w:hanging="142"/>
        <w:jc w:val="both"/>
        <w:rPr>
          <w:rFonts w:ascii="Times New Roman" w:hAnsi="Times New Roman" w:cs="Times New Roman"/>
          <w:sz w:val="24"/>
          <w:szCs w:val="24"/>
          <w:lang w:val="en-US"/>
        </w:rPr>
      </w:pPr>
    </w:p>
    <w:p w14:paraId="39DE3F22" w14:textId="2EB92F17" w:rsidR="00F50F51" w:rsidRPr="00F50F51" w:rsidRDefault="00F50F51" w:rsidP="00C72BE2">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Slightly earlier than that</w:t>
      </w:r>
      <w:r w:rsidR="006D1A3B">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the court had extensively discussed the implications of </w:t>
      </w:r>
      <w:r w:rsidR="00C72BE2">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 xml:space="preserve">s 7 in the case of </w:t>
      </w:r>
      <w:r w:rsidRPr="00F50F51">
        <w:rPr>
          <w:rFonts w:ascii="Times New Roman" w:hAnsi="Times New Roman" w:cs="Times New Roman"/>
          <w:i/>
          <w:sz w:val="24"/>
          <w:szCs w:val="24"/>
          <w:lang w:val="en-US"/>
        </w:rPr>
        <w:t>Lock v Lock</w:t>
      </w:r>
      <w:r w:rsidRPr="00F50F51">
        <w:rPr>
          <w:rFonts w:ascii="Times New Roman" w:hAnsi="Times New Roman" w:cs="Times New Roman"/>
          <w:sz w:val="24"/>
          <w:szCs w:val="24"/>
          <w:lang w:val="en-US"/>
        </w:rPr>
        <w:t xml:space="preserve"> SC 5</w:t>
      </w:r>
      <w:r w:rsidR="00746EC8">
        <w:rPr>
          <w:rFonts w:ascii="Times New Roman" w:hAnsi="Times New Roman" w:cs="Times New Roman"/>
          <w:sz w:val="24"/>
          <w:szCs w:val="24"/>
          <w:lang w:val="en-US"/>
        </w:rPr>
        <w:t>1</w:t>
      </w:r>
      <w:r w:rsidRPr="00F50F51">
        <w:rPr>
          <w:rFonts w:ascii="Times New Roman" w:hAnsi="Times New Roman" w:cs="Times New Roman"/>
          <w:sz w:val="24"/>
          <w:szCs w:val="24"/>
          <w:lang w:val="en-US"/>
        </w:rPr>
        <w:t>/20 where at p 8 it said:</w:t>
      </w:r>
    </w:p>
    <w:p w14:paraId="1E28DA37" w14:textId="21AE71D3" w:rsidR="00F50F51" w:rsidRPr="00F50F51" w:rsidRDefault="00F50F51" w:rsidP="00C72BE2">
      <w:pPr>
        <w:spacing w:after="0" w:line="240" w:lineRule="auto"/>
        <w:ind w:left="709" w:hanging="142"/>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“The import of the above section was made clear in </w:t>
      </w:r>
      <w:proofErr w:type="spellStart"/>
      <w:r w:rsidRPr="00F50F51">
        <w:rPr>
          <w:rFonts w:ascii="Times New Roman" w:hAnsi="Times New Roman" w:cs="Times New Roman"/>
          <w:i/>
          <w:sz w:val="24"/>
          <w:szCs w:val="24"/>
          <w:lang w:val="en-US"/>
        </w:rPr>
        <w:t>Gonye</w:t>
      </w:r>
      <w:proofErr w:type="spellEnd"/>
      <w:r w:rsidRPr="00F50F51">
        <w:rPr>
          <w:rFonts w:ascii="Times New Roman" w:hAnsi="Times New Roman" w:cs="Times New Roman"/>
          <w:i/>
          <w:sz w:val="24"/>
          <w:szCs w:val="24"/>
          <w:lang w:val="en-US"/>
        </w:rPr>
        <w:t xml:space="preserve"> (supra)</w:t>
      </w:r>
      <w:r w:rsidRPr="00F50F51">
        <w:rPr>
          <w:rFonts w:ascii="Times New Roman" w:hAnsi="Times New Roman" w:cs="Times New Roman"/>
          <w:sz w:val="24"/>
          <w:szCs w:val="24"/>
          <w:lang w:val="en-US"/>
        </w:rPr>
        <w:t xml:space="preserve"> where the following </w:t>
      </w:r>
      <w:r w:rsidR="000C77DC">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was state</w:t>
      </w:r>
      <w:r w:rsidR="006D1A3B">
        <w:rPr>
          <w:rFonts w:ascii="Times New Roman" w:hAnsi="Times New Roman" w:cs="Times New Roman"/>
          <w:sz w:val="24"/>
          <w:szCs w:val="24"/>
          <w:lang w:val="en-US"/>
        </w:rPr>
        <w:t>d</w:t>
      </w:r>
      <w:r w:rsidRPr="00F50F51">
        <w:rPr>
          <w:rFonts w:ascii="Times New Roman" w:hAnsi="Times New Roman" w:cs="Times New Roman"/>
          <w:sz w:val="24"/>
          <w:szCs w:val="24"/>
          <w:lang w:val="en-US"/>
        </w:rPr>
        <w:t xml:space="preserve">: </w:t>
      </w:r>
    </w:p>
    <w:p w14:paraId="204821CF" w14:textId="77777777" w:rsidR="00F50F51" w:rsidRPr="00F50F51" w:rsidRDefault="00F50F51" w:rsidP="00C72BE2">
      <w:pPr>
        <w:spacing w:after="0" w:line="240" w:lineRule="auto"/>
        <w:ind w:left="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‘It is important to note that a court has an extremely wide discretion to exercise regarding the granting of an order for the division, apportionment or distribution of the assets of the spouses in divorce proceedings.</w:t>
      </w:r>
    </w:p>
    <w:p w14:paraId="0A45D406" w14:textId="77777777" w:rsidR="00F50F51" w:rsidRPr="00F50F51" w:rsidRDefault="00F50F51" w:rsidP="00F50F51">
      <w:pPr>
        <w:spacing w:after="0" w:line="240" w:lineRule="auto"/>
        <w:ind w:left="993" w:hanging="142"/>
        <w:jc w:val="both"/>
        <w:rPr>
          <w:rFonts w:ascii="Times New Roman" w:hAnsi="Times New Roman" w:cs="Times New Roman"/>
          <w:sz w:val="24"/>
          <w:szCs w:val="24"/>
          <w:lang w:val="en-US"/>
        </w:rPr>
      </w:pPr>
    </w:p>
    <w:p w14:paraId="33E3AB25" w14:textId="1C63E678" w:rsidR="00F50F51" w:rsidRPr="00F50F51" w:rsidRDefault="00F50F51" w:rsidP="00C72BE2">
      <w:pPr>
        <w:spacing w:after="0" w:line="240" w:lineRule="auto"/>
        <w:ind w:left="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The terms used are the ‘assets of the spouses’ and not matrimonial property. It is important to bear in mind the concept used, because the adoption of the concept matrimonial property often leads to the erroneous view that assets acquired by one before marriage or when the parties are separated should be excluded from the division, apportionment or distribution exercise</w:t>
      </w:r>
      <w:r w:rsidR="00105578">
        <w:rPr>
          <w:rFonts w:ascii="Times New Roman" w:hAnsi="Times New Roman" w:cs="Times New Roman"/>
          <w:sz w:val="24"/>
          <w:szCs w:val="24"/>
          <w:lang w:val="en-US"/>
        </w:rPr>
        <w:t>.</w:t>
      </w:r>
    </w:p>
    <w:p w14:paraId="4029706D" w14:textId="77777777" w:rsidR="00F50F51" w:rsidRPr="00F50F51" w:rsidRDefault="00F50F51" w:rsidP="00F50F51">
      <w:pPr>
        <w:spacing w:after="0" w:line="240" w:lineRule="auto"/>
        <w:ind w:left="993" w:hanging="142"/>
        <w:jc w:val="both"/>
        <w:rPr>
          <w:rFonts w:ascii="Times New Roman" w:hAnsi="Times New Roman" w:cs="Times New Roman"/>
          <w:sz w:val="24"/>
          <w:szCs w:val="24"/>
          <w:lang w:val="en-US"/>
        </w:rPr>
      </w:pPr>
    </w:p>
    <w:p w14:paraId="10CAD21A" w14:textId="3F8D58DE" w:rsidR="00F50F51" w:rsidRPr="00F50F51" w:rsidRDefault="00F50F51" w:rsidP="00C72BE2">
      <w:pPr>
        <w:spacing w:after="0" w:line="240" w:lineRule="auto"/>
        <w:ind w:left="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The concept the assets of the spouses is clearly intended to have assets owned by the spouses individually (his or hers) or jointly (theirs) at the time of the dissolution of the marriage by the court considered when an order is made with regard to the division, apportionment or distribution of such assets</w:t>
      </w:r>
      <w:r w:rsidR="00105578">
        <w:rPr>
          <w:rFonts w:ascii="Times New Roman" w:hAnsi="Times New Roman" w:cs="Times New Roman"/>
          <w:sz w:val="24"/>
          <w:szCs w:val="24"/>
          <w:lang w:val="en-US"/>
        </w:rPr>
        <w:t>.</w:t>
      </w:r>
    </w:p>
    <w:p w14:paraId="4FEAF461" w14:textId="77777777" w:rsidR="00F50F51" w:rsidRPr="00F50F51" w:rsidRDefault="00F50F51" w:rsidP="00F50F51">
      <w:pPr>
        <w:spacing w:after="0" w:line="240" w:lineRule="auto"/>
        <w:ind w:left="993"/>
        <w:jc w:val="both"/>
        <w:rPr>
          <w:rFonts w:ascii="Times New Roman" w:hAnsi="Times New Roman" w:cs="Times New Roman"/>
          <w:sz w:val="24"/>
          <w:szCs w:val="24"/>
          <w:lang w:val="en-US"/>
        </w:rPr>
      </w:pPr>
    </w:p>
    <w:p w14:paraId="03AE0B47" w14:textId="79272AD7" w:rsidR="00F50F51" w:rsidRPr="00F50F51" w:rsidRDefault="00F50F51" w:rsidP="00C72BE2">
      <w:pPr>
        <w:spacing w:after="0" w:line="240" w:lineRule="auto"/>
        <w:ind w:left="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To hold, as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did, that as a matter of princip</w:t>
      </w:r>
      <w:r w:rsidR="00105578">
        <w:rPr>
          <w:rFonts w:ascii="Times New Roman" w:hAnsi="Times New Roman" w:cs="Times New Roman"/>
          <w:sz w:val="24"/>
          <w:szCs w:val="24"/>
          <w:lang w:val="en-US"/>
        </w:rPr>
        <w:t>le</w:t>
      </w:r>
      <w:r w:rsidRPr="00F50F51">
        <w:rPr>
          <w:rFonts w:ascii="Times New Roman" w:hAnsi="Times New Roman" w:cs="Times New Roman"/>
          <w:sz w:val="24"/>
          <w:szCs w:val="24"/>
          <w:lang w:val="en-US"/>
        </w:rPr>
        <w:t xml:space="preserve"> assets acquired by a spouse during the period of separation are to be excluded from the division, apportionment or distribution</w:t>
      </w:r>
      <w:r w:rsidR="00105578">
        <w:rPr>
          <w:rFonts w:ascii="Times New Roman" w:hAnsi="Times New Roman" w:cs="Times New Roman"/>
          <w:sz w:val="24"/>
          <w:szCs w:val="24"/>
          <w:lang w:val="en-US"/>
        </w:rPr>
        <w:t xml:space="preserve"> a</w:t>
      </w:r>
      <w:r w:rsidRPr="00F50F51">
        <w:rPr>
          <w:rFonts w:ascii="Times New Roman" w:hAnsi="Times New Roman" w:cs="Times New Roman"/>
          <w:sz w:val="24"/>
          <w:szCs w:val="24"/>
          <w:lang w:val="en-US"/>
        </w:rPr>
        <w:t xml:space="preserve"> court is required to make under s 7 (1) of the Act </w:t>
      </w:r>
      <w:r w:rsidRPr="00F50F51">
        <w:rPr>
          <w:rFonts w:ascii="Times New Roman" w:hAnsi="Times New Roman" w:cs="Times New Roman"/>
          <w:sz w:val="24"/>
          <w:szCs w:val="24"/>
          <w:lang w:val="en-US"/>
        </w:rPr>
        <w:lastRenderedPageBreak/>
        <w:t>is to introduce an unnecessary fetter to a very broad discretion, on the proper exercise of which the rights of the parties depend.’</w:t>
      </w:r>
    </w:p>
    <w:p w14:paraId="46F354B2" w14:textId="77777777" w:rsidR="00F50F51" w:rsidRPr="00F50F51" w:rsidRDefault="00F50F51" w:rsidP="00F50F51">
      <w:pPr>
        <w:spacing w:after="0" w:line="240" w:lineRule="auto"/>
        <w:ind w:left="993"/>
        <w:jc w:val="both"/>
        <w:rPr>
          <w:rFonts w:ascii="Times New Roman" w:hAnsi="Times New Roman" w:cs="Times New Roman"/>
          <w:sz w:val="24"/>
          <w:szCs w:val="24"/>
          <w:lang w:val="en-US"/>
        </w:rPr>
      </w:pPr>
    </w:p>
    <w:p w14:paraId="00050975" w14:textId="58D1BD9C" w:rsidR="00F50F51" w:rsidRPr="00F50F51" w:rsidRDefault="00F50F51" w:rsidP="00F50F51">
      <w:pPr>
        <w:spacing w:line="240" w:lineRule="auto"/>
        <w:ind w:left="567"/>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Such a wide discretion was bestowed on the High Court to cure the mischief that existed prior to 1986 where the court had no power within its inherent jurisdiction, to make a distribution order upon the dissolution of a marriage. In particular, it could not order the transfer from one spouse to the other of any property.</w:t>
      </w:r>
      <w:r w:rsidR="00377A10">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w:t>
      </w:r>
    </w:p>
    <w:p w14:paraId="5C488A58" w14:textId="77777777" w:rsidR="00F50F51" w:rsidRPr="00F50F51" w:rsidRDefault="00F50F51" w:rsidP="00F50F51">
      <w:pPr>
        <w:spacing w:line="240" w:lineRule="auto"/>
        <w:ind w:left="567"/>
        <w:jc w:val="both"/>
        <w:rPr>
          <w:rFonts w:ascii="Times New Roman" w:hAnsi="Times New Roman" w:cs="Times New Roman"/>
          <w:sz w:val="24"/>
          <w:szCs w:val="24"/>
          <w:lang w:val="en-US"/>
        </w:rPr>
      </w:pPr>
    </w:p>
    <w:p w14:paraId="65F03EB0" w14:textId="0E3975AA" w:rsidR="00F50F51" w:rsidRPr="00F50F51" w:rsidRDefault="00F50F51" w:rsidP="00C72BE2">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The foregoing authorities graphically illustrate that</w:t>
      </w:r>
      <w:r w:rsidR="00105578">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by restricting itself to only the aspect of registration of the two immovable properties,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was unduly fettering its otherwise very wide discretion.</w:t>
      </w:r>
    </w:p>
    <w:p w14:paraId="4CA1E324" w14:textId="77777777" w:rsidR="00F50F51" w:rsidRPr="00F50F51" w:rsidRDefault="00F50F51" w:rsidP="00F50F51">
      <w:pPr>
        <w:spacing w:after="0" w:line="480" w:lineRule="auto"/>
        <w:ind w:firstLine="1134"/>
        <w:jc w:val="both"/>
        <w:rPr>
          <w:rFonts w:ascii="Times New Roman" w:hAnsi="Times New Roman" w:cs="Times New Roman"/>
          <w:sz w:val="24"/>
          <w:szCs w:val="24"/>
          <w:lang w:val="en-US"/>
        </w:rPr>
      </w:pPr>
    </w:p>
    <w:p w14:paraId="7993C9EB" w14:textId="77777777" w:rsidR="00F50F51" w:rsidRPr="00F50F51" w:rsidRDefault="00F50F51" w:rsidP="00F50F51">
      <w:pPr>
        <w:spacing w:after="0" w:line="480" w:lineRule="auto"/>
        <w:jc w:val="both"/>
        <w:rPr>
          <w:rFonts w:ascii="Times New Roman" w:hAnsi="Times New Roman" w:cs="Times New Roman"/>
          <w:b/>
          <w:sz w:val="24"/>
          <w:szCs w:val="24"/>
          <w:u w:val="single"/>
          <w:lang w:val="en-US"/>
        </w:rPr>
      </w:pPr>
      <w:r w:rsidRPr="00F50F51">
        <w:rPr>
          <w:rFonts w:ascii="Times New Roman" w:hAnsi="Times New Roman" w:cs="Times New Roman"/>
          <w:b/>
          <w:sz w:val="24"/>
          <w:szCs w:val="24"/>
          <w:u w:val="single"/>
          <w:lang w:val="en-US"/>
        </w:rPr>
        <w:t>EXAMINATION</w:t>
      </w:r>
    </w:p>
    <w:p w14:paraId="35B64784" w14:textId="6F9390AD" w:rsidR="00F50F51" w:rsidRPr="00F50F51" w:rsidRDefault="00F50F51" w:rsidP="00C72BE2">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said a lot in its attempt to assess the case before it and apply the legal principles regulating the division, apportionment and distribution of the spouses’ immovable assets. </w:t>
      </w:r>
      <w:r w:rsidR="00075673">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 xml:space="preserve">After identifying the factors </w:t>
      </w:r>
      <w:r w:rsidR="00875E01">
        <w:rPr>
          <w:rFonts w:ascii="Times New Roman" w:hAnsi="Times New Roman" w:cs="Times New Roman"/>
          <w:sz w:val="24"/>
          <w:szCs w:val="24"/>
          <w:lang w:val="en-US"/>
        </w:rPr>
        <w:t>it was</w:t>
      </w:r>
      <w:r w:rsidRPr="00F50F51">
        <w:rPr>
          <w:rFonts w:ascii="Times New Roman" w:hAnsi="Times New Roman" w:cs="Times New Roman"/>
          <w:sz w:val="24"/>
          <w:szCs w:val="24"/>
          <w:lang w:val="en-US"/>
        </w:rPr>
        <w:t xml:space="preserve"> required to have regard to as set out in s 7 of the Act,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went on to tie itself in knots</w:t>
      </w:r>
      <w:r w:rsidR="00875E01">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going round and round picking only two principles which it mentioned, namely, the direct contribution of the parties to the acquisition and the future needs of the spouses and the children.</w:t>
      </w:r>
    </w:p>
    <w:p w14:paraId="2CE25245" w14:textId="77777777" w:rsidR="00F50F51" w:rsidRPr="00F50F51" w:rsidRDefault="00F50F51" w:rsidP="00F50F51">
      <w:pPr>
        <w:spacing w:after="0" w:line="480" w:lineRule="auto"/>
        <w:ind w:firstLine="1134"/>
        <w:jc w:val="both"/>
        <w:rPr>
          <w:rFonts w:ascii="Times New Roman" w:hAnsi="Times New Roman" w:cs="Times New Roman"/>
          <w:sz w:val="24"/>
          <w:szCs w:val="24"/>
          <w:lang w:val="en-US"/>
        </w:rPr>
      </w:pPr>
    </w:p>
    <w:p w14:paraId="017AE734" w14:textId="242D1EFB" w:rsidR="00F50F51" w:rsidRPr="00F50F51" w:rsidRDefault="00F50F51" w:rsidP="00C72BE2">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Having mentioned those two,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did nothing about them and</w:t>
      </w:r>
      <w:r w:rsidR="002C248D">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in the end it determined the matter, not on any of the legal principles set out in s 7 of the Act, but only on a single principle mentioned in the case of </w:t>
      </w:r>
      <w:proofErr w:type="spellStart"/>
      <w:r w:rsidRPr="00F50F51">
        <w:rPr>
          <w:rFonts w:ascii="Times New Roman" w:hAnsi="Times New Roman" w:cs="Times New Roman"/>
          <w:i/>
          <w:sz w:val="24"/>
          <w:szCs w:val="24"/>
          <w:lang w:val="en-US"/>
        </w:rPr>
        <w:t>Takafuma</w:t>
      </w:r>
      <w:proofErr w:type="spellEnd"/>
      <w:r w:rsidRPr="00F50F51">
        <w:rPr>
          <w:rFonts w:ascii="Times New Roman" w:hAnsi="Times New Roman" w:cs="Times New Roman"/>
          <w:i/>
          <w:sz w:val="24"/>
          <w:szCs w:val="24"/>
          <w:lang w:val="en-US"/>
        </w:rPr>
        <w:t xml:space="preserve"> v </w:t>
      </w:r>
      <w:proofErr w:type="spellStart"/>
      <w:r w:rsidRPr="00F50F51">
        <w:rPr>
          <w:rFonts w:ascii="Times New Roman" w:hAnsi="Times New Roman" w:cs="Times New Roman"/>
          <w:i/>
          <w:sz w:val="24"/>
          <w:szCs w:val="24"/>
          <w:lang w:val="en-US"/>
        </w:rPr>
        <w:t>Takafuma</w:t>
      </w:r>
      <w:proofErr w:type="spellEnd"/>
      <w:r w:rsidRPr="00F50F51">
        <w:rPr>
          <w:rFonts w:ascii="Times New Roman" w:hAnsi="Times New Roman" w:cs="Times New Roman"/>
          <w:sz w:val="24"/>
          <w:szCs w:val="24"/>
          <w:lang w:val="en-US"/>
        </w:rPr>
        <w:t xml:space="preserve"> 1994 (2) ZLR 103 (S)</w:t>
      </w:r>
      <w:r w:rsidR="002C248D">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 xml:space="preserve">That there was a misdirection of gigantic proportions does not require rocket science. </w:t>
      </w:r>
    </w:p>
    <w:p w14:paraId="630469F7" w14:textId="77777777" w:rsidR="00F50F51" w:rsidRPr="00F50F51" w:rsidRDefault="00F50F51" w:rsidP="00F50F51">
      <w:pPr>
        <w:spacing w:after="0" w:line="480" w:lineRule="auto"/>
        <w:ind w:firstLine="1134"/>
        <w:jc w:val="both"/>
        <w:rPr>
          <w:rFonts w:ascii="Times New Roman" w:hAnsi="Times New Roman" w:cs="Times New Roman"/>
          <w:sz w:val="24"/>
          <w:szCs w:val="24"/>
          <w:lang w:val="en-US"/>
        </w:rPr>
      </w:pPr>
    </w:p>
    <w:p w14:paraId="3B620BCA" w14:textId="77777777" w:rsidR="00F50F51" w:rsidRDefault="00F50F51" w:rsidP="00C72BE2">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found that none of the parties had discharged the onus of proving their direct contribution to the acquisition of the immovable property but appeared to accept only the evidence of the respondent that he singularly acquired the Borrowdale properties. </w:t>
      </w:r>
      <w:r w:rsidR="00075673">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 xml:space="preserve">This,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did, despite the fact that it accepted that the respondent’s evidence was </w:t>
      </w:r>
      <w:r w:rsidRPr="00F50F51">
        <w:rPr>
          <w:rFonts w:ascii="Times New Roman" w:hAnsi="Times New Roman" w:cs="Times New Roman"/>
          <w:sz w:val="24"/>
          <w:szCs w:val="24"/>
          <w:lang w:val="en-US"/>
        </w:rPr>
        <w:lastRenderedPageBreak/>
        <w:t xml:space="preserve">inconclusive not being backed by documentary proof while that of the appellant had documentary support. </w:t>
      </w:r>
    </w:p>
    <w:p w14:paraId="0163E769" w14:textId="77777777" w:rsidR="00377A10" w:rsidRPr="00F50F51" w:rsidRDefault="00377A10" w:rsidP="00075673">
      <w:pPr>
        <w:spacing w:after="0" w:line="480" w:lineRule="auto"/>
        <w:ind w:firstLine="1440"/>
        <w:jc w:val="both"/>
        <w:rPr>
          <w:rFonts w:ascii="Times New Roman" w:hAnsi="Times New Roman" w:cs="Times New Roman"/>
          <w:sz w:val="24"/>
          <w:szCs w:val="24"/>
          <w:lang w:val="en-US"/>
        </w:rPr>
      </w:pPr>
    </w:p>
    <w:p w14:paraId="3B6B0845" w14:textId="2FECF273" w:rsidR="00F50F51" w:rsidRPr="00F50F51" w:rsidRDefault="00F50F51" w:rsidP="00C72BE2">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Although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listed all the relevant factors it was required to take into account, it only zeroed in on</w:t>
      </w:r>
      <w:r w:rsidR="002C248D">
        <w:rPr>
          <w:rFonts w:ascii="Times New Roman" w:hAnsi="Times New Roman" w:cs="Times New Roman"/>
          <w:sz w:val="24"/>
          <w:szCs w:val="24"/>
          <w:lang w:val="en-US"/>
        </w:rPr>
        <w:t xml:space="preserve"> the</w:t>
      </w:r>
      <w:r w:rsidRPr="00F50F51">
        <w:rPr>
          <w:rFonts w:ascii="Times New Roman" w:hAnsi="Times New Roman" w:cs="Times New Roman"/>
          <w:sz w:val="24"/>
          <w:szCs w:val="24"/>
          <w:lang w:val="en-US"/>
        </w:rPr>
        <w:t xml:space="preserve"> two that I have referred to above, that is</w:t>
      </w:r>
      <w:r w:rsidR="002C248D">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the direct contributions and the needs of the spouse and child. Immediately after doing that the court </w:t>
      </w:r>
      <w:r w:rsidRPr="00F50F51">
        <w:rPr>
          <w:rFonts w:ascii="Times New Roman" w:hAnsi="Times New Roman" w:cs="Times New Roman"/>
          <w:i/>
          <w:sz w:val="24"/>
          <w:szCs w:val="24"/>
          <w:lang w:val="en-US"/>
        </w:rPr>
        <w:t>a quo</w:t>
      </w:r>
      <w:r w:rsidRPr="00F50F51">
        <w:rPr>
          <w:rFonts w:ascii="Times New Roman" w:hAnsi="Times New Roman" w:cs="Times New Roman"/>
          <w:sz w:val="24"/>
          <w:szCs w:val="24"/>
          <w:lang w:val="en-US"/>
        </w:rPr>
        <w:t xml:space="preserve"> recanted from those two.  </w:t>
      </w:r>
    </w:p>
    <w:p w14:paraId="14290846" w14:textId="77777777" w:rsidR="00F50F51" w:rsidRPr="00F50F51" w:rsidRDefault="00F50F51" w:rsidP="00F50F51">
      <w:pPr>
        <w:spacing w:after="0" w:line="480" w:lineRule="auto"/>
        <w:ind w:firstLine="1134"/>
        <w:jc w:val="both"/>
        <w:rPr>
          <w:rFonts w:ascii="Times New Roman" w:hAnsi="Times New Roman" w:cs="Times New Roman"/>
          <w:sz w:val="24"/>
          <w:szCs w:val="24"/>
          <w:lang w:val="en-US"/>
        </w:rPr>
      </w:pPr>
    </w:p>
    <w:p w14:paraId="052F2AAB" w14:textId="6F5F89D3" w:rsidR="00F50F51" w:rsidRPr="00F50F51" w:rsidRDefault="00F50F51" w:rsidP="00B7200E">
      <w:pPr>
        <w:spacing w:after="0" w:line="480" w:lineRule="auto"/>
        <w:ind w:firstLine="1134"/>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It inexplicably found the future needs irrelevant even though the appellant has resided and still resides at the matrimonial home with the children. </w:t>
      </w:r>
      <w:r w:rsidR="00075673">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Indeed</w:t>
      </w:r>
      <w:r w:rsidR="00622E93">
        <w:rPr>
          <w:rFonts w:ascii="Times New Roman" w:hAnsi="Times New Roman" w:cs="Times New Roman"/>
          <w:sz w:val="24"/>
          <w:szCs w:val="24"/>
          <w:lang w:val="en-US"/>
        </w:rPr>
        <w:t>,</w:t>
      </w:r>
      <w:r w:rsidRPr="00F50F51">
        <w:rPr>
          <w:rFonts w:ascii="Times New Roman" w:hAnsi="Times New Roman" w:cs="Times New Roman"/>
          <w:sz w:val="24"/>
          <w:szCs w:val="24"/>
          <w:lang w:val="en-US"/>
        </w:rPr>
        <w:t xml:space="preserve"> the irrefutable evidence shows that the children still require the support of their parents. </w:t>
      </w:r>
      <w:r w:rsidR="00075673">
        <w:rPr>
          <w:rFonts w:ascii="Times New Roman" w:hAnsi="Times New Roman" w:cs="Times New Roman"/>
          <w:sz w:val="24"/>
          <w:szCs w:val="24"/>
          <w:lang w:val="en-US"/>
        </w:rPr>
        <w:t xml:space="preserve"> </w:t>
      </w:r>
      <w:r w:rsidRPr="00F50F51">
        <w:rPr>
          <w:rFonts w:ascii="Times New Roman" w:hAnsi="Times New Roman" w:cs="Times New Roman"/>
          <w:sz w:val="24"/>
          <w:szCs w:val="24"/>
          <w:lang w:val="en-US"/>
        </w:rPr>
        <w:t xml:space="preserve">It also shows that the appellant has singularly borne the brunt of paying huge amounts in foreign currency for the boy’s fees at a German University and the </w:t>
      </w:r>
      <w:r w:rsidR="00075673">
        <w:rPr>
          <w:rFonts w:ascii="Times New Roman" w:hAnsi="Times New Roman" w:cs="Times New Roman"/>
          <w:sz w:val="24"/>
          <w:szCs w:val="24"/>
          <w:lang w:val="en-US"/>
        </w:rPr>
        <w:t>g</w:t>
      </w:r>
      <w:r w:rsidRPr="00F50F51">
        <w:rPr>
          <w:rFonts w:ascii="Times New Roman" w:hAnsi="Times New Roman" w:cs="Times New Roman"/>
          <w:sz w:val="24"/>
          <w:szCs w:val="24"/>
          <w:lang w:val="en-US"/>
        </w:rPr>
        <w:t xml:space="preserve">irl is yet to commence university education. </w:t>
      </w:r>
    </w:p>
    <w:p w14:paraId="7D848F4D" w14:textId="77777777" w:rsidR="00F50F51" w:rsidRPr="00F50F51" w:rsidRDefault="00F50F51" w:rsidP="00F50F51">
      <w:pPr>
        <w:spacing w:after="0" w:line="480" w:lineRule="auto"/>
        <w:ind w:firstLine="1134"/>
        <w:jc w:val="both"/>
        <w:rPr>
          <w:rFonts w:ascii="Times New Roman" w:hAnsi="Times New Roman" w:cs="Times New Roman"/>
          <w:sz w:val="24"/>
          <w:szCs w:val="24"/>
          <w:lang w:val="en-US"/>
        </w:rPr>
      </w:pPr>
    </w:p>
    <w:p w14:paraId="617A6B1E" w14:textId="77777777" w:rsidR="00F50F51" w:rsidRPr="00F50F51" w:rsidRDefault="00F50F51" w:rsidP="00B7200E">
      <w:pPr>
        <w:spacing w:after="0"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lang w:val="en-US"/>
        </w:rPr>
        <w:t>After finding itself unable to decide where the truth lay in so far as the direct contribution of</w:t>
      </w:r>
      <w:r w:rsidRPr="00F50F51">
        <w:rPr>
          <w:rFonts w:ascii="Times New Roman" w:hAnsi="Times New Roman" w:cs="Times New Roman"/>
          <w:sz w:val="24"/>
          <w:szCs w:val="24"/>
        </w:rPr>
        <w:t xml:space="preserve"> the parties was concerned, the court </w:t>
      </w:r>
      <w:r w:rsidRPr="00F50F51">
        <w:rPr>
          <w:rFonts w:ascii="Times New Roman" w:hAnsi="Times New Roman" w:cs="Times New Roman"/>
          <w:i/>
          <w:sz w:val="24"/>
          <w:szCs w:val="24"/>
        </w:rPr>
        <w:t xml:space="preserve">a quo </w:t>
      </w:r>
      <w:r w:rsidRPr="00F50F51">
        <w:rPr>
          <w:rFonts w:ascii="Times New Roman" w:hAnsi="Times New Roman" w:cs="Times New Roman"/>
          <w:sz w:val="24"/>
          <w:szCs w:val="24"/>
        </w:rPr>
        <w:t xml:space="preserve">was caught in a spider`s web. It then completely failed to consider the other relevant factors governing property division, apportionment or distribution at divorce.  </w:t>
      </w:r>
      <w:r w:rsidR="00075673">
        <w:rPr>
          <w:rFonts w:ascii="Times New Roman" w:hAnsi="Times New Roman" w:cs="Times New Roman"/>
          <w:sz w:val="24"/>
          <w:szCs w:val="24"/>
        </w:rPr>
        <w:t xml:space="preserve"> </w:t>
      </w:r>
      <w:r w:rsidRPr="00F50F51">
        <w:rPr>
          <w:rFonts w:ascii="Times New Roman" w:hAnsi="Times New Roman" w:cs="Times New Roman"/>
          <w:sz w:val="24"/>
          <w:szCs w:val="24"/>
        </w:rPr>
        <w:t>The income- earning capacities of the parties as well as assets and other financial resources wer</w:t>
      </w:r>
      <w:r w:rsidR="00075673">
        <w:rPr>
          <w:rFonts w:ascii="Times New Roman" w:hAnsi="Times New Roman" w:cs="Times New Roman"/>
          <w:sz w:val="24"/>
          <w:szCs w:val="24"/>
        </w:rPr>
        <w:t xml:space="preserve">e relevant considerations.  </w:t>
      </w:r>
      <w:r w:rsidRPr="00F50F51">
        <w:rPr>
          <w:rFonts w:ascii="Times New Roman" w:hAnsi="Times New Roman" w:cs="Times New Roman"/>
          <w:sz w:val="24"/>
          <w:szCs w:val="24"/>
        </w:rPr>
        <w:t>These spouses earned income throughout their married lives.  The appellant disposed of another asset in Westgate to earn income to plough into the acquisition of the Borrowdale properties.</w:t>
      </w:r>
    </w:p>
    <w:p w14:paraId="76DAC9A3" w14:textId="77777777" w:rsidR="00420484" w:rsidRDefault="00F50F51" w:rsidP="00420484">
      <w:pPr>
        <w:spacing w:line="480" w:lineRule="auto"/>
        <w:jc w:val="both"/>
        <w:rPr>
          <w:rFonts w:ascii="Times New Roman" w:hAnsi="Times New Roman" w:cs="Times New Roman"/>
          <w:sz w:val="24"/>
          <w:szCs w:val="24"/>
        </w:rPr>
      </w:pPr>
      <w:r w:rsidRPr="00F50F51">
        <w:rPr>
          <w:rFonts w:ascii="Times New Roman" w:hAnsi="Times New Roman" w:cs="Times New Roman"/>
          <w:sz w:val="24"/>
          <w:szCs w:val="24"/>
        </w:rPr>
        <w:tab/>
      </w:r>
    </w:p>
    <w:p w14:paraId="42BA1E4C" w14:textId="6D22DE08" w:rsidR="00F50F51" w:rsidRPr="00F50F51" w:rsidRDefault="00F50F51" w:rsidP="00420484">
      <w:pPr>
        <w:spacing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 xml:space="preserve">Their financial needs, obligations and responsibilities were important in determining </w:t>
      </w:r>
      <w:r w:rsidR="00461DEC">
        <w:rPr>
          <w:rFonts w:ascii="Times New Roman" w:hAnsi="Times New Roman" w:cs="Times New Roman"/>
          <w:sz w:val="24"/>
          <w:szCs w:val="24"/>
        </w:rPr>
        <w:t xml:space="preserve">disposition of the properties.  </w:t>
      </w:r>
      <w:r w:rsidRPr="00F50F51">
        <w:rPr>
          <w:rFonts w:ascii="Times New Roman" w:hAnsi="Times New Roman" w:cs="Times New Roman"/>
          <w:sz w:val="24"/>
          <w:szCs w:val="24"/>
        </w:rPr>
        <w:t>Evidence showed that the parties deployed all their</w:t>
      </w:r>
      <w:r w:rsidR="00420484">
        <w:rPr>
          <w:rFonts w:ascii="Times New Roman" w:hAnsi="Times New Roman" w:cs="Times New Roman"/>
          <w:sz w:val="24"/>
          <w:szCs w:val="24"/>
        </w:rPr>
        <w:t xml:space="preserve"> </w:t>
      </w:r>
      <w:r w:rsidRPr="00F50F51">
        <w:rPr>
          <w:rFonts w:ascii="Times New Roman" w:hAnsi="Times New Roman" w:cs="Times New Roman"/>
          <w:sz w:val="24"/>
          <w:szCs w:val="24"/>
        </w:rPr>
        <w:lastRenderedPageBreak/>
        <w:t xml:space="preserve">skills in raising funding for the B </w:t>
      </w:r>
      <w:r w:rsidR="00622E93">
        <w:rPr>
          <w:rFonts w:ascii="Times New Roman" w:hAnsi="Times New Roman" w:cs="Times New Roman"/>
          <w:sz w:val="24"/>
          <w:szCs w:val="24"/>
        </w:rPr>
        <w:t>n B</w:t>
      </w:r>
      <w:r w:rsidRPr="00F50F51">
        <w:rPr>
          <w:rFonts w:ascii="Times New Roman" w:hAnsi="Times New Roman" w:cs="Times New Roman"/>
          <w:sz w:val="24"/>
          <w:szCs w:val="24"/>
        </w:rPr>
        <w:t xml:space="preserve"> business for the sole purpose of earning an income to educate their children.</w:t>
      </w:r>
    </w:p>
    <w:p w14:paraId="79292864" w14:textId="77777777" w:rsidR="00F50F51" w:rsidRPr="00F50F51" w:rsidRDefault="00F50F51" w:rsidP="00F50F51">
      <w:pPr>
        <w:spacing w:after="0" w:line="360" w:lineRule="auto"/>
        <w:jc w:val="both"/>
        <w:rPr>
          <w:rFonts w:ascii="Times New Roman" w:hAnsi="Times New Roman" w:cs="Times New Roman"/>
          <w:sz w:val="24"/>
          <w:szCs w:val="24"/>
        </w:rPr>
      </w:pPr>
    </w:p>
    <w:p w14:paraId="3AFF7BEA" w14:textId="7C6E2FF9" w:rsidR="00F50F51" w:rsidRPr="00F50F51" w:rsidRDefault="00F50F51" w:rsidP="00420484">
      <w:pPr>
        <w:spacing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Their standard of living was such that the</w:t>
      </w:r>
      <w:r w:rsidR="005B7CA5">
        <w:rPr>
          <w:rFonts w:ascii="Times New Roman" w:hAnsi="Times New Roman" w:cs="Times New Roman"/>
          <w:sz w:val="24"/>
          <w:szCs w:val="24"/>
        </w:rPr>
        <w:t>y</w:t>
      </w:r>
      <w:r w:rsidRPr="00F50F51">
        <w:rPr>
          <w:rFonts w:ascii="Times New Roman" w:hAnsi="Times New Roman" w:cs="Times New Roman"/>
          <w:sz w:val="24"/>
          <w:szCs w:val="24"/>
        </w:rPr>
        <w:t xml:space="preserve"> had an </w:t>
      </w:r>
      <w:r w:rsidR="00EF2829">
        <w:rPr>
          <w:rFonts w:ascii="Times New Roman" w:hAnsi="Times New Roman" w:cs="Times New Roman"/>
          <w:sz w:val="24"/>
          <w:szCs w:val="24"/>
        </w:rPr>
        <w:t>af</w:t>
      </w:r>
      <w:r w:rsidRPr="00F50F51">
        <w:rPr>
          <w:rFonts w:ascii="Times New Roman" w:hAnsi="Times New Roman" w:cs="Times New Roman"/>
          <w:sz w:val="24"/>
          <w:szCs w:val="24"/>
        </w:rPr>
        <w:t>fluent suburban double storey home where th</w:t>
      </w:r>
      <w:r w:rsidR="00461DEC">
        <w:rPr>
          <w:rFonts w:ascii="Times New Roman" w:hAnsi="Times New Roman" w:cs="Times New Roman"/>
          <w:sz w:val="24"/>
          <w:szCs w:val="24"/>
        </w:rPr>
        <w:t xml:space="preserve">eir children were brought up.  </w:t>
      </w:r>
      <w:r w:rsidRPr="00F50F51">
        <w:rPr>
          <w:rFonts w:ascii="Times New Roman" w:hAnsi="Times New Roman" w:cs="Times New Roman"/>
          <w:sz w:val="24"/>
          <w:szCs w:val="24"/>
        </w:rPr>
        <w:t>It is a standard the family was used to and not li</w:t>
      </w:r>
      <w:r w:rsidR="00461DEC">
        <w:rPr>
          <w:rFonts w:ascii="Times New Roman" w:hAnsi="Times New Roman" w:cs="Times New Roman"/>
          <w:sz w:val="24"/>
          <w:szCs w:val="24"/>
        </w:rPr>
        <w:t xml:space="preserve">ving in a two- roomed cottage.  </w:t>
      </w:r>
      <w:r w:rsidRPr="00F50F51">
        <w:rPr>
          <w:rFonts w:ascii="Times New Roman" w:hAnsi="Times New Roman" w:cs="Times New Roman"/>
          <w:sz w:val="24"/>
          <w:szCs w:val="24"/>
        </w:rPr>
        <w:t>At the ripe ages of about 50 years their earning capacities had dwindled and as such both required a boost going forward</w:t>
      </w:r>
      <w:r w:rsidR="005B7CA5">
        <w:rPr>
          <w:rFonts w:ascii="Times New Roman" w:hAnsi="Times New Roman" w:cs="Times New Roman"/>
          <w:sz w:val="24"/>
          <w:szCs w:val="24"/>
        </w:rPr>
        <w:t xml:space="preserve"> in order</w:t>
      </w:r>
      <w:r w:rsidRPr="00F50F51">
        <w:rPr>
          <w:rFonts w:ascii="Times New Roman" w:hAnsi="Times New Roman" w:cs="Times New Roman"/>
          <w:sz w:val="24"/>
          <w:szCs w:val="24"/>
        </w:rPr>
        <w:t xml:space="preserve"> to maintain a reasonably similar standard of living after divorce.  </w:t>
      </w:r>
    </w:p>
    <w:p w14:paraId="764195F3" w14:textId="77777777" w:rsidR="00F50F51" w:rsidRPr="00F50F51" w:rsidRDefault="00F50F51" w:rsidP="00461DEC">
      <w:pPr>
        <w:spacing w:after="0" w:line="240" w:lineRule="auto"/>
        <w:ind w:firstLine="720"/>
        <w:jc w:val="both"/>
        <w:rPr>
          <w:rFonts w:ascii="Times New Roman" w:hAnsi="Times New Roman" w:cs="Times New Roman"/>
          <w:sz w:val="24"/>
          <w:szCs w:val="24"/>
        </w:rPr>
      </w:pPr>
    </w:p>
    <w:p w14:paraId="4D22723A" w14:textId="77777777" w:rsidR="00F50F51" w:rsidRPr="00F50F51" w:rsidRDefault="00F50F51" w:rsidP="00420484">
      <w:pPr>
        <w:spacing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The duration of the marriage, 24 years, was an important factor to be taken into account.  Surely both deserved to take something significant in consideration of longevity.</w:t>
      </w:r>
    </w:p>
    <w:p w14:paraId="3D850B17" w14:textId="77777777" w:rsidR="00F50F51" w:rsidRPr="00F50F51" w:rsidRDefault="00F50F51" w:rsidP="00461DEC">
      <w:pPr>
        <w:spacing w:after="0" w:line="240" w:lineRule="auto"/>
        <w:ind w:firstLine="720"/>
        <w:jc w:val="both"/>
        <w:rPr>
          <w:rFonts w:ascii="Times New Roman" w:hAnsi="Times New Roman" w:cs="Times New Roman"/>
          <w:sz w:val="24"/>
          <w:szCs w:val="24"/>
        </w:rPr>
      </w:pPr>
    </w:p>
    <w:p w14:paraId="34073A09" w14:textId="594FD805" w:rsidR="00F50F51" w:rsidRDefault="00F50F51" w:rsidP="00420484">
      <w:pPr>
        <w:spacing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 xml:space="preserve">I have no doubt in my mind that the court </w:t>
      </w:r>
      <w:r w:rsidRPr="00F50F51">
        <w:rPr>
          <w:rFonts w:ascii="Times New Roman" w:hAnsi="Times New Roman" w:cs="Times New Roman"/>
          <w:i/>
          <w:sz w:val="24"/>
          <w:szCs w:val="24"/>
        </w:rPr>
        <w:t xml:space="preserve">a quo </w:t>
      </w:r>
      <w:r w:rsidRPr="00F50F51">
        <w:rPr>
          <w:rFonts w:ascii="Times New Roman" w:hAnsi="Times New Roman" w:cs="Times New Roman"/>
          <w:sz w:val="24"/>
          <w:szCs w:val="24"/>
        </w:rPr>
        <w:t>paid lip service to the important</w:t>
      </w:r>
      <w:r w:rsidR="00A01FB7">
        <w:rPr>
          <w:rFonts w:ascii="Times New Roman" w:hAnsi="Times New Roman" w:cs="Times New Roman"/>
          <w:sz w:val="24"/>
          <w:szCs w:val="24"/>
        </w:rPr>
        <w:t xml:space="preserve"> and</w:t>
      </w:r>
      <w:r w:rsidRPr="00F50F51">
        <w:rPr>
          <w:rFonts w:ascii="Times New Roman" w:hAnsi="Times New Roman" w:cs="Times New Roman"/>
          <w:sz w:val="24"/>
          <w:szCs w:val="24"/>
        </w:rPr>
        <w:t xml:space="preserve"> overriding principle of endeavouring to place the parties and the children in the position they would have occupied had the marriage continued to subsist.  I say so because the award it settled for does not even begin to achieve equity or to recognise their standard of living.</w:t>
      </w:r>
    </w:p>
    <w:p w14:paraId="144A4C74" w14:textId="77777777" w:rsidR="00461DEC" w:rsidRPr="00F50F51" w:rsidRDefault="00461DEC" w:rsidP="00461DEC">
      <w:pPr>
        <w:tabs>
          <w:tab w:val="left" w:pos="1134"/>
        </w:tabs>
        <w:spacing w:after="0" w:line="240" w:lineRule="auto"/>
        <w:ind w:firstLine="1530"/>
        <w:jc w:val="both"/>
        <w:rPr>
          <w:rFonts w:ascii="Times New Roman" w:hAnsi="Times New Roman" w:cs="Times New Roman"/>
          <w:sz w:val="24"/>
          <w:szCs w:val="24"/>
        </w:rPr>
      </w:pPr>
    </w:p>
    <w:p w14:paraId="0163C82D" w14:textId="1CEA0282" w:rsidR="00F50F51" w:rsidRPr="00F50F51" w:rsidRDefault="00F50F51" w:rsidP="00420484">
      <w:pPr>
        <w:spacing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Surely it cannot be said that awarding a two roomed cottage, no matter how glowingly it is advertised to international clients</w:t>
      </w:r>
      <w:r w:rsidR="00A01FB7">
        <w:rPr>
          <w:rFonts w:ascii="Times New Roman" w:hAnsi="Times New Roman" w:cs="Times New Roman"/>
          <w:sz w:val="24"/>
          <w:szCs w:val="24"/>
        </w:rPr>
        <w:t>,</w:t>
      </w:r>
      <w:r w:rsidRPr="00F50F51">
        <w:rPr>
          <w:rFonts w:ascii="Times New Roman" w:hAnsi="Times New Roman" w:cs="Times New Roman"/>
          <w:sz w:val="24"/>
          <w:szCs w:val="24"/>
        </w:rPr>
        <w:t xml:space="preserve"> to the appellant, while awarding the respondent a double stor</w:t>
      </w:r>
      <w:r w:rsidR="00A01FB7">
        <w:rPr>
          <w:rFonts w:ascii="Times New Roman" w:hAnsi="Times New Roman" w:cs="Times New Roman"/>
          <w:sz w:val="24"/>
          <w:szCs w:val="24"/>
        </w:rPr>
        <w:t>e</w:t>
      </w:r>
      <w:r w:rsidRPr="00F50F51">
        <w:rPr>
          <w:rFonts w:ascii="Times New Roman" w:hAnsi="Times New Roman" w:cs="Times New Roman"/>
          <w:sz w:val="24"/>
          <w:szCs w:val="24"/>
        </w:rPr>
        <w:t>y mansion next door</w:t>
      </w:r>
      <w:r w:rsidR="00A01FB7">
        <w:rPr>
          <w:rFonts w:ascii="Times New Roman" w:hAnsi="Times New Roman" w:cs="Times New Roman"/>
          <w:sz w:val="24"/>
          <w:szCs w:val="24"/>
        </w:rPr>
        <w:t>,</w:t>
      </w:r>
      <w:r w:rsidRPr="00F50F51">
        <w:rPr>
          <w:rFonts w:ascii="Times New Roman" w:hAnsi="Times New Roman" w:cs="Times New Roman"/>
          <w:sz w:val="24"/>
          <w:szCs w:val="24"/>
        </w:rPr>
        <w:t xml:space="preserve"> places the parties in the same position they occupied during the marriage.  This is more particularly so regard being had that it is in fact the appellant currently occupying the house while the respondent resides elsewhere.</w:t>
      </w:r>
    </w:p>
    <w:p w14:paraId="6C030524" w14:textId="77777777" w:rsidR="00F50F51" w:rsidRPr="00F50F51" w:rsidRDefault="00F50F51" w:rsidP="00461DEC">
      <w:pPr>
        <w:tabs>
          <w:tab w:val="left" w:pos="1134"/>
        </w:tabs>
        <w:spacing w:after="0" w:line="240" w:lineRule="auto"/>
        <w:ind w:firstLine="993"/>
        <w:jc w:val="both"/>
        <w:rPr>
          <w:rFonts w:ascii="Times New Roman" w:hAnsi="Times New Roman" w:cs="Times New Roman"/>
          <w:sz w:val="24"/>
          <w:szCs w:val="24"/>
        </w:rPr>
      </w:pPr>
    </w:p>
    <w:p w14:paraId="4AE92905" w14:textId="77777777" w:rsidR="00F50F51" w:rsidRPr="00F50F51" w:rsidRDefault="00F50F51" w:rsidP="00420484">
      <w:pPr>
        <w:spacing w:after="0"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 xml:space="preserve">In my view, there is no magic in the “his” and “hers” concept referred to in the </w:t>
      </w:r>
      <w:proofErr w:type="spellStart"/>
      <w:r w:rsidRPr="00F50F51">
        <w:rPr>
          <w:rFonts w:ascii="Times New Roman" w:hAnsi="Times New Roman" w:cs="Times New Roman"/>
          <w:i/>
          <w:sz w:val="24"/>
          <w:szCs w:val="24"/>
        </w:rPr>
        <w:t>Takafuma</w:t>
      </w:r>
      <w:proofErr w:type="spellEnd"/>
      <w:r w:rsidRPr="00F50F51">
        <w:rPr>
          <w:rFonts w:ascii="Times New Roman" w:hAnsi="Times New Roman" w:cs="Times New Roman"/>
          <w:sz w:val="24"/>
          <w:szCs w:val="24"/>
        </w:rPr>
        <w:t xml:space="preserve"> case, </w:t>
      </w:r>
      <w:r w:rsidRPr="00F50F51">
        <w:rPr>
          <w:rFonts w:ascii="Times New Roman" w:hAnsi="Times New Roman" w:cs="Times New Roman"/>
          <w:i/>
          <w:sz w:val="24"/>
          <w:szCs w:val="24"/>
        </w:rPr>
        <w:t>supra</w:t>
      </w:r>
      <w:r w:rsidR="00461DEC">
        <w:rPr>
          <w:rFonts w:ascii="Times New Roman" w:hAnsi="Times New Roman" w:cs="Times New Roman"/>
          <w:sz w:val="24"/>
          <w:szCs w:val="24"/>
        </w:rPr>
        <w:t xml:space="preserve">.  </w:t>
      </w:r>
      <w:r w:rsidRPr="00F50F51">
        <w:rPr>
          <w:rFonts w:ascii="Times New Roman" w:hAnsi="Times New Roman" w:cs="Times New Roman"/>
          <w:sz w:val="24"/>
          <w:szCs w:val="24"/>
        </w:rPr>
        <w:t xml:space="preserve">It is just one formula to be resorted to, where it is applicable, in an </w:t>
      </w:r>
      <w:r w:rsidRPr="00F50F51">
        <w:rPr>
          <w:rFonts w:ascii="Times New Roman" w:hAnsi="Times New Roman" w:cs="Times New Roman"/>
          <w:sz w:val="24"/>
          <w:szCs w:val="24"/>
        </w:rPr>
        <w:lastRenderedPageBreak/>
        <w:t>endeavour to follow the guidelines set out in s 7 of the Act.  It may be appropriate to resort to it where the spouses bought more than one house in their respective names.</w:t>
      </w:r>
    </w:p>
    <w:p w14:paraId="6DD77C41" w14:textId="77777777" w:rsidR="00F50F51" w:rsidRPr="00F50F51" w:rsidRDefault="00F50F51" w:rsidP="00420484">
      <w:pPr>
        <w:spacing w:after="0" w:line="276" w:lineRule="auto"/>
        <w:ind w:firstLine="1134"/>
        <w:jc w:val="both"/>
        <w:rPr>
          <w:rFonts w:ascii="Times New Roman" w:hAnsi="Times New Roman" w:cs="Times New Roman"/>
          <w:sz w:val="24"/>
          <w:szCs w:val="24"/>
        </w:rPr>
      </w:pPr>
    </w:p>
    <w:p w14:paraId="7EC6C8D7" w14:textId="427C3EAD" w:rsidR="00F50F51" w:rsidRPr="00F50F51" w:rsidRDefault="00F50F51" w:rsidP="00420484">
      <w:pPr>
        <w:spacing w:before="240" w:after="0"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The sooner married couples realise that marriage is not a business arrangement where they come together in matrimony for convenience to acquire property separately while keeping receipts and other documents for future use in court, the better for everyone.  The courts recognise that parties come together in Holy Matrimony for their common good and the good of their children.  It is both</w:t>
      </w:r>
      <w:r w:rsidR="00A01FB7">
        <w:rPr>
          <w:rFonts w:ascii="Times New Roman" w:hAnsi="Times New Roman" w:cs="Times New Roman"/>
          <w:sz w:val="24"/>
          <w:szCs w:val="24"/>
        </w:rPr>
        <w:t xml:space="preserve"> the</w:t>
      </w:r>
      <w:r w:rsidRPr="00F50F51">
        <w:rPr>
          <w:rFonts w:ascii="Times New Roman" w:hAnsi="Times New Roman" w:cs="Times New Roman"/>
          <w:sz w:val="24"/>
          <w:szCs w:val="24"/>
        </w:rPr>
        <w:t xml:space="preserve"> direct and indirect input of </w:t>
      </w:r>
      <w:r w:rsidR="00A01FB7">
        <w:rPr>
          <w:rFonts w:ascii="Times New Roman" w:hAnsi="Times New Roman" w:cs="Times New Roman"/>
          <w:sz w:val="24"/>
          <w:szCs w:val="24"/>
        </w:rPr>
        <w:t>the spouses</w:t>
      </w:r>
      <w:r w:rsidRPr="00F50F51">
        <w:rPr>
          <w:rFonts w:ascii="Times New Roman" w:hAnsi="Times New Roman" w:cs="Times New Roman"/>
          <w:sz w:val="24"/>
          <w:szCs w:val="24"/>
        </w:rPr>
        <w:t xml:space="preserve"> which lead</w:t>
      </w:r>
      <w:r w:rsidR="00A01FB7">
        <w:rPr>
          <w:rFonts w:ascii="Times New Roman" w:hAnsi="Times New Roman" w:cs="Times New Roman"/>
          <w:sz w:val="24"/>
          <w:szCs w:val="24"/>
        </w:rPr>
        <w:t>s</w:t>
      </w:r>
      <w:r w:rsidRPr="00F50F51">
        <w:rPr>
          <w:rFonts w:ascii="Times New Roman" w:hAnsi="Times New Roman" w:cs="Times New Roman"/>
          <w:sz w:val="24"/>
          <w:szCs w:val="24"/>
        </w:rPr>
        <w:t xml:space="preserve"> to property acquisition.</w:t>
      </w:r>
    </w:p>
    <w:p w14:paraId="2B13CA6E" w14:textId="77777777" w:rsidR="00F50F51" w:rsidRPr="00F50F51" w:rsidRDefault="00F50F51" w:rsidP="00420484">
      <w:pPr>
        <w:spacing w:after="0" w:line="276" w:lineRule="auto"/>
        <w:ind w:firstLine="1134"/>
        <w:jc w:val="both"/>
        <w:rPr>
          <w:rFonts w:ascii="Times New Roman" w:hAnsi="Times New Roman" w:cs="Times New Roman"/>
          <w:sz w:val="24"/>
          <w:szCs w:val="24"/>
        </w:rPr>
      </w:pPr>
    </w:p>
    <w:p w14:paraId="3149AE36" w14:textId="2FD072AC" w:rsidR="00F50F51" w:rsidRPr="00F50F51" w:rsidRDefault="00F50F51" w:rsidP="00420484">
      <w:pPr>
        <w:spacing w:before="240"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This case is a classic example of parties who thought they w</w:t>
      </w:r>
      <w:r w:rsidR="00461DEC">
        <w:rPr>
          <w:rFonts w:ascii="Times New Roman" w:hAnsi="Times New Roman" w:cs="Times New Roman"/>
          <w:sz w:val="24"/>
          <w:szCs w:val="24"/>
        </w:rPr>
        <w:t xml:space="preserve">ere in a business arrangement.  </w:t>
      </w:r>
      <w:r w:rsidRPr="00F50F51">
        <w:rPr>
          <w:rFonts w:ascii="Times New Roman" w:hAnsi="Times New Roman" w:cs="Times New Roman"/>
          <w:sz w:val="24"/>
          <w:szCs w:val="24"/>
        </w:rPr>
        <w:t>They spent a lot of time trying to outdo each other on evidence to show that it is one and not the other who singularly acquired property.  This was a poor investment of time and energy.  There has to be an obvious and comp</w:t>
      </w:r>
      <w:r w:rsidR="000E7E09">
        <w:rPr>
          <w:rFonts w:ascii="Times New Roman" w:hAnsi="Times New Roman" w:cs="Times New Roman"/>
          <w:sz w:val="24"/>
          <w:szCs w:val="24"/>
        </w:rPr>
        <w:t>el</w:t>
      </w:r>
      <w:r w:rsidRPr="00F50F51">
        <w:rPr>
          <w:rFonts w:ascii="Times New Roman" w:hAnsi="Times New Roman" w:cs="Times New Roman"/>
          <w:sz w:val="24"/>
          <w:szCs w:val="24"/>
        </w:rPr>
        <w:t>ling reason for the court`s departure from the overarching principle of equality in the sharing of property.  None existed in this case.</w:t>
      </w:r>
    </w:p>
    <w:p w14:paraId="72AD15B2" w14:textId="77777777" w:rsidR="00F50F51" w:rsidRPr="00F50F51" w:rsidRDefault="00F50F51" w:rsidP="00377A10">
      <w:pPr>
        <w:spacing w:after="0" w:line="240" w:lineRule="auto"/>
        <w:jc w:val="both"/>
        <w:rPr>
          <w:rFonts w:ascii="Times New Roman" w:hAnsi="Times New Roman" w:cs="Times New Roman"/>
          <w:b/>
          <w:sz w:val="24"/>
          <w:szCs w:val="24"/>
          <w:u w:val="single"/>
        </w:rPr>
      </w:pPr>
    </w:p>
    <w:p w14:paraId="752643D3" w14:textId="77777777" w:rsidR="00F50F51" w:rsidRPr="00F50F51" w:rsidRDefault="00F50F51" w:rsidP="00F50F51">
      <w:pPr>
        <w:spacing w:before="240" w:after="0" w:line="240" w:lineRule="auto"/>
        <w:jc w:val="both"/>
        <w:rPr>
          <w:rFonts w:ascii="Times New Roman" w:hAnsi="Times New Roman" w:cs="Times New Roman"/>
          <w:b/>
          <w:sz w:val="24"/>
          <w:szCs w:val="24"/>
          <w:u w:val="single"/>
        </w:rPr>
      </w:pPr>
      <w:r w:rsidRPr="00F50F51">
        <w:rPr>
          <w:rFonts w:ascii="Times New Roman" w:hAnsi="Times New Roman" w:cs="Times New Roman"/>
          <w:b/>
          <w:sz w:val="24"/>
          <w:szCs w:val="24"/>
          <w:u w:val="single"/>
        </w:rPr>
        <w:t xml:space="preserve">DISPOSITION </w:t>
      </w:r>
    </w:p>
    <w:p w14:paraId="5804E0B9" w14:textId="4F4AAA29" w:rsidR="00F50F51" w:rsidRPr="00F50F51" w:rsidRDefault="00F50F51" w:rsidP="00420484">
      <w:pPr>
        <w:spacing w:before="240" w:after="0"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 xml:space="preserve">The court </w:t>
      </w:r>
      <w:r w:rsidRPr="00F50F51">
        <w:rPr>
          <w:rFonts w:ascii="Times New Roman" w:hAnsi="Times New Roman" w:cs="Times New Roman"/>
          <w:i/>
          <w:sz w:val="24"/>
          <w:szCs w:val="24"/>
        </w:rPr>
        <w:t>a quo</w:t>
      </w:r>
      <w:r w:rsidRPr="00F50F51">
        <w:rPr>
          <w:rFonts w:ascii="Times New Roman" w:hAnsi="Times New Roman" w:cs="Times New Roman"/>
          <w:sz w:val="24"/>
          <w:szCs w:val="24"/>
        </w:rPr>
        <w:t xml:space="preserve"> fell into grave error by failing to appreciate that the parties have only one home which they developed in order to generate income on the side.  To that extent, the “his” and “her” concept had no application.  There was no basis whatsoever, having regard to the totality of the evidence, for not sharing the matrimonial home equally between them.</w:t>
      </w:r>
    </w:p>
    <w:p w14:paraId="4E2E08C6" w14:textId="77777777" w:rsidR="00F50F51" w:rsidRPr="00F50F51" w:rsidRDefault="00F50F51" w:rsidP="00377A10">
      <w:pPr>
        <w:tabs>
          <w:tab w:val="left" w:pos="1134"/>
        </w:tabs>
        <w:spacing w:after="0" w:line="240" w:lineRule="auto"/>
        <w:jc w:val="both"/>
        <w:rPr>
          <w:rFonts w:ascii="Times New Roman" w:hAnsi="Times New Roman" w:cs="Times New Roman"/>
          <w:sz w:val="24"/>
          <w:szCs w:val="24"/>
        </w:rPr>
      </w:pPr>
    </w:p>
    <w:p w14:paraId="57137F87" w14:textId="4F541A0E" w:rsidR="00F50F51" w:rsidRDefault="00F50F51" w:rsidP="00420484">
      <w:pPr>
        <w:spacing w:before="240" w:line="480" w:lineRule="auto"/>
        <w:ind w:firstLine="1134"/>
        <w:jc w:val="both"/>
        <w:rPr>
          <w:rFonts w:ascii="Times New Roman" w:hAnsi="Times New Roman" w:cs="Times New Roman"/>
          <w:sz w:val="24"/>
          <w:szCs w:val="24"/>
        </w:rPr>
      </w:pPr>
      <w:r w:rsidRPr="00F50F51">
        <w:rPr>
          <w:rFonts w:ascii="Times New Roman" w:hAnsi="Times New Roman" w:cs="Times New Roman"/>
          <w:sz w:val="24"/>
          <w:szCs w:val="24"/>
        </w:rPr>
        <w:t xml:space="preserve">Both parties have been employed in one form or the other throughout their lives earning income. </w:t>
      </w:r>
      <w:r w:rsidR="00461DEC">
        <w:rPr>
          <w:rFonts w:ascii="Times New Roman" w:hAnsi="Times New Roman" w:cs="Times New Roman"/>
          <w:sz w:val="24"/>
          <w:szCs w:val="24"/>
        </w:rPr>
        <w:t xml:space="preserve"> </w:t>
      </w:r>
      <w:r w:rsidRPr="00F50F51">
        <w:rPr>
          <w:rFonts w:ascii="Times New Roman" w:hAnsi="Times New Roman" w:cs="Times New Roman"/>
          <w:sz w:val="24"/>
          <w:szCs w:val="24"/>
        </w:rPr>
        <w:t>They both contributed directly and indirectl</w:t>
      </w:r>
      <w:r w:rsidR="00461DEC">
        <w:rPr>
          <w:rFonts w:ascii="Times New Roman" w:hAnsi="Times New Roman" w:cs="Times New Roman"/>
          <w:sz w:val="24"/>
          <w:szCs w:val="24"/>
        </w:rPr>
        <w:t xml:space="preserve">y to the property acquisition.  </w:t>
      </w:r>
      <w:r w:rsidRPr="00F50F51">
        <w:rPr>
          <w:rFonts w:ascii="Times New Roman" w:hAnsi="Times New Roman" w:cs="Times New Roman"/>
          <w:sz w:val="24"/>
          <w:szCs w:val="24"/>
        </w:rPr>
        <w:t xml:space="preserve">In doing so, they intended to live in that property and they have dependent </w:t>
      </w:r>
      <w:r w:rsidR="00461DEC">
        <w:rPr>
          <w:rFonts w:ascii="Times New Roman" w:hAnsi="Times New Roman" w:cs="Times New Roman"/>
          <w:sz w:val="24"/>
          <w:szCs w:val="24"/>
        </w:rPr>
        <w:t xml:space="preserve">children who also need </w:t>
      </w:r>
      <w:r w:rsidR="00461DEC">
        <w:rPr>
          <w:rFonts w:ascii="Times New Roman" w:hAnsi="Times New Roman" w:cs="Times New Roman"/>
          <w:sz w:val="24"/>
          <w:szCs w:val="24"/>
        </w:rPr>
        <w:lastRenderedPageBreak/>
        <w:t xml:space="preserve">a home.  </w:t>
      </w:r>
      <w:r w:rsidRPr="00F50F51">
        <w:rPr>
          <w:rFonts w:ascii="Times New Roman" w:hAnsi="Times New Roman" w:cs="Times New Roman"/>
          <w:sz w:val="24"/>
          <w:szCs w:val="24"/>
        </w:rPr>
        <w:t xml:space="preserve">They could not be left to their devices to “chart their own paths in life.” </w:t>
      </w:r>
      <w:r w:rsidR="00461DEC">
        <w:rPr>
          <w:rFonts w:ascii="Times New Roman" w:hAnsi="Times New Roman" w:cs="Times New Roman"/>
          <w:sz w:val="24"/>
          <w:szCs w:val="24"/>
        </w:rPr>
        <w:t xml:space="preserve"> </w:t>
      </w:r>
      <w:r w:rsidRPr="00F50F51">
        <w:rPr>
          <w:rFonts w:ascii="Times New Roman" w:hAnsi="Times New Roman" w:cs="Times New Roman"/>
          <w:sz w:val="24"/>
          <w:szCs w:val="24"/>
        </w:rPr>
        <w:t>It is for the foregoing reasons that this Court issued the order set out above.</w:t>
      </w:r>
    </w:p>
    <w:p w14:paraId="49D036E8" w14:textId="77777777" w:rsidR="00377A10" w:rsidRDefault="00377A10" w:rsidP="00F50F51">
      <w:pPr>
        <w:tabs>
          <w:tab w:val="left" w:pos="1134"/>
        </w:tabs>
        <w:spacing w:before="240" w:line="480" w:lineRule="auto"/>
        <w:ind w:firstLine="1134"/>
        <w:jc w:val="both"/>
        <w:rPr>
          <w:rFonts w:ascii="Times New Roman" w:hAnsi="Times New Roman" w:cs="Times New Roman"/>
          <w:sz w:val="24"/>
          <w:szCs w:val="24"/>
        </w:rPr>
      </w:pPr>
    </w:p>
    <w:p w14:paraId="33A0A1DE" w14:textId="77777777" w:rsidR="00FF0BFE" w:rsidRDefault="00FF0BFE" w:rsidP="00461DEC">
      <w:pPr>
        <w:spacing w:line="480" w:lineRule="auto"/>
        <w:ind w:left="720" w:firstLine="720"/>
        <w:jc w:val="both"/>
        <w:rPr>
          <w:rFonts w:ascii="Times New Roman" w:hAnsi="Times New Roman" w:cs="Times New Roman"/>
          <w:b/>
          <w:sz w:val="24"/>
          <w:szCs w:val="24"/>
        </w:rPr>
      </w:pPr>
    </w:p>
    <w:p w14:paraId="54EFAA79" w14:textId="77777777" w:rsidR="008E1399" w:rsidRDefault="008E1399" w:rsidP="008E1399">
      <w:pPr>
        <w:spacing w:line="480" w:lineRule="auto"/>
        <w:jc w:val="both"/>
        <w:rPr>
          <w:rFonts w:ascii="Times New Roman" w:hAnsi="Times New Roman" w:cs="Times New Roman"/>
          <w:b/>
          <w:sz w:val="24"/>
          <w:szCs w:val="24"/>
        </w:rPr>
      </w:pPr>
    </w:p>
    <w:p w14:paraId="22103197" w14:textId="0612C171" w:rsidR="00F50F51" w:rsidRPr="00F50F51" w:rsidRDefault="00F50F51" w:rsidP="00461DEC">
      <w:pPr>
        <w:spacing w:line="480" w:lineRule="auto"/>
        <w:ind w:left="720" w:firstLine="720"/>
        <w:jc w:val="both"/>
        <w:rPr>
          <w:rFonts w:ascii="Times New Roman" w:hAnsi="Times New Roman" w:cs="Times New Roman"/>
          <w:b/>
          <w:sz w:val="24"/>
          <w:szCs w:val="24"/>
        </w:rPr>
      </w:pPr>
      <w:r w:rsidRPr="00F50F51">
        <w:rPr>
          <w:rFonts w:ascii="Times New Roman" w:hAnsi="Times New Roman" w:cs="Times New Roman"/>
          <w:b/>
          <w:sz w:val="24"/>
          <w:szCs w:val="24"/>
        </w:rPr>
        <w:t>UCHENA JA</w:t>
      </w:r>
      <w:r w:rsidRPr="00F50F51">
        <w:rPr>
          <w:rFonts w:ascii="Times New Roman" w:hAnsi="Times New Roman" w:cs="Times New Roman"/>
          <w:b/>
          <w:sz w:val="24"/>
          <w:szCs w:val="24"/>
        </w:rPr>
        <w:tab/>
      </w:r>
      <w:r w:rsidRPr="00F50F51">
        <w:rPr>
          <w:rFonts w:ascii="Times New Roman" w:hAnsi="Times New Roman" w:cs="Times New Roman"/>
          <w:b/>
          <w:sz w:val="24"/>
          <w:szCs w:val="24"/>
        </w:rPr>
        <w:tab/>
      </w:r>
      <w:r w:rsidRPr="00461DEC">
        <w:rPr>
          <w:rFonts w:ascii="Times New Roman" w:hAnsi="Times New Roman" w:cs="Times New Roman"/>
          <w:sz w:val="24"/>
          <w:szCs w:val="24"/>
        </w:rPr>
        <w:t>:</w:t>
      </w:r>
      <w:r w:rsidR="00461DEC">
        <w:rPr>
          <w:rFonts w:ascii="Times New Roman" w:hAnsi="Times New Roman" w:cs="Times New Roman"/>
          <w:b/>
          <w:sz w:val="24"/>
          <w:szCs w:val="24"/>
        </w:rPr>
        <w:tab/>
        <w:t xml:space="preserve">  </w:t>
      </w:r>
      <w:r w:rsidRPr="00F50F51">
        <w:rPr>
          <w:rFonts w:ascii="Times New Roman" w:hAnsi="Times New Roman" w:cs="Times New Roman"/>
          <w:sz w:val="24"/>
          <w:szCs w:val="24"/>
        </w:rPr>
        <w:t>I agree</w:t>
      </w:r>
    </w:p>
    <w:p w14:paraId="624B35A3" w14:textId="77777777" w:rsidR="00F50F51" w:rsidRPr="00F50F51" w:rsidRDefault="00F50F51" w:rsidP="00F50F51">
      <w:pPr>
        <w:tabs>
          <w:tab w:val="left" w:pos="1134"/>
        </w:tabs>
        <w:spacing w:line="480" w:lineRule="auto"/>
        <w:jc w:val="both"/>
        <w:rPr>
          <w:rFonts w:ascii="Times New Roman" w:hAnsi="Times New Roman" w:cs="Times New Roman"/>
          <w:b/>
          <w:sz w:val="24"/>
          <w:szCs w:val="24"/>
        </w:rPr>
      </w:pPr>
    </w:p>
    <w:p w14:paraId="7A558880" w14:textId="1893C5E6" w:rsidR="00F50F51" w:rsidRPr="00F50F51" w:rsidRDefault="00F50F51" w:rsidP="00461DEC">
      <w:pPr>
        <w:spacing w:line="480" w:lineRule="auto"/>
        <w:ind w:left="720" w:firstLine="720"/>
        <w:jc w:val="both"/>
        <w:rPr>
          <w:rFonts w:ascii="Times New Roman" w:hAnsi="Times New Roman" w:cs="Times New Roman"/>
          <w:sz w:val="24"/>
          <w:szCs w:val="24"/>
        </w:rPr>
      </w:pPr>
      <w:r w:rsidRPr="00F50F51">
        <w:rPr>
          <w:rFonts w:ascii="Times New Roman" w:hAnsi="Times New Roman" w:cs="Times New Roman"/>
          <w:b/>
          <w:sz w:val="24"/>
          <w:szCs w:val="24"/>
        </w:rPr>
        <w:t>CHATUKUTA JA</w:t>
      </w:r>
      <w:r w:rsidRPr="00F50F51">
        <w:rPr>
          <w:rFonts w:ascii="Times New Roman" w:hAnsi="Times New Roman" w:cs="Times New Roman"/>
          <w:b/>
          <w:sz w:val="24"/>
          <w:szCs w:val="24"/>
        </w:rPr>
        <w:tab/>
      </w:r>
      <w:r w:rsidRPr="00461DEC">
        <w:rPr>
          <w:rFonts w:ascii="Times New Roman" w:hAnsi="Times New Roman" w:cs="Times New Roman"/>
          <w:sz w:val="24"/>
          <w:szCs w:val="24"/>
        </w:rPr>
        <w:t>:</w:t>
      </w:r>
      <w:r w:rsidR="00461DEC">
        <w:rPr>
          <w:rFonts w:ascii="Times New Roman" w:hAnsi="Times New Roman" w:cs="Times New Roman"/>
          <w:sz w:val="24"/>
          <w:szCs w:val="24"/>
        </w:rPr>
        <w:tab/>
        <w:t xml:space="preserve">  </w:t>
      </w:r>
      <w:r w:rsidRPr="00F50F51">
        <w:rPr>
          <w:rFonts w:ascii="Times New Roman" w:hAnsi="Times New Roman" w:cs="Times New Roman"/>
          <w:sz w:val="24"/>
          <w:szCs w:val="24"/>
        </w:rPr>
        <w:t xml:space="preserve"> I agree</w:t>
      </w:r>
    </w:p>
    <w:p w14:paraId="3E6291FB" w14:textId="77777777" w:rsidR="00F50F51" w:rsidRPr="00F50F51" w:rsidRDefault="00F50F51" w:rsidP="00F50F51">
      <w:pPr>
        <w:shd w:val="clear" w:color="auto" w:fill="FFFFFF"/>
        <w:spacing w:before="100" w:beforeAutospacing="1" w:after="168" w:afterAutospacing="1" w:line="240" w:lineRule="auto"/>
        <w:jc w:val="both"/>
        <w:rPr>
          <w:rFonts w:ascii="Times New Roman" w:eastAsia="Times New Roman" w:hAnsi="Times New Roman" w:cs="Times New Roman"/>
          <w:i/>
          <w:iCs/>
          <w:sz w:val="24"/>
          <w:szCs w:val="24"/>
          <w:lang w:val="en-US" w:eastAsia="en-ZW"/>
        </w:rPr>
      </w:pPr>
    </w:p>
    <w:p w14:paraId="6B77B516" w14:textId="77777777" w:rsidR="00461DEC" w:rsidRPr="00F50F51" w:rsidRDefault="00461DEC" w:rsidP="00F50F51">
      <w:pPr>
        <w:shd w:val="clear" w:color="auto" w:fill="FFFFFF"/>
        <w:spacing w:before="100" w:beforeAutospacing="1" w:after="168" w:afterAutospacing="1" w:line="240" w:lineRule="auto"/>
        <w:jc w:val="both"/>
        <w:rPr>
          <w:rFonts w:ascii="Times New Roman" w:eastAsia="Times New Roman" w:hAnsi="Times New Roman" w:cs="Times New Roman"/>
          <w:i/>
          <w:iCs/>
          <w:sz w:val="24"/>
          <w:szCs w:val="24"/>
          <w:lang w:val="en-US" w:eastAsia="en-ZW"/>
        </w:rPr>
      </w:pPr>
    </w:p>
    <w:p w14:paraId="6A6B1057" w14:textId="5FEC54E6" w:rsidR="00F50F51" w:rsidRPr="00F50F51" w:rsidRDefault="008D5033" w:rsidP="00461DEC">
      <w:pPr>
        <w:shd w:val="clear" w:color="auto" w:fill="FFFFFF"/>
        <w:spacing w:after="0" w:line="480" w:lineRule="auto"/>
        <w:jc w:val="both"/>
        <w:rPr>
          <w:rFonts w:ascii="Times New Roman" w:eastAsia="Times New Roman" w:hAnsi="Times New Roman" w:cs="Times New Roman"/>
          <w:sz w:val="24"/>
          <w:szCs w:val="24"/>
          <w:lang w:val="en-US" w:eastAsia="en-ZW"/>
        </w:rPr>
      </w:pPr>
      <w:proofErr w:type="spellStart"/>
      <w:r w:rsidRPr="008D5033">
        <w:rPr>
          <w:rFonts w:ascii="Times New Roman" w:eastAsia="Times New Roman" w:hAnsi="Times New Roman" w:cs="Times New Roman"/>
          <w:i/>
          <w:sz w:val="24"/>
          <w:szCs w:val="24"/>
          <w:lang w:val="en-US" w:eastAsia="en-ZW"/>
        </w:rPr>
        <w:t>Tarugarira</w:t>
      </w:r>
      <w:proofErr w:type="spellEnd"/>
      <w:r w:rsidRPr="008D5033">
        <w:rPr>
          <w:rFonts w:ascii="Times New Roman" w:eastAsia="Times New Roman" w:hAnsi="Times New Roman" w:cs="Times New Roman"/>
          <w:i/>
          <w:sz w:val="24"/>
          <w:szCs w:val="24"/>
          <w:lang w:val="en-US" w:eastAsia="en-ZW"/>
        </w:rPr>
        <w:t xml:space="preserve"> Sande Attorneys</w:t>
      </w:r>
      <w:r w:rsidR="00F50F51" w:rsidRPr="00F50F51">
        <w:rPr>
          <w:rFonts w:ascii="Times New Roman" w:eastAsia="Times New Roman" w:hAnsi="Times New Roman" w:cs="Times New Roman"/>
          <w:sz w:val="24"/>
          <w:szCs w:val="24"/>
          <w:lang w:val="en-US" w:eastAsia="en-ZW"/>
        </w:rPr>
        <w:t>, appellants’ legal practitioners</w:t>
      </w:r>
    </w:p>
    <w:p w14:paraId="285EC37B" w14:textId="46842B72" w:rsidR="00F50F51" w:rsidRPr="00F50F51" w:rsidRDefault="000E7E09" w:rsidP="00461DEC">
      <w:pPr>
        <w:shd w:val="clear" w:color="auto" w:fill="FFFFFF"/>
        <w:spacing w:after="0" w:line="480" w:lineRule="auto"/>
        <w:jc w:val="both"/>
        <w:rPr>
          <w:rFonts w:ascii="Times New Roman" w:eastAsia="Times New Roman" w:hAnsi="Times New Roman" w:cs="Times New Roman"/>
          <w:sz w:val="24"/>
          <w:szCs w:val="24"/>
          <w:lang w:val="en-US" w:eastAsia="en-ZW"/>
        </w:rPr>
      </w:pPr>
      <w:proofErr w:type="spellStart"/>
      <w:r>
        <w:rPr>
          <w:rFonts w:ascii="Times New Roman" w:eastAsia="Times New Roman" w:hAnsi="Times New Roman" w:cs="Times New Roman"/>
          <w:i/>
          <w:sz w:val="24"/>
          <w:szCs w:val="24"/>
          <w:lang w:val="en-US" w:eastAsia="en-ZW"/>
        </w:rPr>
        <w:t>Sinyoro</w:t>
      </w:r>
      <w:proofErr w:type="spellEnd"/>
      <w:r>
        <w:rPr>
          <w:rFonts w:ascii="Times New Roman" w:eastAsia="Times New Roman" w:hAnsi="Times New Roman" w:cs="Times New Roman"/>
          <w:i/>
          <w:sz w:val="24"/>
          <w:szCs w:val="24"/>
          <w:lang w:val="en-US" w:eastAsia="en-ZW"/>
        </w:rPr>
        <w:t xml:space="preserve"> &amp; Partners</w:t>
      </w:r>
      <w:r w:rsidR="00F50F51" w:rsidRPr="00F50F51">
        <w:rPr>
          <w:rFonts w:ascii="Times New Roman" w:eastAsia="Times New Roman" w:hAnsi="Times New Roman" w:cs="Times New Roman"/>
          <w:sz w:val="24"/>
          <w:szCs w:val="24"/>
          <w:lang w:val="en-US" w:eastAsia="en-ZW"/>
        </w:rPr>
        <w:t>, respondent’s</w:t>
      </w:r>
      <w:bookmarkStart w:id="0" w:name="_GoBack"/>
      <w:bookmarkEnd w:id="0"/>
      <w:r w:rsidR="00F50F51" w:rsidRPr="00F50F51">
        <w:rPr>
          <w:rFonts w:ascii="Times New Roman" w:eastAsia="Times New Roman" w:hAnsi="Times New Roman" w:cs="Times New Roman"/>
          <w:sz w:val="24"/>
          <w:szCs w:val="24"/>
          <w:lang w:val="en-US" w:eastAsia="en-ZW"/>
        </w:rPr>
        <w:t xml:space="preserve"> legal practitioners</w:t>
      </w:r>
    </w:p>
    <w:p w14:paraId="567E1269" w14:textId="77777777" w:rsidR="00F50F51" w:rsidRPr="00F50F51" w:rsidRDefault="00F50F51" w:rsidP="00F50F51">
      <w:pPr>
        <w:spacing w:line="480" w:lineRule="auto"/>
        <w:ind w:firstLine="720"/>
        <w:jc w:val="both"/>
        <w:rPr>
          <w:rFonts w:ascii="Times New Roman" w:hAnsi="Times New Roman" w:cs="Times New Roman"/>
          <w:sz w:val="24"/>
          <w:szCs w:val="24"/>
        </w:rPr>
      </w:pPr>
    </w:p>
    <w:p w14:paraId="3D951FFC" w14:textId="77777777" w:rsidR="00F50F51" w:rsidRPr="00F50F51" w:rsidRDefault="00F50F51" w:rsidP="00F50F51">
      <w:pPr>
        <w:tabs>
          <w:tab w:val="left" w:pos="2070"/>
        </w:tabs>
        <w:spacing w:line="259" w:lineRule="auto"/>
        <w:jc w:val="both"/>
        <w:rPr>
          <w:rFonts w:ascii="Times New Roman" w:hAnsi="Times New Roman" w:cs="Times New Roman"/>
          <w:sz w:val="24"/>
          <w:szCs w:val="24"/>
        </w:rPr>
      </w:pPr>
    </w:p>
    <w:p w14:paraId="1CF8D839" w14:textId="77777777" w:rsidR="00F50F51" w:rsidRPr="00F50F51" w:rsidRDefault="00F50F51" w:rsidP="00F50F51">
      <w:pPr>
        <w:spacing w:line="480" w:lineRule="auto"/>
        <w:ind w:firstLine="1134"/>
        <w:jc w:val="both"/>
        <w:rPr>
          <w:rFonts w:ascii="Times New Roman" w:hAnsi="Times New Roman" w:cs="Times New Roman"/>
          <w:b/>
          <w:sz w:val="24"/>
          <w:szCs w:val="24"/>
          <w:lang w:val="en-US"/>
        </w:rPr>
      </w:pPr>
      <w:r w:rsidRPr="00F50F51">
        <w:rPr>
          <w:rFonts w:ascii="Times New Roman" w:hAnsi="Times New Roman" w:cs="Times New Roman"/>
          <w:sz w:val="24"/>
          <w:szCs w:val="24"/>
          <w:lang w:val="en-US"/>
        </w:rPr>
        <w:t xml:space="preserve">   </w:t>
      </w:r>
      <w:r w:rsidRPr="00F50F51">
        <w:rPr>
          <w:rFonts w:ascii="Times New Roman" w:hAnsi="Times New Roman" w:cs="Times New Roman"/>
          <w:b/>
          <w:sz w:val="24"/>
          <w:szCs w:val="24"/>
          <w:lang w:val="en-US"/>
        </w:rPr>
        <w:t xml:space="preserve">  </w:t>
      </w:r>
    </w:p>
    <w:p w14:paraId="118BB5BD" w14:textId="77777777" w:rsidR="00F50F51" w:rsidRPr="00F50F51" w:rsidRDefault="00F50F51" w:rsidP="00F50F51">
      <w:pPr>
        <w:spacing w:line="480" w:lineRule="auto"/>
        <w:jc w:val="both"/>
        <w:rPr>
          <w:rFonts w:ascii="Times New Roman" w:hAnsi="Times New Roman" w:cs="Times New Roman"/>
          <w:b/>
          <w:sz w:val="24"/>
          <w:szCs w:val="24"/>
          <w:lang w:val="en-US"/>
        </w:rPr>
      </w:pPr>
      <w:r w:rsidRPr="00F50F51">
        <w:rPr>
          <w:rFonts w:ascii="Times New Roman" w:hAnsi="Times New Roman" w:cs="Times New Roman"/>
          <w:b/>
          <w:sz w:val="24"/>
          <w:szCs w:val="24"/>
          <w:lang w:val="en-US"/>
        </w:rPr>
        <w:t xml:space="preserve">  </w:t>
      </w:r>
    </w:p>
    <w:p w14:paraId="37C7BB86" w14:textId="77777777" w:rsidR="00F50F51" w:rsidRPr="00F50F51" w:rsidRDefault="00F50F51" w:rsidP="00F50F51">
      <w:pPr>
        <w:spacing w:line="240" w:lineRule="auto"/>
        <w:ind w:left="709" w:firstLine="142"/>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                     </w:t>
      </w:r>
    </w:p>
    <w:p w14:paraId="0471CF70" w14:textId="77777777" w:rsidR="00F50F51" w:rsidRPr="00F50F51" w:rsidRDefault="00F50F51" w:rsidP="00F50F51">
      <w:pPr>
        <w:spacing w:line="480" w:lineRule="auto"/>
        <w:jc w:val="both"/>
        <w:rPr>
          <w:rFonts w:ascii="Times New Roman" w:hAnsi="Times New Roman" w:cs="Times New Roman"/>
          <w:sz w:val="24"/>
          <w:szCs w:val="24"/>
          <w:lang w:val="en-US"/>
        </w:rPr>
      </w:pPr>
      <w:r w:rsidRPr="00F50F51">
        <w:rPr>
          <w:rFonts w:ascii="Times New Roman" w:hAnsi="Times New Roman" w:cs="Times New Roman"/>
          <w:sz w:val="24"/>
          <w:szCs w:val="24"/>
          <w:lang w:val="en-US"/>
        </w:rPr>
        <w:t xml:space="preserve">   </w:t>
      </w:r>
    </w:p>
    <w:p w14:paraId="5B0ABC8F" w14:textId="0B86EBB3" w:rsidR="006C694B" w:rsidRDefault="006C694B" w:rsidP="008E1399">
      <w:pPr>
        <w:spacing w:after="0" w:line="480" w:lineRule="auto"/>
        <w:jc w:val="both"/>
        <w:rPr>
          <w:rFonts w:ascii="Times New Roman" w:hAnsi="Times New Roman" w:cs="Times New Roman"/>
          <w:sz w:val="24"/>
          <w:szCs w:val="24"/>
        </w:rPr>
      </w:pPr>
    </w:p>
    <w:sectPr w:rsidR="006C694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D21C2" w14:textId="77777777" w:rsidR="004D0F4F" w:rsidRDefault="004D0F4F" w:rsidP="00207721">
      <w:pPr>
        <w:spacing w:after="0" w:line="240" w:lineRule="auto"/>
      </w:pPr>
      <w:r>
        <w:separator/>
      </w:r>
    </w:p>
  </w:endnote>
  <w:endnote w:type="continuationSeparator" w:id="0">
    <w:p w14:paraId="4B6C2F7F" w14:textId="77777777" w:rsidR="004D0F4F" w:rsidRDefault="004D0F4F" w:rsidP="0020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75640" w14:textId="77777777" w:rsidR="004D0F4F" w:rsidRDefault="004D0F4F" w:rsidP="00207721">
      <w:pPr>
        <w:spacing w:after="0" w:line="240" w:lineRule="auto"/>
      </w:pPr>
      <w:r>
        <w:separator/>
      </w:r>
    </w:p>
  </w:footnote>
  <w:footnote w:type="continuationSeparator" w:id="0">
    <w:p w14:paraId="0B3DB7D3" w14:textId="77777777" w:rsidR="004D0F4F" w:rsidRDefault="004D0F4F" w:rsidP="00207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2C62B" w14:textId="77777777" w:rsidR="00BB325D" w:rsidRDefault="00BB325D">
    <w:pPr>
      <w:pStyle w:val="Header"/>
    </w:pPr>
    <w:r>
      <w:rPr>
        <w:noProof/>
        <w:lang w:eastAsia="en-ZW"/>
      </w:rPr>
      <mc:AlternateContent>
        <mc:Choice Requires="wps">
          <w:drawing>
            <wp:anchor distT="0" distB="0" distL="114300" distR="114300" simplePos="0" relativeHeight="251660288" behindDoc="0" locked="0" layoutInCell="0" allowOverlap="1" wp14:anchorId="1A795C3D" wp14:editId="3CD4531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B6F8D" w14:textId="052B5F29" w:rsidR="00BB325D" w:rsidRPr="00207721" w:rsidRDefault="00BB325D">
                          <w:pPr>
                            <w:spacing w:after="0" w:line="240" w:lineRule="auto"/>
                            <w:jc w:val="right"/>
                            <w:rPr>
                              <w:rFonts w:ascii="Times New Roman" w:hAnsi="Times New Roman" w:cs="Times New Roman"/>
                              <w:b/>
                              <w:noProof/>
                              <w:sz w:val="24"/>
                              <w:szCs w:val="24"/>
                            </w:rPr>
                          </w:pPr>
                          <w:r w:rsidRPr="00207721">
                            <w:rPr>
                              <w:rFonts w:ascii="Times New Roman" w:hAnsi="Times New Roman" w:cs="Times New Roman"/>
                              <w:b/>
                              <w:noProof/>
                              <w:sz w:val="24"/>
                              <w:szCs w:val="24"/>
                            </w:rPr>
                            <w:t xml:space="preserve">Judgment No. SC </w:t>
                          </w:r>
                          <w:r w:rsidR="00BC5619">
                            <w:rPr>
                              <w:rFonts w:ascii="Times New Roman" w:hAnsi="Times New Roman" w:cs="Times New Roman"/>
                              <w:b/>
                              <w:noProof/>
                              <w:sz w:val="24"/>
                              <w:szCs w:val="24"/>
                            </w:rPr>
                            <w:t>22</w:t>
                          </w:r>
                          <w:r>
                            <w:rPr>
                              <w:rFonts w:ascii="Times New Roman" w:hAnsi="Times New Roman" w:cs="Times New Roman"/>
                              <w:b/>
                              <w:noProof/>
                              <w:sz w:val="24"/>
                              <w:szCs w:val="24"/>
                            </w:rPr>
                            <w:t>/24</w:t>
                          </w:r>
                        </w:p>
                        <w:p w14:paraId="142369CA" w14:textId="77777777" w:rsidR="00BB325D" w:rsidRPr="00207721" w:rsidRDefault="00BB325D">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Civil Appeal</w:t>
                          </w:r>
                          <w:r w:rsidRPr="00207721">
                            <w:rPr>
                              <w:rFonts w:ascii="Times New Roman" w:hAnsi="Times New Roman" w:cs="Times New Roman"/>
                              <w:b/>
                              <w:noProof/>
                              <w:sz w:val="24"/>
                              <w:szCs w:val="24"/>
                            </w:rPr>
                            <w:t xml:space="preserve"> No. SC </w:t>
                          </w:r>
                          <w:r>
                            <w:rPr>
                              <w:rFonts w:ascii="Times New Roman" w:hAnsi="Times New Roman" w:cs="Times New Roman"/>
                              <w:b/>
                              <w:noProof/>
                              <w:sz w:val="24"/>
                              <w:szCs w:val="24"/>
                            </w:rPr>
                            <w:t>504/23</w:t>
                          </w:r>
                        </w:p>
                        <w:p w14:paraId="2D9E1DA3" w14:textId="77777777" w:rsidR="00BB325D" w:rsidRPr="00207721" w:rsidRDefault="00BB325D">
                          <w:pPr>
                            <w:spacing w:after="0" w:line="240" w:lineRule="auto"/>
                            <w:jc w:val="right"/>
                            <w:rPr>
                              <w:rFonts w:ascii="Times New Roman" w:hAnsi="Times New Roman" w:cs="Times New Roman"/>
                              <w:b/>
                              <w:noProof/>
                              <w:sz w:val="24"/>
                              <w:szCs w:val="24"/>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795C3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5EB6F8D" w14:textId="052B5F29" w:rsidR="00BB325D" w:rsidRPr="00207721" w:rsidRDefault="00BB325D">
                    <w:pPr>
                      <w:spacing w:after="0" w:line="240" w:lineRule="auto"/>
                      <w:jc w:val="right"/>
                      <w:rPr>
                        <w:rFonts w:ascii="Times New Roman" w:hAnsi="Times New Roman" w:cs="Times New Roman"/>
                        <w:b/>
                        <w:noProof/>
                        <w:sz w:val="24"/>
                        <w:szCs w:val="24"/>
                      </w:rPr>
                    </w:pPr>
                    <w:r w:rsidRPr="00207721">
                      <w:rPr>
                        <w:rFonts w:ascii="Times New Roman" w:hAnsi="Times New Roman" w:cs="Times New Roman"/>
                        <w:b/>
                        <w:noProof/>
                        <w:sz w:val="24"/>
                        <w:szCs w:val="24"/>
                      </w:rPr>
                      <w:t xml:space="preserve">Judgment No. SC </w:t>
                    </w:r>
                    <w:r w:rsidR="00BC5619">
                      <w:rPr>
                        <w:rFonts w:ascii="Times New Roman" w:hAnsi="Times New Roman" w:cs="Times New Roman"/>
                        <w:b/>
                        <w:noProof/>
                        <w:sz w:val="24"/>
                        <w:szCs w:val="24"/>
                      </w:rPr>
                      <w:t>22</w:t>
                    </w:r>
                    <w:r>
                      <w:rPr>
                        <w:rFonts w:ascii="Times New Roman" w:hAnsi="Times New Roman" w:cs="Times New Roman"/>
                        <w:b/>
                        <w:noProof/>
                        <w:sz w:val="24"/>
                        <w:szCs w:val="24"/>
                      </w:rPr>
                      <w:t>/24</w:t>
                    </w:r>
                  </w:p>
                  <w:p w14:paraId="142369CA" w14:textId="77777777" w:rsidR="00BB325D" w:rsidRPr="00207721" w:rsidRDefault="00BB325D">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Civil Appeal</w:t>
                    </w:r>
                    <w:r w:rsidRPr="00207721">
                      <w:rPr>
                        <w:rFonts w:ascii="Times New Roman" w:hAnsi="Times New Roman" w:cs="Times New Roman"/>
                        <w:b/>
                        <w:noProof/>
                        <w:sz w:val="24"/>
                        <w:szCs w:val="24"/>
                      </w:rPr>
                      <w:t xml:space="preserve"> No. SC </w:t>
                    </w:r>
                    <w:r>
                      <w:rPr>
                        <w:rFonts w:ascii="Times New Roman" w:hAnsi="Times New Roman" w:cs="Times New Roman"/>
                        <w:b/>
                        <w:noProof/>
                        <w:sz w:val="24"/>
                        <w:szCs w:val="24"/>
                      </w:rPr>
                      <w:t>504/23</w:t>
                    </w:r>
                  </w:p>
                  <w:p w14:paraId="2D9E1DA3" w14:textId="77777777" w:rsidR="00BB325D" w:rsidRPr="00207721" w:rsidRDefault="00BB325D">
                    <w:pPr>
                      <w:spacing w:after="0" w:line="240" w:lineRule="auto"/>
                      <w:jc w:val="right"/>
                      <w:rPr>
                        <w:rFonts w:ascii="Times New Roman" w:hAnsi="Times New Roman" w:cs="Times New Roman"/>
                        <w:b/>
                        <w:noProof/>
                        <w:sz w:val="24"/>
                        <w:szCs w:val="24"/>
                      </w:rPr>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3883BB3F" wp14:editId="30B3345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B562CF0" w14:textId="77777777" w:rsidR="00BB325D" w:rsidRDefault="00BB325D">
                          <w:pPr>
                            <w:spacing w:after="0" w:line="240" w:lineRule="auto"/>
                            <w:rPr>
                              <w:color w:val="FFFFFF" w:themeColor="background1"/>
                            </w:rPr>
                          </w:pPr>
                          <w:r>
                            <w:fldChar w:fldCharType="begin"/>
                          </w:r>
                          <w:r>
                            <w:instrText xml:space="preserve"> PAGE   \* MERGEFORMAT </w:instrText>
                          </w:r>
                          <w:r>
                            <w:fldChar w:fldCharType="separate"/>
                          </w:r>
                          <w:r w:rsidR="008D5033" w:rsidRPr="008D5033">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883BB3F"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B562CF0" w14:textId="77777777" w:rsidR="00BB325D" w:rsidRDefault="00BB325D">
                    <w:pPr>
                      <w:spacing w:after="0" w:line="240" w:lineRule="auto"/>
                      <w:rPr>
                        <w:color w:val="FFFFFF" w:themeColor="background1"/>
                      </w:rPr>
                    </w:pPr>
                    <w:r>
                      <w:fldChar w:fldCharType="begin"/>
                    </w:r>
                    <w:r>
                      <w:instrText xml:space="preserve"> PAGE   \* MERGEFORMAT </w:instrText>
                    </w:r>
                    <w:r>
                      <w:fldChar w:fldCharType="separate"/>
                    </w:r>
                    <w:r w:rsidR="008D5033" w:rsidRPr="008D5033">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C15C5"/>
    <w:multiLevelType w:val="hybridMultilevel"/>
    <w:tmpl w:val="4718B308"/>
    <w:lvl w:ilvl="0" w:tplc="4572B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A7C85"/>
    <w:multiLevelType w:val="hybridMultilevel"/>
    <w:tmpl w:val="1442ADB8"/>
    <w:lvl w:ilvl="0" w:tplc="6C36E9E2">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 w15:restartNumberingAfterBreak="0">
    <w:nsid w:val="0E8D72F4"/>
    <w:multiLevelType w:val="hybridMultilevel"/>
    <w:tmpl w:val="D06C6946"/>
    <w:lvl w:ilvl="0" w:tplc="61E63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516F4"/>
    <w:multiLevelType w:val="hybridMultilevel"/>
    <w:tmpl w:val="65480430"/>
    <w:lvl w:ilvl="0" w:tplc="BCEE6CB2">
      <w:start w:val="1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BED6099"/>
    <w:multiLevelType w:val="hybridMultilevel"/>
    <w:tmpl w:val="AD96DE28"/>
    <w:lvl w:ilvl="0" w:tplc="3E2A6374">
      <w:start w:val="1"/>
      <w:numFmt w:val="lowerLetter"/>
      <w:lvlText w:val="(%1)"/>
      <w:lvlJc w:val="left"/>
      <w:pPr>
        <w:ind w:left="1808" w:hanging="39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3B2D7E48"/>
    <w:multiLevelType w:val="hybridMultilevel"/>
    <w:tmpl w:val="738AE37E"/>
    <w:lvl w:ilvl="0" w:tplc="191CA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DB7E2F"/>
    <w:multiLevelType w:val="hybridMultilevel"/>
    <w:tmpl w:val="8CE2204C"/>
    <w:lvl w:ilvl="0" w:tplc="7E3AE408">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3E28477C"/>
    <w:multiLevelType w:val="hybridMultilevel"/>
    <w:tmpl w:val="DCDC768A"/>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5C440A0"/>
    <w:multiLevelType w:val="hybridMultilevel"/>
    <w:tmpl w:val="2B744A9A"/>
    <w:lvl w:ilvl="0" w:tplc="3009000F">
      <w:start w:val="1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56677508"/>
    <w:multiLevelType w:val="hybridMultilevel"/>
    <w:tmpl w:val="0C28C54A"/>
    <w:lvl w:ilvl="0" w:tplc="273CA582">
      <w:start w:val="13"/>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0" w15:restartNumberingAfterBreak="0">
    <w:nsid w:val="610717E3"/>
    <w:multiLevelType w:val="hybridMultilevel"/>
    <w:tmpl w:val="1324C21C"/>
    <w:lvl w:ilvl="0" w:tplc="A2D8CE40">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7"/>
  </w:num>
  <w:num w:numId="2">
    <w:abstractNumId w:val="1"/>
  </w:num>
  <w:num w:numId="3">
    <w:abstractNumId w:val="6"/>
  </w:num>
  <w:num w:numId="4">
    <w:abstractNumId w:val="10"/>
  </w:num>
  <w:num w:numId="5">
    <w:abstractNumId w:val="4"/>
  </w:num>
  <w:num w:numId="6">
    <w:abstractNumId w:val="9"/>
  </w:num>
  <w:num w:numId="7">
    <w:abstractNumId w:val="3"/>
  </w:num>
  <w:num w:numId="8">
    <w:abstractNumId w:val="8"/>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3E"/>
    <w:rsid w:val="0002660F"/>
    <w:rsid w:val="000277B5"/>
    <w:rsid w:val="00055758"/>
    <w:rsid w:val="00067A9B"/>
    <w:rsid w:val="00072478"/>
    <w:rsid w:val="000740E6"/>
    <w:rsid w:val="00074CA8"/>
    <w:rsid w:val="00075673"/>
    <w:rsid w:val="00076E45"/>
    <w:rsid w:val="00083CCC"/>
    <w:rsid w:val="00091D51"/>
    <w:rsid w:val="00095A50"/>
    <w:rsid w:val="000965C5"/>
    <w:rsid w:val="000A08CE"/>
    <w:rsid w:val="000A146C"/>
    <w:rsid w:val="000A3314"/>
    <w:rsid w:val="000C406C"/>
    <w:rsid w:val="000C77DC"/>
    <w:rsid w:val="000E2F63"/>
    <w:rsid w:val="000E3443"/>
    <w:rsid w:val="000E3E79"/>
    <w:rsid w:val="000E7E09"/>
    <w:rsid w:val="00105578"/>
    <w:rsid w:val="00106F74"/>
    <w:rsid w:val="00116096"/>
    <w:rsid w:val="00117BAD"/>
    <w:rsid w:val="0013022F"/>
    <w:rsid w:val="00131DCD"/>
    <w:rsid w:val="00142281"/>
    <w:rsid w:val="00142AA6"/>
    <w:rsid w:val="0016094E"/>
    <w:rsid w:val="00174BDC"/>
    <w:rsid w:val="00176051"/>
    <w:rsid w:val="001845C2"/>
    <w:rsid w:val="00193381"/>
    <w:rsid w:val="00195556"/>
    <w:rsid w:val="001C3350"/>
    <w:rsid w:val="001E1DB0"/>
    <w:rsid w:val="001F0BC6"/>
    <w:rsid w:val="001F1B3E"/>
    <w:rsid w:val="001F3472"/>
    <w:rsid w:val="001F448F"/>
    <w:rsid w:val="00204BC3"/>
    <w:rsid w:val="002068E6"/>
    <w:rsid w:val="00207721"/>
    <w:rsid w:val="00211AA9"/>
    <w:rsid w:val="002218B1"/>
    <w:rsid w:val="002437E3"/>
    <w:rsid w:val="00256153"/>
    <w:rsid w:val="00262732"/>
    <w:rsid w:val="00295628"/>
    <w:rsid w:val="002A2446"/>
    <w:rsid w:val="002B0D6E"/>
    <w:rsid w:val="002B76AD"/>
    <w:rsid w:val="002C248D"/>
    <w:rsid w:val="002D0278"/>
    <w:rsid w:val="002D3D6B"/>
    <w:rsid w:val="002D73ED"/>
    <w:rsid w:val="002E3D25"/>
    <w:rsid w:val="002E6914"/>
    <w:rsid w:val="002F5BE4"/>
    <w:rsid w:val="002F6C05"/>
    <w:rsid w:val="00300827"/>
    <w:rsid w:val="00307D44"/>
    <w:rsid w:val="00310A5F"/>
    <w:rsid w:val="00310F3F"/>
    <w:rsid w:val="00314190"/>
    <w:rsid w:val="003171EC"/>
    <w:rsid w:val="003225EA"/>
    <w:rsid w:val="00324FEA"/>
    <w:rsid w:val="0032692C"/>
    <w:rsid w:val="00327658"/>
    <w:rsid w:val="00327AF1"/>
    <w:rsid w:val="0033125D"/>
    <w:rsid w:val="003356FB"/>
    <w:rsid w:val="00343ECE"/>
    <w:rsid w:val="00353631"/>
    <w:rsid w:val="0036622D"/>
    <w:rsid w:val="00377A10"/>
    <w:rsid w:val="003812C9"/>
    <w:rsid w:val="00391892"/>
    <w:rsid w:val="00393BEA"/>
    <w:rsid w:val="003B1ACC"/>
    <w:rsid w:val="003B6288"/>
    <w:rsid w:val="003B75FA"/>
    <w:rsid w:val="003F2225"/>
    <w:rsid w:val="003F718B"/>
    <w:rsid w:val="00402369"/>
    <w:rsid w:val="0041740E"/>
    <w:rsid w:val="00420484"/>
    <w:rsid w:val="004260E4"/>
    <w:rsid w:val="00441979"/>
    <w:rsid w:val="004423B7"/>
    <w:rsid w:val="00461DEC"/>
    <w:rsid w:val="004651AE"/>
    <w:rsid w:val="00476249"/>
    <w:rsid w:val="00484B2E"/>
    <w:rsid w:val="00492CD8"/>
    <w:rsid w:val="004C150E"/>
    <w:rsid w:val="004D0F4F"/>
    <w:rsid w:val="004E3D5B"/>
    <w:rsid w:val="004E7AC1"/>
    <w:rsid w:val="00503DBB"/>
    <w:rsid w:val="00513FA5"/>
    <w:rsid w:val="005174DD"/>
    <w:rsid w:val="005230BF"/>
    <w:rsid w:val="00526790"/>
    <w:rsid w:val="0053056C"/>
    <w:rsid w:val="0056087E"/>
    <w:rsid w:val="00563EE1"/>
    <w:rsid w:val="0057299C"/>
    <w:rsid w:val="00581AE2"/>
    <w:rsid w:val="005908C2"/>
    <w:rsid w:val="005937AA"/>
    <w:rsid w:val="005B3A2A"/>
    <w:rsid w:val="005B4875"/>
    <w:rsid w:val="005B7CA5"/>
    <w:rsid w:val="005C5E0B"/>
    <w:rsid w:val="005C5E7F"/>
    <w:rsid w:val="005E17A9"/>
    <w:rsid w:val="005F096C"/>
    <w:rsid w:val="006041AD"/>
    <w:rsid w:val="006067CB"/>
    <w:rsid w:val="00612A55"/>
    <w:rsid w:val="006166CA"/>
    <w:rsid w:val="00622B87"/>
    <w:rsid w:val="00622E93"/>
    <w:rsid w:val="00624FD5"/>
    <w:rsid w:val="00630434"/>
    <w:rsid w:val="00633163"/>
    <w:rsid w:val="00653A76"/>
    <w:rsid w:val="00654696"/>
    <w:rsid w:val="00654DC4"/>
    <w:rsid w:val="00657FC6"/>
    <w:rsid w:val="00684A50"/>
    <w:rsid w:val="00687DC7"/>
    <w:rsid w:val="006904CA"/>
    <w:rsid w:val="00695340"/>
    <w:rsid w:val="00695C65"/>
    <w:rsid w:val="006C694B"/>
    <w:rsid w:val="006D1A3B"/>
    <w:rsid w:val="006D1AF8"/>
    <w:rsid w:val="006D624A"/>
    <w:rsid w:val="006E0515"/>
    <w:rsid w:val="006F3197"/>
    <w:rsid w:val="00703284"/>
    <w:rsid w:val="00704DB0"/>
    <w:rsid w:val="00721E83"/>
    <w:rsid w:val="00723D7D"/>
    <w:rsid w:val="00725229"/>
    <w:rsid w:val="00732F7E"/>
    <w:rsid w:val="00734617"/>
    <w:rsid w:val="00741DF7"/>
    <w:rsid w:val="007466F1"/>
    <w:rsid w:val="00746EC8"/>
    <w:rsid w:val="007706DF"/>
    <w:rsid w:val="007768B5"/>
    <w:rsid w:val="007818EE"/>
    <w:rsid w:val="00790905"/>
    <w:rsid w:val="00794858"/>
    <w:rsid w:val="00794D5D"/>
    <w:rsid w:val="007B139D"/>
    <w:rsid w:val="007B5FF1"/>
    <w:rsid w:val="007C0ED2"/>
    <w:rsid w:val="007C4FCB"/>
    <w:rsid w:val="007C633E"/>
    <w:rsid w:val="007C65D8"/>
    <w:rsid w:val="007C71E6"/>
    <w:rsid w:val="007D46C8"/>
    <w:rsid w:val="007D747A"/>
    <w:rsid w:val="007E0DBC"/>
    <w:rsid w:val="00800EF4"/>
    <w:rsid w:val="00811192"/>
    <w:rsid w:val="0083317B"/>
    <w:rsid w:val="00835BA8"/>
    <w:rsid w:val="008429A6"/>
    <w:rsid w:val="00843A09"/>
    <w:rsid w:val="008552F8"/>
    <w:rsid w:val="0085530D"/>
    <w:rsid w:val="00875E01"/>
    <w:rsid w:val="00881B62"/>
    <w:rsid w:val="008845B8"/>
    <w:rsid w:val="008A668F"/>
    <w:rsid w:val="008B3E1D"/>
    <w:rsid w:val="008D5033"/>
    <w:rsid w:val="008E1399"/>
    <w:rsid w:val="008E6ED3"/>
    <w:rsid w:val="00901097"/>
    <w:rsid w:val="0090150A"/>
    <w:rsid w:val="00910D9D"/>
    <w:rsid w:val="00920AE5"/>
    <w:rsid w:val="00923A53"/>
    <w:rsid w:val="00930CF4"/>
    <w:rsid w:val="00936CE2"/>
    <w:rsid w:val="00942E6F"/>
    <w:rsid w:val="00946087"/>
    <w:rsid w:val="009556BF"/>
    <w:rsid w:val="00962F28"/>
    <w:rsid w:val="00975C60"/>
    <w:rsid w:val="0099257C"/>
    <w:rsid w:val="009962B9"/>
    <w:rsid w:val="009B4069"/>
    <w:rsid w:val="009C00DB"/>
    <w:rsid w:val="009C1320"/>
    <w:rsid w:val="009E1EFD"/>
    <w:rsid w:val="009F53F4"/>
    <w:rsid w:val="00A01FB7"/>
    <w:rsid w:val="00A13B5E"/>
    <w:rsid w:val="00A3012A"/>
    <w:rsid w:val="00A407B1"/>
    <w:rsid w:val="00A6761A"/>
    <w:rsid w:val="00A80779"/>
    <w:rsid w:val="00A83696"/>
    <w:rsid w:val="00A8437D"/>
    <w:rsid w:val="00A912FA"/>
    <w:rsid w:val="00A91FD3"/>
    <w:rsid w:val="00AA2462"/>
    <w:rsid w:val="00AA67DD"/>
    <w:rsid w:val="00AB5D4E"/>
    <w:rsid w:val="00AE2634"/>
    <w:rsid w:val="00AF159D"/>
    <w:rsid w:val="00B12CA0"/>
    <w:rsid w:val="00B1535E"/>
    <w:rsid w:val="00B159FE"/>
    <w:rsid w:val="00B660FA"/>
    <w:rsid w:val="00B7200E"/>
    <w:rsid w:val="00B7684D"/>
    <w:rsid w:val="00B819BC"/>
    <w:rsid w:val="00BA17E6"/>
    <w:rsid w:val="00BB325D"/>
    <w:rsid w:val="00BB4A24"/>
    <w:rsid w:val="00BB68B8"/>
    <w:rsid w:val="00BC5619"/>
    <w:rsid w:val="00BC73E5"/>
    <w:rsid w:val="00BF0221"/>
    <w:rsid w:val="00C07788"/>
    <w:rsid w:val="00C123C6"/>
    <w:rsid w:val="00C2077B"/>
    <w:rsid w:val="00C21B8E"/>
    <w:rsid w:val="00C3221F"/>
    <w:rsid w:val="00C32405"/>
    <w:rsid w:val="00C37388"/>
    <w:rsid w:val="00C465F8"/>
    <w:rsid w:val="00C6086A"/>
    <w:rsid w:val="00C6487E"/>
    <w:rsid w:val="00C6759F"/>
    <w:rsid w:val="00C72BE2"/>
    <w:rsid w:val="00C761FA"/>
    <w:rsid w:val="00CC5A6D"/>
    <w:rsid w:val="00CD7801"/>
    <w:rsid w:val="00D11E8F"/>
    <w:rsid w:val="00D23442"/>
    <w:rsid w:val="00D3077C"/>
    <w:rsid w:val="00D36AB1"/>
    <w:rsid w:val="00D459B1"/>
    <w:rsid w:val="00D51090"/>
    <w:rsid w:val="00D60505"/>
    <w:rsid w:val="00D666CF"/>
    <w:rsid w:val="00D71BBD"/>
    <w:rsid w:val="00D83328"/>
    <w:rsid w:val="00D84C39"/>
    <w:rsid w:val="00DB5A10"/>
    <w:rsid w:val="00DB7FE6"/>
    <w:rsid w:val="00DC7E17"/>
    <w:rsid w:val="00DD04F9"/>
    <w:rsid w:val="00DF0265"/>
    <w:rsid w:val="00E22037"/>
    <w:rsid w:val="00E23DAA"/>
    <w:rsid w:val="00E240D8"/>
    <w:rsid w:val="00E27C58"/>
    <w:rsid w:val="00E3142E"/>
    <w:rsid w:val="00E37F5E"/>
    <w:rsid w:val="00E408F0"/>
    <w:rsid w:val="00E6194A"/>
    <w:rsid w:val="00E729E6"/>
    <w:rsid w:val="00E83FA7"/>
    <w:rsid w:val="00E85FBB"/>
    <w:rsid w:val="00EC23B8"/>
    <w:rsid w:val="00EC3411"/>
    <w:rsid w:val="00ED37E4"/>
    <w:rsid w:val="00ED744C"/>
    <w:rsid w:val="00EE61F0"/>
    <w:rsid w:val="00EE7CD5"/>
    <w:rsid w:val="00EF2829"/>
    <w:rsid w:val="00EF4C7A"/>
    <w:rsid w:val="00EF4D1E"/>
    <w:rsid w:val="00EF606F"/>
    <w:rsid w:val="00F15E98"/>
    <w:rsid w:val="00F2114F"/>
    <w:rsid w:val="00F25C8F"/>
    <w:rsid w:val="00F3362D"/>
    <w:rsid w:val="00F40497"/>
    <w:rsid w:val="00F50F51"/>
    <w:rsid w:val="00F514F3"/>
    <w:rsid w:val="00F55284"/>
    <w:rsid w:val="00F6458B"/>
    <w:rsid w:val="00F74ACF"/>
    <w:rsid w:val="00F85E16"/>
    <w:rsid w:val="00F87274"/>
    <w:rsid w:val="00FA0055"/>
    <w:rsid w:val="00FA7E08"/>
    <w:rsid w:val="00FC01B0"/>
    <w:rsid w:val="00FC04B5"/>
    <w:rsid w:val="00FC1192"/>
    <w:rsid w:val="00FC37BF"/>
    <w:rsid w:val="00FC626F"/>
    <w:rsid w:val="00FD4005"/>
    <w:rsid w:val="00FD4A10"/>
    <w:rsid w:val="00FE7F4D"/>
    <w:rsid w:val="00FF0BF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47243"/>
  <w15:chartTrackingRefBased/>
  <w15:docId w15:val="{1FDDA9A9-39B7-4DE7-83C8-69A25800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33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33E"/>
    <w:pPr>
      <w:ind w:left="720"/>
      <w:contextualSpacing/>
    </w:pPr>
  </w:style>
  <w:style w:type="paragraph" w:customStyle="1" w:styleId="Default">
    <w:name w:val="Default"/>
    <w:rsid w:val="00DB5A1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0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721"/>
  </w:style>
  <w:style w:type="paragraph" w:styleId="Footer">
    <w:name w:val="footer"/>
    <w:basedOn w:val="Normal"/>
    <w:link w:val="FooterChar"/>
    <w:uiPriority w:val="99"/>
    <w:unhideWhenUsed/>
    <w:rsid w:val="0020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721"/>
  </w:style>
  <w:style w:type="character" w:styleId="CommentReference">
    <w:name w:val="annotation reference"/>
    <w:basedOn w:val="DefaultParagraphFont"/>
    <w:uiPriority w:val="99"/>
    <w:semiHidden/>
    <w:unhideWhenUsed/>
    <w:rsid w:val="007C71E6"/>
    <w:rPr>
      <w:sz w:val="16"/>
      <w:szCs w:val="16"/>
    </w:rPr>
  </w:style>
  <w:style w:type="paragraph" w:styleId="CommentText">
    <w:name w:val="annotation text"/>
    <w:basedOn w:val="Normal"/>
    <w:link w:val="CommentTextChar"/>
    <w:uiPriority w:val="99"/>
    <w:semiHidden/>
    <w:unhideWhenUsed/>
    <w:rsid w:val="007C71E6"/>
    <w:pPr>
      <w:spacing w:line="240" w:lineRule="auto"/>
    </w:pPr>
    <w:rPr>
      <w:sz w:val="20"/>
      <w:szCs w:val="20"/>
    </w:rPr>
  </w:style>
  <w:style w:type="character" w:customStyle="1" w:styleId="CommentTextChar">
    <w:name w:val="Comment Text Char"/>
    <w:basedOn w:val="DefaultParagraphFont"/>
    <w:link w:val="CommentText"/>
    <w:uiPriority w:val="99"/>
    <w:semiHidden/>
    <w:rsid w:val="007C71E6"/>
    <w:rPr>
      <w:sz w:val="20"/>
      <w:szCs w:val="20"/>
    </w:rPr>
  </w:style>
  <w:style w:type="paragraph" w:styleId="CommentSubject">
    <w:name w:val="annotation subject"/>
    <w:basedOn w:val="CommentText"/>
    <w:next w:val="CommentText"/>
    <w:link w:val="CommentSubjectChar"/>
    <w:uiPriority w:val="99"/>
    <w:semiHidden/>
    <w:unhideWhenUsed/>
    <w:rsid w:val="007C71E6"/>
    <w:rPr>
      <w:b/>
      <w:bCs/>
    </w:rPr>
  </w:style>
  <w:style w:type="character" w:customStyle="1" w:styleId="CommentSubjectChar">
    <w:name w:val="Comment Subject Char"/>
    <w:basedOn w:val="CommentTextChar"/>
    <w:link w:val="CommentSubject"/>
    <w:uiPriority w:val="99"/>
    <w:semiHidden/>
    <w:rsid w:val="007C71E6"/>
    <w:rPr>
      <w:b/>
      <w:bCs/>
      <w:sz w:val="20"/>
      <w:szCs w:val="20"/>
    </w:rPr>
  </w:style>
  <w:style w:type="paragraph" w:styleId="BalloonText">
    <w:name w:val="Balloon Text"/>
    <w:basedOn w:val="Normal"/>
    <w:link w:val="BalloonTextChar"/>
    <w:uiPriority w:val="99"/>
    <w:semiHidden/>
    <w:unhideWhenUsed/>
    <w:rsid w:val="007C7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66459">
      <w:bodyDiv w:val="1"/>
      <w:marLeft w:val="0"/>
      <w:marRight w:val="0"/>
      <w:marTop w:val="0"/>
      <w:marBottom w:val="0"/>
      <w:divBdr>
        <w:top w:val="none" w:sz="0" w:space="0" w:color="auto"/>
        <w:left w:val="none" w:sz="0" w:space="0" w:color="auto"/>
        <w:bottom w:val="none" w:sz="0" w:space="0" w:color="auto"/>
        <w:right w:val="none" w:sz="0" w:space="0" w:color="auto"/>
      </w:divBdr>
    </w:div>
    <w:div w:id="115220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5CF54-1B86-4F44-810C-EBE23852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4229</Words>
  <Characters>24109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usr</cp:lastModifiedBy>
  <cp:revision>11</cp:revision>
  <dcterms:created xsi:type="dcterms:W3CDTF">2024-03-01T09:03:00Z</dcterms:created>
  <dcterms:modified xsi:type="dcterms:W3CDTF">2024-03-04T12:08:00Z</dcterms:modified>
</cp:coreProperties>
</file>