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D2C" w:rsidRDefault="009D03A8" w:rsidP="00B36E07">
      <w:pPr>
        <w:spacing w:after="0" w:line="240" w:lineRule="auto"/>
        <w:rPr>
          <w:rFonts w:ascii="Times New Roman" w:eastAsia="Calibri" w:hAnsi="Times New Roman" w:cs="Times New Roman"/>
          <w:b/>
          <w:sz w:val="24"/>
          <w:szCs w:val="24"/>
          <w:lang w:val="en-US"/>
        </w:rPr>
      </w:pPr>
      <w:bookmarkStart w:id="0" w:name="_GoBack"/>
      <w:bookmarkEnd w:id="0"/>
      <w:r>
        <w:rPr>
          <w:rFonts w:ascii="Times New Roman" w:eastAsia="Calibri" w:hAnsi="Times New Roman" w:cs="Times New Roman"/>
          <w:b/>
          <w:sz w:val="24"/>
          <w:szCs w:val="24"/>
          <w:u w:val="single"/>
          <w:lang w:val="en-US"/>
        </w:rPr>
        <w:t xml:space="preserve"> </w:t>
      </w:r>
      <w:r w:rsidR="0065157B" w:rsidRPr="00B36E07">
        <w:rPr>
          <w:rFonts w:ascii="Times New Roman" w:eastAsia="Calibri" w:hAnsi="Times New Roman" w:cs="Times New Roman"/>
          <w:b/>
          <w:sz w:val="24"/>
          <w:szCs w:val="24"/>
          <w:u w:val="single"/>
          <w:lang w:val="en-US"/>
        </w:rPr>
        <w:t>REPORTABLE</w:t>
      </w:r>
      <w:r w:rsidR="0065157B" w:rsidRPr="00B36E07">
        <w:rPr>
          <w:rFonts w:ascii="Times New Roman" w:eastAsia="Calibri" w:hAnsi="Times New Roman" w:cs="Times New Roman"/>
          <w:b/>
          <w:sz w:val="24"/>
          <w:szCs w:val="24"/>
          <w:lang w:val="en-US"/>
        </w:rPr>
        <w:t xml:space="preserve"> (</w:t>
      </w:r>
      <w:r w:rsidR="00931EB8">
        <w:rPr>
          <w:rFonts w:ascii="Times New Roman" w:eastAsia="Calibri" w:hAnsi="Times New Roman" w:cs="Times New Roman"/>
          <w:b/>
          <w:sz w:val="24"/>
          <w:szCs w:val="24"/>
          <w:lang w:val="en-US"/>
        </w:rPr>
        <w:t>08</w:t>
      </w:r>
      <w:r w:rsidR="00B36E07" w:rsidRPr="00B36E07">
        <w:rPr>
          <w:rFonts w:ascii="Times New Roman" w:eastAsia="Calibri" w:hAnsi="Times New Roman" w:cs="Times New Roman"/>
          <w:b/>
          <w:sz w:val="24"/>
          <w:szCs w:val="24"/>
          <w:lang w:val="en-US"/>
        </w:rPr>
        <w:t>)</w:t>
      </w:r>
    </w:p>
    <w:p w:rsidR="00B36E07" w:rsidRPr="00B36E07" w:rsidRDefault="00B36E07" w:rsidP="00B36E07">
      <w:pPr>
        <w:spacing w:after="0" w:line="240" w:lineRule="auto"/>
        <w:rPr>
          <w:rFonts w:ascii="Times New Roman" w:eastAsia="Calibri" w:hAnsi="Times New Roman" w:cs="Times New Roman"/>
          <w:b/>
          <w:sz w:val="24"/>
          <w:szCs w:val="24"/>
          <w:lang w:val="en-US"/>
        </w:rPr>
      </w:pPr>
    </w:p>
    <w:p w:rsidR="00B36E07" w:rsidRPr="00B36E07" w:rsidRDefault="00B36E07" w:rsidP="00B36E07">
      <w:pPr>
        <w:spacing w:after="0" w:line="240" w:lineRule="auto"/>
        <w:rPr>
          <w:rFonts w:ascii="Times New Roman" w:eastAsia="Calibri" w:hAnsi="Times New Roman" w:cs="Times New Roman"/>
          <w:b/>
          <w:sz w:val="24"/>
          <w:szCs w:val="24"/>
          <w:lang w:val="en-US"/>
        </w:rPr>
      </w:pPr>
    </w:p>
    <w:p w:rsidR="00496D2C" w:rsidRPr="00B36E07" w:rsidRDefault="00496D2C" w:rsidP="00B36E07">
      <w:pPr>
        <w:spacing w:after="0" w:line="240" w:lineRule="auto"/>
        <w:jc w:val="center"/>
        <w:rPr>
          <w:rFonts w:ascii="Times New Roman" w:eastAsia="Calibri" w:hAnsi="Times New Roman" w:cs="Times New Roman"/>
          <w:b/>
          <w:sz w:val="24"/>
          <w:szCs w:val="24"/>
          <w:lang w:val="en-US"/>
        </w:rPr>
      </w:pPr>
    </w:p>
    <w:p w:rsidR="002323F2" w:rsidRPr="00B36E07" w:rsidRDefault="002323F2" w:rsidP="00B36E07">
      <w:pPr>
        <w:spacing w:after="0" w:line="240" w:lineRule="auto"/>
        <w:jc w:val="center"/>
        <w:rPr>
          <w:rFonts w:ascii="Times New Roman" w:eastAsia="Calibri" w:hAnsi="Times New Roman" w:cs="Times New Roman"/>
          <w:b/>
          <w:sz w:val="24"/>
          <w:szCs w:val="24"/>
          <w:lang w:val="en-US"/>
        </w:rPr>
      </w:pPr>
      <w:r w:rsidRPr="00B36E07">
        <w:rPr>
          <w:rFonts w:ascii="Times New Roman" w:eastAsia="Calibri" w:hAnsi="Times New Roman" w:cs="Times New Roman"/>
          <w:b/>
          <w:sz w:val="24"/>
          <w:szCs w:val="24"/>
          <w:lang w:val="en-US"/>
        </w:rPr>
        <w:t>WELLI-WELL     (PRIVATE)     LIMITED</w:t>
      </w:r>
    </w:p>
    <w:p w:rsidR="002323F2" w:rsidRPr="00B36E07" w:rsidRDefault="002323F2" w:rsidP="00B36E07">
      <w:pPr>
        <w:spacing w:after="0" w:line="240" w:lineRule="auto"/>
        <w:jc w:val="center"/>
        <w:rPr>
          <w:rFonts w:ascii="Times New Roman" w:eastAsia="Calibri" w:hAnsi="Times New Roman" w:cs="Times New Roman"/>
          <w:b/>
          <w:sz w:val="24"/>
          <w:szCs w:val="24"/>
          <w:lang w:val="en-US"/>
        </w:rPr>
      </w:pPr>
      <w:r w:rsidRPr="00B36E07">
        <w:rPr>
          <w:rFonts w:ascii="Times New Roman" w:eastAsia="Calibri" w:hAnsi="Times New Roman" w:cs="Times New Roman"/>
          <w:b/>
          <w:sz w:val="24"/>
          <w:szCs w:val="24"/>
          <w:lang w:val="en-US"/>
        </w:rPr>
        <w:t>v</w:t>
      </w:r>
    </w:p>
    <w:p w:rsidR="002323F2" w:rsidRPr="00B36E07" w:rsidRDefault="002323F2" w:rsidP="00B36E07">
      <w:pPr>
        <w:spacing w:after="0" w:line="240" w:lineRule="auto"/>
        <w:jc w:val="center"/>
        <w:rPr>
          <w:rFonts w:ascii="Times New Roman" w:eastAsia="Calibri" w:hAnsi="Times New Roman" w:cs="Times New Roman"/>
          <w:b/>
          <w:sz w:val="24"/>
          <w:szCs w:val="24"/>
          <w:lang w:val="en-US"/>
        </w:rPr>
      </w:pPr>
      <w:r w:rsidRPr="00B36E07">
        <w:rPr>
          <w:rFonts w:ascii="Times New Roman" w:eastAsia="Calibri" w:hAnsi="Times New Roman" w:cs="Times New Roman"/>
          <w:b/>
          <w:sz w:val="24"/>
          <w:szCs w:val="24"/>
          <w:lang w:val="en-US"/>
        </w:rPr>
        <w:t xml:space="preserve">(1)     MALVERN     IMBAYAGO     (2)      THE     SHERIFF      </w:t>
      </w:r>
      <w:r w:rsidR="00B36E07">
        <w:rPr>
          <w:rFonts w:ascii="Times New Roman" w:eastAsia="Calibri" w:hAnsi="Times New Roman" w:cs="Times New Roman"/>
          <w:b/>
          <w:sz w:val="24"/>
          <w:szCs w:val="24"/>
          <w:lang w:val="en-US"/>
        </w:rPr>
        <w:t>OF</w:t>
      </w:r>
      <w:r w:rsidRPr="00B36E07">
        <w:rPr>
          <w:rFonts w:ascii="Times New Roman" w:eastAsia="Calibri" w:hAnsi="Times New Roman" w:cs="Times New Roman"/>
          <w:b/>
          <w:sz w:val="24"/>
          <w:szCs w:val="24"/>
          <w:lang w:val="en-US"/>
        </w:rPr>
        <w:t xml:space="preserve">     ZIMBABWE</w:t>
      </w:r>
    </w:p>
    <w:p w:rsidR="002323F2" w:rsidRPr="00B36E07" w:rsidRDefault="002323F2" w:rsidP="00B36E07">
      <w:pPr>
        <w:spacing w:after="0" w:line="480" w:lineRule="auto"/>
        <w:jc w:val="center"/>
        <w:rPr>
          <w:rFonts w:ascii="Times New Roman" w:eastAsia="Calibri" w:hAnsi="Times New Roman" w:cs="Times New Roman"/>
          <w:b/>
          <w:sz w:val="24"/>
          <w:szCs w:val="24"/>
          <w:lang w:val="en-US"/>
        </w:rPr>
      </w:pPr>
    </w:p>
    <w:p w:rsidR="002323F2" w:rsidRPr="00B36E07" w:rsidRDefault="002323F2" w:rsidP="00B36E07">
      <w:pPr>
        <w:pStyle w:val="NoSpacing"/>
        <w:jc w:val="both"/>
        <w:rPr>
          <w:rFonts w:ascii="Times New Roman" w:hAnsi="Times New Roman" w:cs="Times New Roman"/>
          <w:b/>
          <w:sz w:val="24"/>
          <w:szCs w:val="24"/>
          <w:lang w:val="en-US"/>
        </w:rPr>
      </w:pPr>
    </w:p>
    <w:p w:rsidR="002323F2" w:rsidRPr="00B36E07" w:rsidRDefault="002323F2" w:rsidP="00B36E07">
      <w:pPr>
        <w:pStyle w:val="NoSpacing"/>
        <w:jc w:val="both"/>
        <w:rPr>
          <w:rFonts w:ascii="Times New Roman" w:hAnsi="Times New Roman" w:cs="Times New Roman"/>
          <w:b/>
          <w:sz w:val="24"/>
          <w:szCs w:val="24"/>
          <w:lang w:val="en-US"/>
        </w:rPr>
      </w:pPr>
      <w:r w:rsidRPr="00B36E07">
        <w:rPr>
          <w:rFonts w:ascii="Times New Roman" w:hAnsi="Times New Roman" w:cs="Times New Roman"/>
          <w:b/>
          <w:sz w:val="24"/>
          <w:szCs w:val="24"/>
          <w:lang w:val="en-US"/>
        </w:rPr>
        <w:t>SUPREME COURT OF ZIMBABWE</w:t>
      </w:r>
    </w:p>
    <w:p w:rsidR="002E0D36" w:rsidRPr="00B36E07" w:rsidRDefault="002E0D36" w:rsidP="00B36E07">
      <w:pPr>
        <w:pStyle w:val="NoSpacing"/>
        <w:jc w:val="both"/>
        <w:rPr>
          <w:rFonts w:ascii="Times New Roman" w:hAnsi="Times New Roman" w:cs="Times New Roman"/>
          <w:b/>
          <w:sz w:val="24"/>
          <w:szCs w:val="24"/>
          <w:lang w:val="en-US"/>
        </w:rPr>
      </w:pPr>
      <w:r w:rsidRPr="00B36E07">
        <w:rPr>
          <w:rFonts w:ascii="Times New Roman" w:hAnsi="Times New Roman" w:cs="Times New Roman"/>
          <w:b/>
          <w:sz w:val="24"/>
          <w:szCs w:val="24"/>
          <w:lang w:val="en-US"/>
        </w:rPr>
        <w:t>BHUNU JA, MATHONSI JA &amp; CHITAKUNYE AJA</w:t>
      </w:r>
    </w:p>
    <w:p w:rsidR="002323F2" w:rsidRPr="00B36E07" w:rsidRDefault="002323F2" w:rsidP="00B36E07">
      <w:pPr>
        <w:pStyle w:val="NoSpacing"/>
        <w:jc w:val="both"/>
        <w:rPr>
          <w:rFonts w:ascii="Times New Roman" w:hAnsi="Times New Roman" w:cs="Times New Roman"/>
          <w:b/>
          <w:sz w:val="24"/>
          <w:szCs w:val="24"/>
          <w:lang w:val="en-US"/>
        </w:rPr>
      </w:pPr>
      <w:r w:rsidRPr="00B36E07">
        <w:rPr>
          <w:rFonts w:ascii="Times New Roman" w:hAnsi="Times New Roman" w:cs="Times New Roman"/>
          <w:b/>
          <w:sz w:val="24"/>
          <w:szCs w:val="24"/>
          <w:lang w:val="en-US"/>
        </w:rPr>
        <w:t>HARARE: OCTOBER 9, 2020</w:t>
      </w:r>
      <w:r w:rsidR="00B36E07" w:rsidRPr="00B36E07">
        <w:rPr>
          <w:rFonts w:ascii="Times New Roman" w:hAnsi="Times New Roman" w:cs="Times New Roman"/>
          <w:b/>
          <w:sz w:val="24"/>
          <w:szCs w:val="24"/>
          <w:lang w:val="en-US"/>
        </w:rPr>
        <w:t xml:space="preserve"> &amp; </w:t>
      </w:r>
      <w:r w:rsidR="00534165">
        <w:rPr>
          <w:rFonts w:ascii="Times New Roman" w:hAnsi="Times New Roman" w:cs="Times New Roman"/>
          <w:b/>
          <w:sz w:val="24"/>
          <w:szCs w:val="24"/>
          <w:lang w:val="en-US"/>
        </w:rPr>
        <w:t>MARCH 9</w:t>
      </w:r>
      <w:r w:rsidR="00B36E07" w:rsidRPr="00B36E07">
        <w:rPr>
          <w:rFonts w:ascii="Times New Roman" w:hAnsi="Times New Roman" w:cs="Times New Roman"/>
          <w:b/>
          <w:sz w:val="24"/>
          <w:szCs w:val="24"/>
          <w:lang w:val="en-US"/>
        </w:rPr>
        <w:t>, 2021</w:t>
      </w:r>
    </w:p>
    <w:p w:rsidR="002323F2" w:rsidRPr="00B36E07" w:rsidRDefault="002323F2" w:rsidP="00B36E07">
      <w:pPr>
        <w:spacing w:after="0" w:line="480" w:lineRule="auto"/>
        <w:jc w:val="both"/>
        <w:rPr>
          <w:rFonts w:ascii="Times New Roman" w:eastAsia="Calibri" w:hAnsi="Times New Roman" w:cs="Times New Roman"/>
          <w:sz w:val="24"/>
          <w:szCs w:val="24"/>
          <w:lang w:val="en-US"/>
        </w:rPr>
      </w:pPr>
    </w:p>
    <w:p w:rsidR="002323F2" w:rsidRPr="00B36E07" w:rsidRDefault="002323F2" w:rsidP="00B36E07">
      <w:pPr>
        <w:spacing w:after="0" w:line="480" w:lineRule="auto"/>
        <w:jc w:val="both"/>
        <w:rPr>
          <w:rFonts w:ascii="Times New Roman" w:eastAsia="Calibri" w:hAnsi="Times New Roman" w:cs="Times New Roman"/>
          <w:sz w:val="24"/>
          <w:szCs w:val="24"/>
          <w:lang w:val="en-US"/>
        </w:rPr>
      </w:pPr>
    </w:p>
    <w:p w:rsidR="002323F2" w:rsidRPr="00B36E07" w:rsidRDefault="002323F2" w:rsidP="00B36E07">
      <w:pPr>
        <w:spacing w:after="0" w:line="360" w:lineRule="auto"/>
        <w:jc w:val="both"/>
        <w:rPr>
          <w:rFonts w:ascii="Times New Roman" w:eastAsia="Calibri" w:hAnsi="Times New Roman" w:cs="Times New Roman"/>
          <w:sz w:val="24"/>
          <w:szCs w:val="24"/>
          <w:lang w:val="en-US"/>
        </w:rPr>
      </w:pPr>
      <w:r w:rsidRPr="00B36E07">
        <w:rPr>
          <w:rFonts w:ascii="Times New Roman" w:eastAsia="Calibri" w:hAnsi="Times New Roman" w:cs="Times New Roman"/>
          <w:i/>
          <w:sz w:val="24"/>
          <w:szCs w:val="24"/>
          <w:lang w:val="en-US"/>
        </w:rPr>
        <w:t>B. Diza</w:t>
      </w:r>
      <w:r w:rsidRPr="00B36E07">
        <w:rPr>
          <w:rFonts w:ascii="Times New Roman" w:eastAsia="Calibri" w:hAnsi="Times New Roman" w:cs="Times New Roman"/>
          <w:sz w:val="24"/>
          <w:szCs w:val="24"/>
          <w:lang w:val="en-US"/>
        </w:rPr>
        <w:t xml:space="preserve">, for the appellant </w:t>
      </w:r>
    </w:p>
    <w:p w:rsidR="002323F2" w:rsidRPr="00B36E07" w:rsidRDefault="002323F2" w:rsidP="00B36E07">
      <w:pPr>
        <w:spacing w:after="0" w:line="360" w:lineRule="auto"/>
        <w:jc w:val="both"/>
        <w:rPr>
          <w:rFonts w:ascii="Times New Roman" w:hAnsi="Times New Roman" w:cs="Times New Roman"/>
          <w:i/>
          <w:sz w:val="24"/>
          <w:szCs w:val="24"/>
        </w:rPr>
      </w:pPr>
      <w:r w:rsidRPr="00B36E07">
        <w:rPr>
          <w:rFonts w:ascii="Times New Roman" w:eastAsia="Calibri" w:hAnsi="Times New Roman" w:cs="Times New Roman"/>
          <w:sz w:val="24"/>
          <w:szCs w:val="24"/>
          <w:lang w:val="en-US"/>
        </w:rPr>
        <w:t xml:space="preserve">Ms </w:t>
      </w:r>
      <w:r w:rsidRPr="00B36E07">
        <w:rPr>
          <w:rFonts w:ascii="Times New Roman" w:eastAsia="Calibri" w:hAnsi="Times New Roman" w:cs="Times New Roman"/>
          <w:i/>
          <w:sz w:val="24"/>
          <w:szCs w:val="24"/>
          <w:lang w:val="en-US"/>
        </w:rPr>
        <w:t>N. Chiwota</w:t>
      </w:r>
      <w:r w:rsidRPr="00B36E07">
        <w:rPr>
          <w:rFonts w:ascii="Times New Roman" w:eastAsia="Calibri" w:hAnsi="Times New Roman" w:cs="Times New Roman"/>
          <w:sz w:val="24"/>
          <w:szCs w:val="24"/>
          <w:lang w:val="en-US"/>
        </w:rPr>
        <w:t xml:space="preserve">, for the </w:t>
      </w:r>
      <w:r w:rsidRPr="00B36E07">
        <w:rPr>
          <w:rFonts w:ascii="Times New Roman" w:hAnsi="Times New Roman" w:cs="Times New Roman"/>
          <w:sz w:val="24"/>
          <w:szCs w:val="24"/>
        </w:rPr>
        <w:t>first respondent</w:t>
      </w:r>
    </w:p>
    <w:p w:rsidR="002323F2" w:rsidRPr="00B36E07" w:rsidRDefault="002323F2" w:rsidP="00B36E07">
      <w:pPr>
        <w:spacing w:after="0" w:line="360" w:lineRule="auto"/>
        <w:jc w:val="both"/>
        <w:rPr>
          <w:rFonts w:ascii="Times New Roman" w:hAnsi="Times New Roman" w:cs="Times New Roman"/>
          <w:i/>
          <w:sz w:val="24"/>
          <w:szCs w:val="24"/>
        </w:rPr>
      </w:pPr>
      <w:r w:rsidRPr="00B36E07">
        <w:rPr>
          <w:rFonts w:ascii="Times New Roman" w:eastAsia="Calibri" w:hAnsi="Times New Roman" w:cs="Times New Roman"/>
          <w:sz w:val="24"/>
          <w:szCs w:val="24"/>
          <w:lang w:val="en-US"/>
        </w:rPr>
        <w:t>First Respondent in default</w:t>
      </w:r>
    </w:p>
    <w:p w:rsidR="002323F2" w:rsidRPr="00B36E07" w:rsidRDefault="002323F2" w:rsidP="00B36E07">
      <w:pPr>
        <w:spacing w:after="0" w:line="480" w:lineRule="auto"/>
        <w:jc w:val="both"/>
        <w:rPr>
          <w:rFonts w:ascii="Times New Roman" w:hAnsi="Times New Roman" w:cs="Times New Roman"/>
          <w:b/>
          <w:sz w:val="24"/>
          <w:szCs w:val="24"/>
        </w:rPr>
      </w:pPr>
    </w:p>
    <w:p w:rsidR="00DE7D31" w:rsidRPr="00B36E07" w:rsidRDefault="00DE7D31" w:rsidP="00B36E07">
      <w:pPr>
        <w:spacing w:after="0" w:line="480" w:lineRule="auto"/>
        <w:jc w:val="both"/>
        <w:rPr>
          <w:rFonts w:ascii="Times New Roman" w:hAnsi="Times New Roman" w:cs="Times New Roman"/>
          <w:sz w:val="24"/>
          <w:szCs w:val="24"/>
        </w:rPr>
      </w:pPr>
    </w:p>
    <w:p w:rsidR="002F2E52" w:rsidRPr="00B36E07" w:rsidRDefault="00DE7D31"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b/>
          <w:sz w:val="24"/>
          <w:szCs w:val="24"/>
        </w:rPr>
        <w:t>MATHONSI JA</w:t>
      </w:r>
      <w:r w:rsidRPr="00B36E07">
        <w:rPr>
          <w:rFonts w:ascii="Times New Roman" w:hAnsi="Times New Roman" w:cs="Times New Roman"/>
          <w:sz w:val="24"/>
          <w:szCs w:val="24"/>
        </w:rPr>
        <w:t>:</w:t>
      </w:r>
      <w:r w:rsidRPr="00B36E07">
        <w:rPr>
          <w:rFonts w:ascii="Times New Roman" w:hAnsi="Times New Roman" w:cs="Times New Roman"/>
          <w:sz w:val="24"/>
          <w:szCs w:val="24"/>
        </w:rPr>
        <w:tab/>
        <w:t xml:space="preserve">In the process of executing a judgment of the High </w:t>
      </w:r>
      <w:r w:rsidR="002435A4" w:rsidRPr="00B36E07">
        <w:rPr>
          <w:rFonts w:ascii="Times New Roman" w:hAnsi="Times New Roman" w:cs="Times New Roman"/>
          <w:sz w:val="24"/>
          <w:szCs w:val="24"/>
        </w:rPr>
        <w:t>Court against</w:t>
      </w:r>
      <w:r w:rsidR="009151B5" w:rsidRPr="00B36E07">
        <w:rPr>
          <w:rFonts w:ascii="Times New Roman" w:hAnsi="Times New Roman" w:cs="Times New Roman"/>
          <w:sz w:val="24"/>
          <w:szCs w:val="24"/>
        </w:rPr>
        <w:t xml:space="preserve"> B. M. Graphics (the judgment debtor), the sheriff placed under judicial attachment certain movable property found at stand no. 499 Goodwin Road</w:t>
      </w:r>
      <w:r w:rsidR="002142BB" w:rsidRPr="00B36E07">
        <w:rPr>
          <w:rFonts w:ascii="Times New Roman" w:hAnsi="Times New Roman" w:cs="Times New Roman"/>
          <w:sz w:val="24"/>
          <w:szCs w:val="24"/>
        </w:rPr>
        <w:t>,</w:t>
      </w:r>
      <w:r w:rsidR="009151B5" w:rsidRPr="00B36E07">
        <w:rPr>
          <w:rFonts w:ascii="Times New Roman" w:hAnsi="Times New Roman" w:cs="Times New Roman"/>
          <w:sz w:val="24"/>
          <w:szCs w:val="24"/>
        </w:rPr>
        <w:t xml:space="preserve"> Willowvale, Harare. </w:t>
      </w:r>
      <w:r w:rsidR="002435A4" w:rsidRPr="00B36E07">
        <w:rPr>
          <w:rFonts w:ascii="Times New Roman" w:hAnsi="Times New Roman" w:cs="Times New Roman"/>
          <w:sz w:val="24"/>
          <w:szCs w:val="24"/>
        </w:rPr>
        <w:t>The appellant lay a claim to that property resulting in interpleader proceedings being instituted.</w:t>
      </w:r>
    </w:p>
    <w:p w:rsidR="002E0D36" w:rsidRPr="00B36E07" w:rsidRDefault="002E0D36" w:rsidP="00B36E07">
      <w:pPr>
        <w:spacing w:after="0" w:line="480" w:lineRule="auto"/>
        <w:ind w:firstLine="1440"/>
        <w:jc w:val="both"/>
        <w:rPr>
          <w:rFonts w:ascii="Times New Roman" w:hAnsi="Times New Roman" w:cs="Times New Roman"/>
          <w:sz w:val="24"/>
          <w:szCs w:val="24"/>
        </w:rPr>
      </w:pPr>
    </w:p>
    <w:p w:rsidR="002435A4" w:rsidRPr="00B36E07" w:rsidRDefault="002435A4"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 xml:space="preserve">In a judgment delivered on 20 November 2019 the High Court dismissed the appellant’s claim to the property in question and declared it executable. The appellant appealed against the whole judgment of the High Court to this Court. After hearing </w:t>
      </w:r>
      <w:r w:rsidR="002E0D36" w:rsidRPr="00B36E07">
        <w:rPr>
          <w:rFonts w:ascii="Times New Roman" w:hAnsi="Times New Roman" w:cs="Times New Roman"/>
          <w:sz w:val="24"/>
          <w:szCs w:val="24"/>
        </w:rPr>
        <w:t>argument,</w:t>
      </w:r>
      <w:r w:rsidRPr="00B36E07">
        <w:rPr>
          <w:rFonts w:ascii="Times New Roman" w:hAnsi="Times New Roman" w:cs="Times New Roman"/>
          <w:sz w:val="24"/>
          <w:szCs w:val="24"/>
        </w:rPr>
        <w:t xml:space="preserve"> we dismissed the appeal and stated that the reasons would follow. These are the reasons.</w:t>
      </w:r>
    </w:p>
    <w:p w:rsidR="002E0D36" w:rsidRDefault="002E0D36" w:rsidP="00B36E07">
      <w:pPr>
        <w:spacing w:after="0" w:line="480" w:lineRule="auto"/>
        <w:ind w:firstLine="1440"/>
        <w:jc w:val="both"/>
        <w:rPr>
          <w:rFonts w:ascii="Times New Roman" w:hAnsi="Times New Roman" w:cs="Times New Roman"/>
          <w:sz w:val="24"/>
          <w:szCs w:val="24"/>
        </w:rPr>
      </w:pPr>
    </w:p>
    <w:p w:rsidR="00B36E07" w:rsidRPr="00B36E07" w:rsidRDefault="00B36E07" w:rsidP="00B36E07">
      <w:pPr>
        <w:spacing w:after="0" w:line="480" w:lineRule="auto"/>
        <w:ind w:firstLine="1440"/>
        <w:jc w:val="both"/>
        <w:rPr>
          <w:rFonts w:ascii="Times New Roman" w:hAnsi="Times New Roman" w:cs="Times New Roman"/>
          <w:sz w:val="24"/>
          <w:szCs w:val="24"/>
        </w:rPr>
      </w:pPr>
    </w:p>
    <w:p w:rsidR="002435A4" w:rsidRPr="00B36E07" w:rsidRDefault="002435A4" w:rsidP="00B36E07">
      <w:pPr>
        <w:spacing w:after="0" w:line="480" w:lineRule="auto"/>
        <w:jc w:val="both"/>
        <w:rPr>
          <w:rFonts w:ascii="Times New Roman" w:hAnsi="Times New Roman" w:cs="Times New Roman"/>
          <w:b/>
          <w:sz w:val="24"/>
          <w:szCs w:val="24"/>
        </w:rPr>
      </w:pPr>
      <w:r w:rsidRPr="00B36E07">
        <w:rPr>
          <w:rFonts w:ascii="Times New Roman" w:hAnsi="Times New Roman" w:cs="Times New Roman"/>
          <w:b/>
          <w:sz w:val="24"/>
          <w:szCs w:val="24"/>
        </w:rPr>
        <w:lastRenderedPageBreak/>
        <w:t>THE JUDGMENT</w:t>
      </w:r>
    </w:p>
    <w:p w:rsidR="002435A4" w:rsidRPr="00B36E07" w:rsidRDefault="002435A4"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 xml:space="preserve">The facts of the matter are clearly set out in the judgment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They are that a consent order was granted by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on 21 August 2017 in terms of which the judgment debtor was required to pay to the first respondent (the judgment creditor)</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the </w:t>
      </w:r>
      <w:r w:rsidR="009C2991">
        <w:rPr>
          <w:rFonts w:ascii="Times New Roman" w:hAnsi="Times New Roman" w:cs="Times New Roman"/>
          <w:sz w:val="24"/>
          <w:szCs w:val="24"/>
        </w:rPr>
        <w:t>value of 2000 square metres of S</w:t>
      </w:r>
      <w:r w:rsidRPr="00B36E07">
        <w:rPr>
          <w:rFonts w:ascii="Times New Roman" w:hAnsi="Times New Roman" w:cs="Times New Roman"/>
          <w:sz w:val="24"/>
          <w:szCs w:val="24"/>
        </w:rPr>
        <w:t>tand no 449 Goodwin Road</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Willowvale, Harare together with improvements thereon. On his part, the first respo</w:t>
      </w:r>
      <w:r w:rsidR="00617980" w:rsidRPr="00B36E07">
        <w:rPr>
          <w:rFonts w:ascii="Times New Roman" w:hAnsi="Times New Roman" w:cs="Times New Roman"/>
          <w:sz w:val="24"/>
          <w:szCs w:val="24"/>
        </w:rPr>
        <w:t xml:space="preserve">ndent would vacate the stand in </w:t>
      </w:r>
      <w:r w:rsidRPr="00B36E07">
        <w:rPr>
          <w:rFonts w:ascii="Times New Roman" w:hAnsi="Times New Roman" w:cs="Times New Roman"/>
          <w:sz w:val="24"/>
          <w:szCs w:val="24"/>
        </w:rPr>
        <w:t xml:space="preserve">question, </w:t>
      </w:r>
      <w:r w:rsidR="009722F0" w:rsidRPr="00B36E07">
        <w:rPr>
          <w:rFonts w:ascii="Times New Roman" w:hAnsi="Times New Roman" w:cs="Times New Roman"/>
          <w:sz w:val="24"/>
          <w:szCs w:val="24"/>
        </w:rPr>
        <w:t>which</w:t>
      </w:r>
      <w:r w:rsidRPr="00B36E07">
        <w:rPr>
          <w:rFonts w:ascii="Times New Roman" w:hAnsi="Times New Roman" w:cs="Times New Roman"/>
          <w:sz w:val="24"/>
          <w:szCs w:val="24"/>
        </w:rPr>
        <w:t xml:space="preserve"> he was occupying, within a given period of time.</w:t>
      </w:r>
    </w:p>
    <w:p w:rsidR="002E0D36" w:rsidRPr="00B36E07" w:rsidRDefault="002E0D36" w:rsidP="00B36E07">
      <w:pPr>
        <w:spacing w:after="0" w:line="480" w:lineRule="auto"/>
        <w:jc w:val="both"/>
        <w:rPr>
          <w:rFonts w:ascii="Times New Roman" w:hAnsi="Times New Roman" w:cs="Times New Roman"/>
          <w:sz w:val="24"/>
          <w:szCs w:val="24"/>
        </w:rPr>
      </w:pPr>
    </w:p>
    <w:p w:rsidR="002435A4" w:rsidRPr="00B36E07" w:rsidRDefault="002435A4"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Following valuation of the property in terms of the order of the court, the judgment debtor failed to pay. The sheriff attached an assortment of property found at stand </w:t>
      </w:r>
      <w:r w:rsidR="009722F0" w:rsidRPr="00B36E07">
        <w:rPr>
          <w:rFonts w:ascii="Times New Roman" w:hAnsi="Times New Roman" w:cs="Times New Roman"/>
          <w:sz w:val="24"/>
          <w:szCs w:val="24"/>
        </w:rPr>
        <w:t>no 499 Goodwin Road, Willowvale</w:t>
      </w:r>
      <w:r w:rsidR="002142BB" w:rsidRPr="00B36E07">
        <w:rPr>
          <w:rFonts w:ascii="Times New Roman" w:hAnsi="Times New Roman" w:cs="Times New Roman"/>
          <w:sz w:val="24"/>
          <w:szCs w:val="24"/>
        </w:rPr>
        <w:t>,</w:t>
      </w:r>
      <w:r w:rsidR="009722F0" w:rsidRPr="00B36E07">
        <w:rPr>
          <w:rFonts w:ascii="Times New Roman" w:hAnsi="Times New Roman" w:cs="Times New Roman"/>
          <w:sz w:val="24"/>
          <w:szCs w:val="24"/>
        </w:rPr>
        <w:t xml:space="preserve"> Harare which he believed belonged to the judgment debtor. The property was claimed by the appellant as its own.</w:t>
      </w:r>
    </w:p>
    <w:p w:rsidR="002E0D36" w:rsidRPr="00B36E07" w:rsidRDefault="002E0D36" w:rsidP="00B36E07">
      <w:pPr>
        <w:spacing w:after="0" w:line="480" w:lineRule="auto"/>
        <w:jc w:val="both"/>
        <w:rPr>
          <w:rFonts w:ascii="Times New Roman" w:hAnsi="Times New Roman" w:cs="Times New Roman"/>
          <w:sz w:val="24"/>
          <w:szCs w:val="24"/>
        </w:rPr>
      </w:pPr>
    </w:p>
    <w:p w:rsidR="009722F0" w:rsidRPr="00B36E07" w:rsidRDefault="009722F0"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High Court correctly found that, in interpleader proceedings, the </w:t>
      </w:r>
      <w:r w:rsidRPr="00B36E07">
        <w:rPr>
          <w:rFonts w:ascii="Times New Roman" w:hAnsi="Times New Roman" w:cs="Times New Roman"/>
          <w:i/>
          <w:sz w:val="24"/>
          <w:szCs w:val="24"/>
        </w:rPr>
        <w:t>onus</w:t>
      </w:r>
      <w:r w:rsidRPr="00B36E07">
        <w:rPr>
          <w:rFonts w:ascii="Times New Roman" w:hAnsi="Times New Roman" w:cs="Times New Roman"/>
          <w:sz w:val="24"/>
          <w:szCs w:val="24"/>
        </w:rPr>
        <w:t xml:space="preserve"> was on the claimant to prove ownership of the property in dispute on a balance of probabilities. The claimant does so by setting out facts which establish ownership of the property in question</w:t>
      </w:r>
      <w:r w:rsidR="007470B9" w:rsidRPr="00B36E07">
        <w:rPr>
          <w:rFonts w:ascii="Times New Roman" w:hAnsi="Times New Roman" w:cs="Times New Roman"/>
          <w:sz w:val="24"/>
          <w:szCs w:val="24"/>
        </w:rPr>
        <w:t xml:space="preserve"> on a balance of probabilities</w:t>
      </w:r>
      <w:r w:rsidRPr="00B36E07">
        <w:rPr>
          <w:rFonts w:ascii="Times New Roman" w:hAnsi="Times New Roman" w:cs="Times New Roman"/>
          <w:sz w:val="24"/>
          <w:szCs w:val="24"/>
        </w:rPr>
        <w:t xml:space="preserve">.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noted that the basis of the appellant’s claim to the </w:t>
      </w:r>
      <w:r w:rsidR="002142BB" w:rsidRPr="00B36E07">
        <w:rPr>
          <w:rFonts w:ascii="Times New Roman" w:hAnsi="Times New Roman" w:cs="Times New Roman"/>
          <w:sz w:val="24"/>
          <w:szCs w:val="24"/>
        </w:rPr>
        <w:t xml:space="preserve">property was that it </w:t>
      </w:r>
      <w:r w:rsidRPr="00B36E07">
        <w:rPr>
          <w:rFonts w:ascii="Times New Roman" w:hAnsi="Times New Roman" w:cs="Times New Roman"/>
          <w:sz w:val="24"/>
          <w:szCs w:val="24"/>
        </w:rPr>
        <w:t>ow</w:t>
      </w:r>
      <w:r w:rsidR="00D250C7" w:rsidRPr="00B36E07">
        <w:rPr>
          <w:rFonts w:ascii="Times New Roman" w:hAnsi="Times New Roman" w:cs="Times New Roman"/>
          <w:sz w:val="24"/>
          <w:szCs w:val="24"/>
        </w:rPr>
        <w:t>ned the stand where the propert</w:t>
      </w:r>
      <w:r w:rsidRPr="00B36E07">
        <w:rPr>
          <w:rFonts w:ascii="Times New Roman" w:hAnsi="Times New Roman" w:cs="Times New Roman"/>
          <w:sz w:val="24"/>
          <w:szCs w:val="24"/>
        </w:rPr>
        <w:t>y was found by virtue of being the sole shareholder of a company known as Jon’s Engineering (Private) Limited. It is the la</w:t>
      </w:r>
      <w:r w:rsidR="002142BB" w:rsidRPr="00B36E07">
        <w:rPr>
          <w:rFonts w:ascii="Times New Roman" w:hAnsi="Times New Roman" w:cs="Times New Roman"/>
          <w:sz w:val="24"/>
          <w:szCs w:val="24"/>
        </w:rPr>
        <w:t>t</w:t>
      </w:r>
      <w:r w:rsidRPr="00B36E07">
        <w:rPr>
          <w:rFonts w:ascii="Times New Roman" w:hAnsi="Times New Roman" w:cs="Times New Roman"/>
          <w:sz w:val="24"/>
          <w:szCs w:val="24"/>
        </w:rPr>
        <w:t xml:space="preserve">ter company which is said to </w:t>
      </w:r>
      <w:r w:rsidR="00D250C7" w:rsidRPr="00B36E07">
        <w:rPr>
          <w:rFonts w:ascii="Times New Roman" w:hAnsi="Times New Roman" w:cs="Times New Roman"/>
          <w:sz w:val="24"/>
          <w:szCs w:val="24"/>
        </w:rPr>
        <w:t xml:space="preserve">be </w:t>
      </w:r>
      <w:r w:rsidR="00BF4448" w:rsidRPr="00B36E07">
        <w:rPr>
          <w:rFonts w:ascii="Times New Roman" w:hAnsi="Times New Roman" w:cs="Times New Roman"/>
          <w:sz w:val="24"/>
          <w:szCs w:val="24"/>
        </w:rPr>
        <w:t>the registered owner of stand no 499.</w:t>
      </w:r>
    </w:p>
    <w:p w:rsidR="002E0D36" w:rsidRPr="00B36E07" w:rsidRDefault="002E0D36" w:rsidP="00B36E07">
      <w:pPr>
        <w:spacing w:after="0" w:line="480" w:lineRule="auto"/>
        <w:jc w:val="both"/>
        <w:rPr>
          <w:rFonts w:ascii="Times New Roman" w:hAnsi="Times New Roman" w:cs="Times New Roman"/>
          <w:sz w:val="24"/>
          <w:szCs w:val="24"/>
        </w:rPr>
      </w:pPr>
    </w:p>
    <w:p w:rsidR="00BF4448" w:rsidRPr="00B36E07" w:rsidRDefault="00BF4448"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observed that the judgment debtor was initially the holder of two ordinary paid up shares in Jon’s Engineering (Private) Limited. It then sold its shares to the </w:t>
      </w:r>
      <w:r w:rsidRPr="00B36E07">
        <w:rPr>
          <w:rFonts w:ascii="Times New Roman" w:hAnsi="Times New Roman" w:cs="Times New Roman"/>
          <w:sz w:val="24"/>
          <w:szCs w:val="24"/>
        </w:rPr>
        <w:lastRenderedPageBreak/>
        <w:t>appellant</w:t>
      </w:r>
      <w:r w:rsidR="00E145EA" w:rsidRPr="00B36E07">
        <w:rPr>
          <w:rFonts w:ascii="Times New Roman" w:hAnsi="Times New Roman" w:cs="Times New Roman"/>
          <w:sz w:val="24"/>
          <w:szCs w:val="24"/>
        </w:rPr>
        <w:t xml:space="preserve">. The argument before the court </w:t>
      </w:r>
      <w:r w:rsidR="00E145EA" w:rsidRPr="00B36E07">
        <w:rPr>
          <w:rFonts w:ascii="Times New Roman" w:hAnsi="Times New Roman" w:cs="Times New Roman"/>
          <w:i/>
          <w:sz w:val="24"/>
          <w:szCs w:val="24"/>
        </w:rPr>
        <w:t xml:space="preserve">a </w:t>
      </w:r>
      <w:r w:rsidR="00990C09" w:rsidRPr="00B36E07">
        <w:rPr>
          <w:rFonts w:ascii="Times New Roman" w:hAnsi="Times New Roman" w:cs="Times New Roman"/>
          <w:i/>
          <w:sz w:val="24"/>
          <w:szCs w:val="24"/>
        </w:rPr>
        <w:t>quo</w:t>
      </w:r>
      <w:r w:rsidR="00990C09" w:rsidRPr="00B36E07">
        <w:rPr>
          <w:rFonts w:ascii="Times New Roman" w:hAnsi="Times New Roman" w:cs="Times New Roman"/>
          <w:sz w:val="24"/>
          <w:szCs w:val="24"/>
        </w:rPr>
        <w:t xml:space="preserve"> was</w:t>
      </w:r>
      <w:r w:rsidR="00E145EA" w:rsidRPr="00B36E07">
        <w:rPr>
          <w:rFonts w:ascii="Times New Roman" w:hAnsi="Times New Roman" w:cs="Times New Roman"/>
          <w:sz w:val="24"/>
          <w:szCs w:val="24"/>
        </w:rPr>
        <w:t xml:space="preserve"> that given the fact that the property in dispute was attached in execution</w:t>
      </w:r>
      <w:r w:rsidR="007470B9" w:rsidRPr="00B36E07">
        <w:rPr>
          <w:rFonts w:ascii="Times New Roman" w:hAnsi="Times New Roman" w:cs="Times New Roman"/>
          <w:sz w:val="24"/>
          <w:szCs w:val="24"/>
        </w:rPr>
        <w:t xml:space="preserve"> as</w:t>
      </w:r>
      <w:r w:rsidR="00990C09" w:rsidRPr="00B36E07">
        <w:rPr>
          <w:rFonts w:ascii="Times New Roman" w:hAnsi="Times New Roman" w:cs="Times New Roman"/>
          <w:sz w:val="24"/>
          <w:szCs w:val="24"/>
        </w:rPr>
        <w:t xml:space="preserve"> an immovable property owned by a company wholly owned by the appellant, that property belonged to the appellant and the </w:t>
      </w:r>
      <w:r w:rsidR="00990C09" w:rsidRPr="00B36E07">
        <w:rPr>
          <w:rFonts w:ascii="Times New Roman" w:hAnsi="Times New Roman" w:cs="Times New Roman"/>
          <w:i/>
          <w:sz w:val="24"/>
          <w:szCs w:val="24"/>
        </w:rPr>
        <w:t>onus</w:t>
      </w:r>
      <w:r w:rsidR="00990C09" w:rsidRPr="00B36E07">
        <w:rPr>
          <w:rFonts w:ascii="Times New Roman" w:hAnsi="Times New Roman" w:cs="Times New Roman"/>
          <w:sz w:val="24"/>
          <w:szCs w:val="24"/>
        </w:rPr>
        <w:t xml:space="preserve"> was on the first respondent, as judgment creditor, to prove that it belonged</w:t>
      </w:r>
      <w:r w:rsidR="00F80C35" w:rsidRPr="00B36E07">
        <w:rPr>
          <w:rFonts w:ascii="Times New Roman" w:hAnsi="Times New Roman" w:cs="Times New Roman"/>
          <w:sz w:val="24"/>
          <w:szCs w:val="24"/>
        </w:rPr>
        <w:t xml:space="preserve"> to the judgment debtor.</w:t>
      </w:r>
    </w:p>
    <w:p w:rsidR="002E0D36" w:rsidRPr="00B36E07" w:rsidRDefault="002E0D36" w:rsidP="00B36E07">
      <w:pPr>
        <w:spacing w:after="0" w:line="480" w:lineRule="auto"/>
        <w:jc w:val="both"/>
        <w:rPr>
          <w:rFonts w:ascii="Times New Roman" w:hAnsi="Times New Roman" w:cs="Times New Roman"/>
          <w:sz w:val="24"/>
          <w:szCs w:val="24"/>
        </w:rPr>
      </w:pPr>
    </w:p>
    <w:p w:rsidR="00F80C35" w:rsidRPr="00B36E07" w:rsidRDefault="00F80C35"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appellant’s claim was rejected by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which found discrepancies in the </w:t>
      </w:r>
      <w:r w:rsidR="00D250C7" w:rsidRPr="00B36E07">
        <w:rPr>
          <w:rFonts w:ascii="Times New Roman" w:hAnsi="Times New Roman" w:cs="Times New Roman"/>
          <w:sz w:val="24"/>
          <w:szCs w:val="24"/>
        </w:rPr>
        <w:t>purported</w:t>
      </w:r>
      <w:r w:rsidRPr="00B36E07">
        <w:rPr>
          <w:rFonts w:ascii="Times New Roman" w:hAnsi="Times New Roman" w:cs="Times New Roman"/>
          <w:sz w:val="24"/>
          <w:szCs w:val="24"/>
        </w:rPr>
        <w:t xml:space="preserve"> sale agreements involving the immovable property.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found that</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despite the two</w:t>
      </w:r>
      <w:r w:rsidR="00B32A8D" w:rsidRPr="00B36E07">
        <w:rPr>
          <w:rFonts w:ascii="Times New Roman" w:hAnsi="Times New Roman" w:cs="Times New Roman"/>
          <w:sz w:val="24"/>
          <w:szCs w:val="24"/>
        </w:rPr>
        <w:t xml:space="preserve"> agreements</w:t>
      </w:r>
      <w:r w:rsidRPr="00B36E07">
        <w:rPr>
          <w:rFonts w:ascii="Times New Roman" w:hAnsi="Times New Roman" w:cs="Times New Roman"/>
          <w:sz w:val="24"/>
          <w:szCs w:val="24"/>
        </w:rPr>
        <w:t xml:space="preserve"> allegedly signed by the appellant and the judgment debtor initially on 30 October 2015 and a second one signed on 28 </w:t>
      </w:r>
      <w:r w:rsidR="00B32A8D" w:rsidRPr="00B36E07">
        <w:rPr>
          <w:rFonts w:ascii="Times New Roman" w:hAnsi="Times New Roman" w:cs="Times New Roman"/>
          <w:sz w:val="24"/>
          <w:szCs w:val="24"/>
        </w:rPr>
        <w:t>October</w:t>
      </w:r>
      <w:r w:rsidRPr="00B36E07">
        <w:rPr>
          <w:rFonts w:ascii="Times New Roman" w:hAnsi="Times New Roman" w:cs="Times New Roman"/>
          <w:sz w:val="24"/>
          <w:szCs w:val="24"/>
        </w:rPr>
        <w:t xml:space="preserve"> 2016, the judgment debtor had consented to the court order being executed. It was the reasoning of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that the judgment debtor would not have consented to a court order on 21 </w:t>
      </w:r>
      <w:r w:rsidR="00EA5134" w:rsidRPr="00B36E07">
        <w:rPr>
          <w:rFonts w:ascii="Times New Roman" w:hAnsi="Times New Roman" w:cs="Times New Roman"/>
          <w:sz w:val="24"/>
          <w:szCs w:val="24"/>
        </w:rPr>
        <w:t>August 2017</w:t>
      </w:r>
      <w:r w:rsidRPr="00B36E07">
        <w:rPr>
          <w:rFonts w:ascii="Times New Roman" w:hAnsi="Times New Roman" w:cs="Times New Roman"/>
          <w:sz w:val="24"/>
          <w:szCs w:val="24"/>
        </w:rPr>
        <w:t>, in terms of which an immovable property it had already sold was to be valued and its value paid to the judgment creditor.</w:t>
      </w:r>
    </w:p>
    <w:p w:rsidR="002E0D36" w:rsidRPr="00B36E07" w:rsidRDefault="002E0D36" w:rsidP="00B36E07">
      <w:pPr>
        <w:spacing w:after="0" w:line="480" w:lineRule="auto"/>
        <w:jc w:val="both"/>
        <w:rPr>
          <w:rFonts w:ascii="Times New Roman" w:hAnsi="Times New Roman" w:cs="Times New Roman"/>
          <w:sz w:val="24"/>
          <w:szCs w:val="24"/>
        </w:rPr>
      </w:pPr>
    </w:p>
    <w:p w:rsidR="00EA5134" w:rsidRPr="00B36E07" w:rsidRDefault="00F80C35"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w:t>
      </w:r>
      <w:r w:rsidR="00EA5134" w:rsidRPr="00B36E07">
        <w:rPr>
          <w:rFonts w:ascii="Times New Roman" w:hAnsi="Times New Roman" w:cs="Times New Roman"/>
          <w:sz w:val="24"/>
          <w:szCs w:val="24"/>
        </w:rPr>
        <w:t xml:space="preserve">concluded from those facts that the agreement of sale was a most recent fabrication, an </w:t>
      </w:r>
      <w:r w:rsidR="002E562E" w:rsidRPr="00B36E07">
        <w:rPr>
          <w:rFonts w:ascii="Times New Roman" w:hAnsi="Times New Roman" w:cs="Times New Roman"/>
          <w:sz w:val="24"/>
          <w:szCs w:val="24"/>
        </w:rPr>
        <w:t>afterthought</w:t>
      </w:r>
      <w:r w:rsidR="00EA5134" w:rsidRPr="00B36E07">
        <w:rPr>
          <w:rFonts w:ascii="Times New Roman" w:hAnsi="Times New Roman" w:cs="Times New Roman"/>
          <w:sz w:val="24"/>
          <w:szCs w:val="24"/>
        </w:rPr>
        <w:t xml:space="preserve"> meant to stem the appellant’s claim that it had </w:t>
      </w:r>
      <w:r w:rsidR="002E562E" w:rsidRPr="00B36E07">
        <w:rPr>
          <w:rFonts w:ascii="Times New Roman" w:hAnsi="Times New Roman" w:cs="Times New Roman"/>
          <w:sz w:val="24"/>
          <w:szCs w:val="24"/>
        </w:rPr>
        <w:t>purchased</w:t>
      </w:r>
      <w:r w:rsidR="00EA5134" w:rsidRPr="00B36E07">
        <w:rPr>
          <w:rFonts w:ascii="Times New Roman" w:hAnsi="Times New Roman" w:cs="Times New Roman"/>
          <w:sz w:val="24"/>
          <w:szCs w:val="24"/>
        </w:rPr>
        <w:t xml:space="preserve"> the entire shareholding in Jon’s Engineering (Private) Limited. The claim by the appellant that it bought the immovable property from the judgment debtor and took occupation as far back as </w:t>
      </w:r>
      <w:r w:rsidR="00863027" w:rsidRPr="00B36E07">
        <w:rPr>
          <w:rFonts w:ascii="Times New Roman" w:hAnsi="Times New Roman" w:cs="Times New Roman"/>
          <w:sz w:val="24"/>
          <w:szCs w:val="24"/>
        </w:rPr>
        <w:t xml:space="preserve">               </w:t>
      </w:r>
      <w:r w:rsidR="00EA5134" w:rsidRPr="00B36E07">
        <w:rPr>
          <w:rFonts w:ascii="Times New Roman" w:hAnsi="Times New Roman" w:cs="Times New Roman"/>
          <w:sz w:val="24"/>
          <w:szCs w:val="24"/>
        </w:rPr>
        <w:t xml:space="preserve">28 </w:t>
      </w:r>
      <w:r w:rsidR="002E562E" w:rsidRPr="00B36E07">
        <w:rPr>
          <w:rFonts w:ascii="Times New Roman" w:hAnsi="Times New Roman" w:cs="Times New Roman"/>
          <w:sz w:val="24"/>
          <w:szCs w:val="24"/>
        </w:rPr>
        <w:t>October</w:t>
      </w:r>
      <w:r w:rsidR="00EA5134" w:rsidRPr="00B36E07">
        <w:rPr>
          <w:rFonts w:ascii="Times New Roman" w:hAnsi="Times New Roman" w:cs="Times New Roman"/>
          <w:sz w:val="24"/>
          <w:szCs w:val="24"/>
        </w:rPr>
        <w:t xml:space="preserve"> 2016 was rejected because the evidence before the court showed that the judgment debtor had in fact been in occupation of same at the time of the consent order on 21 August 2017.</w:t>
      </w:r>
    </w:p>
    <w:p w:rsidR="002E0D36" w:rsidRPr="00B36E07" w:rsidRDefault="002E0D36" w:rsidP="00B36E07">
      <w:pPr>
        <w:spacing w:after="0" w:line="480" w:lineRule="auto"/>
        <w:jc w:val="both"/>
        <w:rPr>
          <w:rFonts w:ascii="Times New Roman" w:hAnsi="Times New Roman" w:cs="Times New Roman"/>
          <w:sz w:val="24"/>
          <w:szCs w:val="24"/>
        </w:rPr>
      </w:pPr>
    </w:p>
    <w:p w:rsidR="00F80C35" w:rsidRPr="00B36E07" w:rsidRDefault="00EA5134"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further found that the appellant’s claim could not succeed for yet </w:t>
      </w:r>
      <w:r w:rsidR="002E562E" w:rsidRPr="00B36E07">
        <w:rPr>
          <w:rFonts w:ascii="Times New Roman" w:hAnsi="Times New Roman" w:cs="Times New Roman"/>
          <w:sz w:val="24"/>
          <w:szCs w:val="24"/>
        </w:rPr>
        <w:t>another</w:t>
      </w:r>
      <w:r w:rsidRPr="00B36E07">
        <w:rPr>
          <w:rFonts w:ascii="Times New Roman" w:hAnsi="Times New Roman" w:cs="Times New Roman"/>
          <w:sz w:val="24"/>
          <w:szCs w:val="24"/>
        </w:rPr>
        <w:t xml:space="preserve"> reason. It is that the appellant is not the owner of the stand at which the movable property was attached for sale in execution. </w:t>
      </w:r>
      <w:r w:rsidR="00F2516D" w:rsidRPr="00B36E07">
        <w:rPr>
          <w:rFonts w:ascii="Times New Roman" w:hAnsi="Times New Roman" w:cs="Times New Roman"/>
          <w:sz w:val="24"/>
          <w:szCs w:val="24"/>
        </w:rPr>
        <w:t>The stand is owned by Jon’s Engineering (Private) Limited</w:t>
      </w:r>
      <w:r w:rsidR="002142BB" w:rsidRPr="00B36E07">
        <w:rPr>
          <w:rFonts w:ascii="Times New Roman" w:hAnsi="Times New Roman" w:cs="Times New Roman"/>
          <w:sz w:val="24"/>
          <w:szCs w:val="24"/>
        </w:rPr>
        <w:t>,</w:t>
      </w:r>
      <w:r w:rsidR="00F2516D" w:rsidRPr="00B36E07">
        <w:rPr>
          <w:rFonts w:ascii="Times New Roman" w:hAnsi="Times New Roman" w:cs="Times New Roman"/>
          <w:sz w:val="24"/>
          <w:szCs w:val="24"/>
        </w:rPr>
        <w:t xml:space="preserve"> a </w:t>
      </w:r>
      <w:r w:rsidR="00F2516D" w:rsidRPr="00B36E07">
        <w:rPr>
          <w:rFonts w:ascii="Times New Roman" w:hAnsi="Times New Roman" w:cs="Times New Roman"/>
          <w:sz w:val="24"/>
          <w:szCs w:val="24"/>
        </w:rPr>
        <w:lastRenderedPageBreak/>
        <w:t xml:space="preserve">separate legal entity from the appellant. There was no suggestion before the court </w:t>
      </w:r>
      <w:r w:rsidR="00F2516D" w:rsidRPr="00B36E07">
        <w:rPr>
          <w:rFonts w:ascii="Times New Roman" w:hAnsi="Times New Roman" w:cs="Times New Roman"/>
          <w:i/>
          <w:sz w:val="24"/>
          <w:szCs w:val="24"/>
        </w:rPr>
        <w:t>a quo</w:t>
      </w:r>
      <w:r w:rsidR="00F2516D" w:rsidRPr="00B36E07">
        <w:rPr>
          <w:rFonts w:ascii="Times New Roman" w:hAnsi="Times New Roman" w:cs="Times New Roman"/>
          <w:sz w:val="24"/>
          <w:szCs w:val="24"/>
        </w:rPr>
        <w:t xml:space="preserve"> that Jon’s Engineering (Private) Limited was a subsidiary of the appellant. By virtue of the separate legal </w:t>
      </w:r>
      <w:r w:rsidR="00F2516D" w:rsidRPr="00B36E07">
        <w:rPr>
          <w:rFonts w:ascii="Times New Roman" w:hAnsi="Times New Roman" w:cs="Times New Roman"/>
          <w:i/>
          <w:sz w:val="24"/>
          <w:szCs w:val="24"/>
        </w:rPr>
        <w:t>persona</w:t>
      </w:r>
      <w:r w:rsidR="00F2516D" w:rsidRPr="00B36E07">
        <w:rPr>
          <w:rFonts w:ascii="Times New Roman" w:hAnsi="Times New Roman" w:cs="Times New Roman"/>
          <w:sz w:val="24"/>
          <w:szCs w:val="24"/>
        </w:rPr>
        <w:t xml:space="preserve"> principle, that once a comp</w:t>
      </w:r>
      <w:r w:rsidR="00A05B91" w:rsidRPr="00B36E07">
        <w:rPr>
          <w:rFonts w:ascii="Times New Roman" w:hAnsi="Times New Roman" w:cs="Times New Roman"/>
          <w:sz w:val="24"/>
          <w:szCs w:val="24"/>
        </w:rPr>
        <w:t>any is</w:t>
      </w:r>
      <w:r w:rsidR="00F2516D" w:rsidRPr="00B36E07">
        <w:rPr>
          <w:rFonts w:ascii="Times New Roman" w:hAnsi="Times New Roman" w:cs="Times New Roman"/>
          <w:sz w:val="24"/>
          <w:szCs w:val="24"/>
        </w:rPr>
        <w:t xml:space="preserve"> incorporated</w:t>
      </w:r>
      <w:r w:rsidR="002142BB" w:rsidRPr="00B36E07">
        <w:rPr>
          <w:rFonts w:ascii="Times New Roman" w:hAnsi="Times New Roman" w:cs="Times New Roman"/>
          <w:sz w:val="24"/>
          <w:szCs w:val="24"/>
        </w:rPr>
        <w:t>,</w:t>
      </w:r>
      <w:r w:rsidR="00F2516D" w:rsidRPr="00B36E07">
        <w:rPr>
          <w:rFonts w:ascii="Times New Roman" w:hAnsi="Times New Roman" w:cs="Times New Roman"/>
          <w:sz w:val="24"/>
          <w:szCs w:val="24"/>
        </w:rPr>
        <w:t xml:space="preserve"> it exists independently and separately from its members, the appellant could not possibl</w:t>
      </w:r>
      <w:r w:rsidR="00A05B91" w:rsidRPr="00B36E07">
        <w:rPr>
          <w:rFonts w:ascii="Times New Roman" w:hAnsi="Times New Roman" w:cs="Times New Roman"/>
          <w:sz w:val="24"/>
          <w:szCs w:val="24"/>
        </w:rPr>
        <w:t>y</w:t>
      </w:r>
      <w:r w:rsidR="00F2516D" w:rsidRPr="00B36E07">
        <w:rPr>
          <w:rFonts w:ascii="Times New Roman" w:hAnsi="Times New Roman" w:cs="Times New Roman"/>
          <w:sz w:val="24"/>
          <w:szCs w:val="24"/>
        </w:rPr>
        <w:t xml:space="preserve"> claim ownership of property belonging to a separate registered company.</w:t>
      </w:r>
    </w:p>
    <w:p w:rsidR="007470B9" w:rsidRPr="00B36E07" w:rsidRDefault="007470B9" w:rsidP="00B36E07">
      <w:pPr>
        <w:spacing w:after="0" w:line="480" w:lineRule="auto"/>
        <w:jc w:val="both"/>
        <w:rPr>
          <w:rFonts w:ascii="Times New Roman" w:hAnsi="Times New Roman" w:cs="Times New Roman"/>
          <w:sz w:val="24"/>
          <w:szCs w:val="24"/>
        </w:rPr>
      </w:pPr>
    </w:p>
    <w:p w:rsidR="00F2516D" w:rsidRPr="00B36E07" w:rsidRDefault="00F2516D"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found that the appellant had failed to discharge the </w:t>
      </w:r>
      <w:r w:rsidRPr="00B36E07">
        <w:rPr>
          <w:rFonts w:ascii="Times New Roman" w:hAnsi="Times New Roman" w:cs="Times New Roman"/>
          <w:i/>
          <w:sz w:val="24"/>
          <w:szCs w:val="24"/>
        </w:rPr>
        <w:t>onus</w:t>
      </w:r>
      <w:r w:rsidRPr="00B36E07">
        <w:rPr>
          <w:rFonts w:ascii="Times New Roman" w:hAnsi="Times New Roman" w:cs="Times New Roman"/>
          <w:sz w:val="24"/>
          <w:szCs w:val="24"/>
        </w:rPr>
        <w:t xml:space="preserve"> resting on it to prove ownership of the movable property placed under attachment. It found that not a single piece of evidence was submitted by the appellant to show that it owned the property in question. That way</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the appellant’s claim was dismissed.</w:t>
      </w:r>
    </w:p>
    <w:p w:rsidR="002E0D36" w:rsidRPr="00B36E07" w:rsidRDefault="002E0D36" w:rsidP="00B36E07">
      <w:pPr>
        <w:spacing w:after="0" w:line="480" w:lineRule="auto"/>
        <w:jc w:val="both"/>
        <w:rPr>
          <w:rFonts w:ascii="Times New Roman" w:hAnsi="Times New Roman" w:cs="Times New Roman"/>
          <w:sz w:val="24"/>
          <w:szCs w:val="24"/>
        </w:rPr>
      </w:pPr>
    </w:p>
    <w:p w:rsidR="00F2516D" w:rsidRPr="00B36E07" w:rsidRDefault="002E0D36" w:rsidP="00B36E07">
      <w:pPr>
        <w:spacing w:after="0" w:line="480" w:lineRule="auto"/>
        <w:jc w:val="both"/>
        <w:rPr>
          <w:rFonts w:ascii="Times New Roman" w:hAnsi="Times New Roman" w:cs="Times New Roman"/>
          <w:b/>
          <w:sz w:val="24"/>
          <w:szCs w:val="24"/>
        </w:rPr>
      </w:pPr>
      <w:r w:rsidRPr="00B36E07">
        <w:rPr>
          <w:rFonts w:ascii="Times New Roman" w:hAnsi="Times New Roman" w:cs="Times New Roman"/>
          <w:b/>
          <w:sz w:val="24"/>
          <w:szCs w:val="24"/>
        </w:rPr>
        <w:t>THE APPEAL</w:t>
      </w:r>
    </w:p>
    <w:p w:rsidR="00F2516D" w:rsidRPr="00B36E07" w:rsidRDefault="00F2516D"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The appeal was motivated on three grounds speaking to the same issue</w:t>
      </w:r>
      <w:r w:rsidR="00A77D68" w:rsidRPr="00B36E07">
        <w:rPr>
          <w:rFonts w:ascii="Times New Roman" w:hAnsi="Times New Roman" w:cs="Times New Roman"/>
          <w:sz w:val="24"/>
          <w:szCs w:val="24"/>
        </w:rPr>
        <w:t>. They are that:</w:t>
      </w:r>
    </w:p>
    <w:p w:rsidR="00A77D68" w:rsidRPr="00B36E07" w:rsidRDefault="00A77D68" w:rsidP="00B36E07">
      <w:pPr>
        <w:pStyle w:val="ListParagraph"/>
        <w:numPr>
          <w:ilvl w:val="0"/>
          <w:numId w:val="1"/>
        </w:numPr>
        <w:spacing w:after="0" w:line="480" w:lineRule="auto"/>
        <w:ind w:left="1170" w:hanging="450"/>
        <w:jc w:val="both"/>
        <w:rPr>
          <w:rFonts w:ascii="Times New Roman" w:hAnsi="Times New Roman" w:cs="Times New Roman"/>
          <w:sz w:val="24"/>
          <w:szCs w:val="24"/>
        </w:rPr>
      </w:pPr>
      <w:r w:rsidRPr="00B36E07">
        <w:rPr>
          <w:rFonts w:ascii="Times New Roman" w:hAnsi="Times New Roman" w:cs="Times New Roman"/>
          <w:sz w:val="24"/>
          <w:szCs w:val="24"/>
        </w:rPr>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grossly misdirected itself when it found that the property attached by the sheriff did not belong to the appellant despite the evidence presented.</w:t>
      </w:r>
    </w:p>
    <w:p w:rsidR="00A77D68" w:rsidRPr="00B36E07" w:rsidRDefault="00A77D68" w:rsidP="00B36E07">
      <w:pPr>
        <w:pStyle w:val="ListParagraph"/>
        <w:numPr>
          <w:ilvl w:val="0"/>
          <w:numId w:val="1"/>
        </w:numPr>
        <w:spacing w:after="0" w:line="480" w:lineRule="auto"/>
        <w:ind w:left="1170" w:hanging="450"/>
        <w:jc w:val="both"/>
        <w:rPr>
          <w:rFonts w:ascii="Times New Roman" w:hAnsi="Times New Roman" w:cs="Times New Roman"/>
          <w:sz w:val="24"/>
          <w:szCs w:val="24"/>
        </w:rPr>
      </w:pPr>
      <w:r w:rsidRPr="00B36E07">
        <w:rPr>
          <w:rFonts w:ascii="Times New Roman" w:hAnsi="Times New Roman" w:cs="Times New Roman"/>
          <w:sz w:val="24"/>
          <w:szCs w:val="24"/>
        </w:rPr>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misdirected itself in finding that the agreement of sale between the judgment debtor and the appellant was not authentic.</w:t>
      </w:r>
    </w:p>
    <w:p w:rsidR="00A77D68" w:rsidRPr="00B36E07" w:rsidRDefault="00A77D68" w:rsidP="00B36E07">
      <w:pPr>
        <w:pStyle w:val="ListParagraph"/>
        <w:numPr>
          <w:ilvl w:val="0"/>
          <w:numId w:val="1"/>
        </w:numPr>
        <w:spacing w:after="0" w:line="480" w:lineRule="auto"/>
        <w:ind w:left="1170" w:hanging="450"/>
        <w:jc w:val="both"/>
        <w:rPr>
          <w:rFonts w:ascii="Times New Roman" w:hAnsi="Times New Roman" w:cs="Times New Roman"/>
          <w:sz w:val="24"/>
          <w:szCs w:val="24"/>
        </w:rPr>
      </w:pPr>
      <w:r w:rsidRPr="00B36E07">
        <w:rPr>
          <w:rFonts w:ascii="Times New Roman" w:hAnsi="Times New Roman" w:cs="Times New Roman"/>
          <w:sz w:val="24"/>
          <w:szCs w:val="24"/>
        </w:rPr>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erred at law when it concluded that the appellant did not have possession of the attached goods at the time.</w:t>
      </w:r>
    </w:p>
    <w:p w:rsidR="003B7AE8" w:rsidRPr="00B36E07" w:rsidRDefault="003B7AE8" w:rsidP="00B36E07">
      <w:pPr>
        <w:pStyle w:val="ListParagraph"/>
        <w:spacing w:after="0" w:line="480" w:lineRule="auto"/>
        <w:jc w:val="both"/>
        <w:rPr>
          <w:rFonts w:ascii="Times New Roman" w:hAnsi="Times New Roman" w:cs="Times New Roman"/>
          <w:sz w:val="24"/>
          <w:szCs w:val="24"/>
        </w:rPr>
      </w:pPr>
    </w:p>
    <w:p w:rsidR="00A77D68" w:rsidRPr="00B36E07" w:rsidRDefault="00A77D68"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lastRenderedPageBreak/>
        <w:t xml:space="preserve">From these grounds of appeal there can only be one issue for determination on appeal. It is: Whether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erred in finding that the appellant had failed to prove ownership of the goods placed under attachment.</w:t>
      </w:r>
    </w:p>
    <w:p w:rsidR="002142BB" w:rsidRPr="00B36E07" w:rsidRDefault="002142BB" w:rsidP="00B36E07">
      <w:pPr>
        <w:spacing w:after="0" w:line="480" w:lineRule="auto"/>
        <w:ind w:firstLine="1440"/>
        <w:jc w:val="both"/>
        <w:rPr>
          <w:rFonts w:ascii="Times New Roman" w:hAnsi="Times New Roman" w:cs="Times New Roman"/>
          <w:sz w:val="24"/>
          <w:szCs w:val="24"/>
        </w:rPr>
      </w:pPr>
    </w:p>
    <w:p w:rsidR="00A77D68" w:rsidRPr="00B36E07" w:rsidRDefault="003B7AE8" w:rsidP="00B36E07">
      <w:pPr>
        <w:spacing w:after="0" w:line="480" w:lineRule="auto"/>
        <w:jc w:val="both"/>
        <w:rPr>
          <w:rFonts w:ascii="Times New Roman" w:hAnsi="Times New Roman" w:cs="Times New Roman"/>
          <w:b/>
          <w:sz w:val="24"/>
          <w:szCs w:val="24"/>
        </w:rPr>
      </w:pPr>
      <w:r w:rsidRPr="00B36E07">
        <w:rPr>
          <w:rFonts w:ascii="Times New Roman" w:hAnsi="Times New Roman" w:cs="Times New Roman"/>
          <w:b/>
          <w:sz w:val="24"/>
          <w:szCs w:val="24"/>
        </w:rPr>
        <w:t>THE LAW</w:t>
      </w:r>
    </w:p>
    <w:p w:rsidR="00A77D68" w:rsidRPr="00B36E07" w:rsidRDefault="00A77D68"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 xml:space="preserve">It is settled that a party claiming ownership of a property placed under </w:t>
      </w:r>
      <w:r w:rsidR="000961BF" w:rsidRPr="00B36E07">
        <w:rPr>
          <w:rFonts w:ascii="Times New Roman" w:hAnsi="Times New Roman" w:cs="Times New Roman"/>
          <w:sz w:val="24"/>
          <w:szCs w:val="24"/>
        </w:rPr>
        <w:t>judicial attachment in interpleader proceedings must produce clear and satisfactory evidence to prove such ownership</w:t>
      </w:r>
      <w:r w:rsidR="002142BB" w:rsidRPr="00B36E07">
        <w:rPr>
          <w:rFonts w:ascii="Times New Roman" w:hAnsi="Times New Roman" w:cs="Times New Roman"/>
          <w:sz w:val="24"/>
          <w:szCs w:val="24"/>
        </w:rPr>
        <w:t>.</w:t>
      </w:r>
      <w:r w:rsidR="000961BF" w:rsidRPr="00B36E07">
        <w:rPr>
          <w:rFonts w:ascii="Times New Roman" w:hAnsi="Times New Roman" w:cs="Times New Roman"/>
          <w:sz w:val="24"/>
          <w:szCs w:val="24"/>
        </w:rPr>
        <w:t xml:space="preserve"> </w:t>
      </w:r>
      <w:r w:rsidR="002142BB" w:rsidRPr="00B36E07">
        <w:rPr>
          <w:rFonts w:ascii="Times New Roman" w:hAnsi="Times New Roman" w:cs="Times New Roman"/>
          <w:sz w:val="24"/>
          <w:szCs w:val="24"/>
        </w:rPr>
        <w:t>S</w:t>
      </w:r>
      <w:r w:rsidR="000961BF" w:rsidRPr="00B36E07">
        <w:rPr>
          <w:rFonts w:ascii="Times New Roman" w:hAnsi="Times New Roman" w:cs="Times New Roman"/>
          <w:sz w:val="24"/>
          <w:szCs w:val="24"/>
        </w:rPr>
        <w:t xml:space="preserve">uch a party bears the </w:t>
      </w:r>
      <w:r w:rsidR="000961BF" w:rsidRPr="00B36E07">
        <w:rPr>
          <w:rFonts w:ascii="Times New Roman" w:hAnsi="Times New Roman" w:cs="Times New Roman"/>
          <w:i/>
          <w:sz w:val="24"/>
          <w:szCs w:val="24"/>
        </w:rPr>
        <w:t>onus</w:t>
      </w:r>
      <w:r w:rsidR="000961BF" w:rsidRPr="00B36E07">
        <w:rPr>
          <w:rFonts w:ascii="Times New Roman" w:hAnsi="Times New Roman" w:cs="Times New Roman"/>
          <w:sz w:val="24"/>
          <w:szCs w:val="24"/>
        </w:rPr>
        <w:t xml:space="preserve"> to prove ownership on a balance of probabilities. See </w:t>
      </w:r>
      <w:r w:rsidR="000961BF" w:rsidRPr="00B36E07">
        <w:rPr>
          <w:rFonts w:ascii="Times New Roman" w:hAnsi="Times New Roman" w:cs="Times New Roman"/>
          <w:i/>
          <w:sz w:val="24"/>
          <w:szCs w:val="24"/>
        </w:rPr>
        <w:t>Sabarauta v Local Government Pension Fund &amp; Anor</w:t>
      </w:r>
      <w:r w:rsidR="000961BF" w:rsidRPr="00B36E07">
        <w:rPr>
          <w:rFonts w:ascii="Times New Roman" w:hAnsi="Times New Roman" w:cs="Times New Roman"/>
          <w:sz w:val="24"/>
          <w:szCs w:val="24"/>
        </w:rPr>
        <w:t xml:space="preserve"> SC 77/17</w:t>
      </w:r>
      <w:r w:rsidR="00843B8F" w:rsidRPr="00B36E07">
        <w:rPr>
          <w:rFonts w:ascii="Times New Roman" w:hAnsi="Times New Roman" w:cs="Times New Roman"/>
          <w:sz w:val="24"/>
          <w:szCs w:val="24"/>
        </w:rPr>
        <w:t>.</w:t>
      </w:r>
    </w:p>
    <w:p w:rsidR="003B7AE8" w:rsidRPr="00B36E07" w:rsidRDefault="003B7AE8" w:rsidP="00B36E07">
      <w:pPr>
        <w:spacing w:after="0" w:line="480" w:lineRule="auto"/>
        <w:ind w:firstLine="1440"/>
        <w:jc w:val="both"/>
        <w:rPr>
          <w:rFonts w:ascii="Times New Roman" w:hAnsi="Times New Roman" w:cs="Times New Roman"/>
          <w:sz w:val="24"/>
          <w:szCs w:val="24"/>
        </w:rPr>
      </w:pPr>
    </w:p>
    <w:p w:rsidR="0032604D" w:rsidRPr="00B36E07" w:rsidRDefault="00843B8F"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I should add </w:t>
      </w:r>
      <w:r w:rsidR="00496D2C" w:rsidRPr="00B36E07">
        <w:rPr>
          <w:rFonts w:ascii="Times New Roman" w:hAnsi="Times New Roman" w:cs="Times New Roman"/>
          <w:sz w:val="24"/>
          <w:szCs w:val="24"/>
        </w:rPr>
        <w:t>however</w:t>
      </w:r>
      <w:r w:rsidR="00E815BE" w:rsidRPr="00B36E07">
        <w:rPr>
          <w:rFonts w:ascii="Times New Roman" w:hAnsi="Times New Roman" w:cs="Times New Roman"/>
          <w:sz w:val="24"/>
          <w:szCs w:val="24"/>
        </w:rPr>
        <w:t xml:space="preserve"> that in situations where</w:t>
      </w:r>
      <w:r w:rsidR="00167997" w:rsidRPr="00B36E07">
        <w:rPr>
          <w:rFonts w:ascii="Times New Roman" w:hAnsi="Times New Roman" w:cs="Times New Roman"/>
          <w:sz w:val="24"/>
          <w:szCs w:val="24"/>
        </w:rPr>
        <w:t xml:space="preserve"> </w:t>
      </w:r>
      <w:r w:rsidR="00E815BE" w:rsidRPr="00B36E07">
        <w:rPr>
          <w:rFonts w:ascii="Times New Roman" w:hAnsi="Times New Roman" w:cs="Times New Roman"/>
          <w:sz w:val="24"/>
          <w:szCs w:val="24"/>
        </w:rPr>
        <w:t>the goods are attached in the possession of the claimant, there is a presumption that they belong to the claimant. In those c</w:t>
      </w:r>
      <w:r w:rsidR="00167997" w:rsidRPr="00B36E07">
        <w:rPr>
          <w:rFonts w:ascii="Times New Roman" w:hAnsi="Times New Roman" w:cs="Times New Roman"/>
          <w:sz w:val="24"/>
          <w:szCs w:val="24"/>
        </w:rPr>
        <w:t xml:space="preserve">ircumstances, the execution creditor has the </w:t>
      </w:r>
      <w:r w:rsidR="00167997" w:rsidRPr="00B36E07">
        <w:rPr>
          <w:rFonts w:ascii="Times New Roman" w:hAnsi="Times New Roman" w:cs="Times New Roman"/>
          <w:i/>
          <w:sz w:val="24"/>
          <w:szCs w:val="24"/>
        </w:rPr>
        <w:t>onus</w:t>
      </w:r>
      <w:r w:rsidR="00167997" w:rsidRPr="00B36E07">
        <w:rPr>
          <w:rFonts w:ascii="Times New Roman" w:hAnsi="Times New Roman" w:cs="Times New Roman"/>
          <w:sz w:val="24"/>
          <w:szCs w:val="24"/>
        </w:rPr>
        <w:t xml:space="preserve"> to prove otherwise. It is probably for that reason that in this case, having clearly failed to adduce</w:t>
      </w:r>
      <w:r w:rsidR="0049359F" w:rsidRPr="00B36E07">
        <w:rPr>
          <w:rFonts w:ascii="Times New Roman" w:hAnsi="Times New Roman" w:cs="Times New Roman"/>
          <w:sz w:val="24"/>
          <w:szCs w:val="24"/>
        </w:rPr>
        <w:t xml:space="preserve"> direct evidence of ownership of the movable goods, the appellant de</w:t>
      </w:r>
      <w:r w:rsidR="002142BB" w:rsidRPr="00B36E07">
        <w:rPr>
          <w:rFonts w:ascii="Times New Roman" w:hAnsi="Times New Roman" w:cs="Times New Roman"/>
          <w:sz w:val="24"/>
          <w:szCs w:val="24"/>
        </w:rPr>
        <w:t>ployed</w:t>
      </w:r>
      <w:r w:rsidR="0049359F" w:rsidRPr="00B36E07">
        <w:rPr>
          <w:rFonts w:ascii="Times New Roman" w:hAnsi="Times New Roman" w:cs="Times New Roman"/>
          <w:sz w:val="24"/>
          <w:szCs w:val="24"/>
        </w:rPr>
        <w:t xml:space="preserve"> all its energies at trying to prove </w:t>
      </w:r>
      <w:r w:rsidR="0032604D" w:rsidRPr="00B36E07">
        <w:rPr>
          <w:rFonts w:ascii="Times New Roman" w:hAnsi="Times New Roman" w:cs="Times New Roman"/>
          <w:sz w:val="24"/>
          <w:szCs w:val="24"/>
        </w:rPr>
        <w:t xml:space="preserve">ownership of the venue of the attachment. </w:t>
      </w:r>
    </w:p>
    <w:p w:rsidR="00903BFA" w:rsidRPr="00B36E07" w:rsidRDefault="00903BFA" w:rsidP="00B36E07">
      <w:pPr>
        <w:spacing w:after="0" w:line="480" w:lineRule="auto"/>
        <w:jc w:val="both"/>
        <w:rPr>
          <w:rFonts w:ascii="Times New Roman" w:hAnsi="Times New Roman" w:cs="Times New Roman"/>
          <w:sz w:val="24"/>
          <w:szCs w:val="24"/>
        </w:rPr>
      </w:pPr>
    </w:p>
    <w:p w:rsidR="00843B8F" w:rsidRPr="00B36E07" w:rsidRDefault="0032604D"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Unfortunately, this may not have been a useful investment of time and energy. Apart from the fact that ownership of land does not equate to possession of the movable items on the land, the appellant did not even</w:t>
      </w:r>
      <w:r w:rsidR="00794EE8" w:rsidRPr="00B36E07">
        <w:rPr>
          <w:rFonts w:ascii="Times New Roman" w:hAnsi="Times New Roman" w:cs="Times New Roman"/>
          <w:sz w:val="24"/>
          <w:szCs w:val="24"/>
        </w:rPr>
        <w:t xml:space="preserve"> begin to prove ownership even of the land.</w:t>
      </w:r>
    </w:p>
    <w:p w:rsidR="00D74C34" w:rsidRPr="00B36E07" w:rsidRDefault="00D74C34" w:rsidP="00B36E07">
      <w:pPr>
        <w:spacing w:after="0" w:line="480" w:lineRule="auto"/>
        <w:ind w:firstLine="1440"/>
        <w:jc w:val="both"/>
        <w:rPr>
          <w:rFonts w:ascii="Times New Roman" w:hAnsi="Times New Roman" w:cs="Times New Roman"/>
          <w:sz w:val="24"/>
          <w:szCs w:val="24"/>
        </w:rPr>
      </w:pPr>
    </w:p>
    <w:p w:rsidR="00B06B2C" w:rsidRPr="00B36E07" w:rsidRDefault="00794EE8"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The concept of separate legal personality of a company is the cornerstone of our company law. I</w:t>
      </w:r>
      <w:r w:rsidR="007470B9" w:rsidRPr="00B36E07">
        <w:rPr>
          <w:rFonts w:ascii="Times New Roman" w:hAnsi="Times New Roman" w:cs="Times New Roman"/>
          <w:sz w:val="24"/>
          <w:szCs w:val="24"/>
        </w:rPr>
        <w:t>t has its parentage in the case</w:t>
      </w:r>
      <w:r w:rsidRPr="00B36E07">
        <w:rPr>
          <w:rFonts w:ascii="Times New Roman" w:hAnsi="Times New Roman" w:cs="Times New Roman"/>
          <w:sz w:val="24"/>
          <w:szCs w:val="24"/>
        </w:rPr>
        <w:t xml:space="preserve"> of </w:t>
      </w:r>
      <w:r w:rsidR="00D74C34" w:rsidRPr="00B36E07">
        <w:rPr>
          <w:rFonts w:ascii="Times New Roman" w:hAnsi="Times New Roman" w:cs="Times New Roman"/>
          <w:i/>
          <w:sz w:val="24"/>
          <w:szCs w:val="24"/>
        </w:rPr>
        <w:t xml:space="preserve">Salomon v Salomon &amp; Co </w:t>
      </w:r>
      <w:r w:rsidR="002142BB" w:rsidRPr="00B36E07">
        <w:rPr>
          <w:rFonts w:ascii="Times New Roman" w:hAnsi="Times New Roman" w:cs="Times New Roman"/>
          <w:i/>
          <w:sz w:val="24"/>
          <w:szCs w:val="24"/>
        </w:rPr>
        <w:t xml:space="preserve">Limited </w:t>
      </w:r>
      <w:r w:rsidRPr="00B36E07">
        <w:rPr>
          <w:rFonts w:ascii="Times New Roman" w:hAnsi="Times New Roman" w:cs="Times New Roman"/>
          <w:sz w:val="24"/>
          <w:szCs w:val="24"/>
        </w:rPr>
        <w:t xml:space="preserve">[1897] A.C 22. </w:t>
      </w:r>
      <w:r w:rsidRPr="00B36E07">
        <w:rPr>
          <w:rFonts w:ascii="Times New Roman" w:hAnsi="Times New Roman" w:cs="Times New Roman"/>
          <w:sz w:val="24"/>
          <w:szCs w:val="24"/>
        </w:rPr>
        <w:lastRenderedPageBreak/>
        <w:t xml:space="preserve">The concept of </w:t>
      </w:r>
      <w:r w:rsidR="00B06B2C" w:rsidRPr="00B36E07">
        <w:rPr>
          <w:rFonts w:ascii="Times New Roman" w:hAnsi="Times New Roman" w:cs="Times New Roman"/>
          <w:sz w:val="24"/>
          <w:szCs w:val="24"/>
        </w:rPr>
        <w:t>corporate</w:t>
      </w:r>
      <w:r w:rsidRPr="00B36E07">
        <w:rPr>
          <w:rFonts w:ascii="Times New Roman" w:hAnsi="Times New Roman" w:cs="Times New Roman"/>
          <w:sz w:val="24"/>
          <w:szCs w:val="24"/>
        </w:rPr>
        <w:t xml:space="preserve"> personality is that a company</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once it is registered, acquires a personality of its own quite distinct from its members or </w:t>
      </w:r>
      <w:r w:rsidR="00B06B2C" w:rsidRPr="00B36E07">
        <w:rPr>
          <w:rFonts w:ascii="Times New Roman" w:hAnsi="Times New Roman" w:cs="Times New Roman"/>
          <w:sz w:val="24"/>
          <w:szCs w:val="24"/>
        </w:rPr>
        <w:t>shareholders.</w:t>
      </w:r>
    </w:p>
    <w:p w:rsidR="00D74C34" w:rsidRPr="00B36E07" w:rsidRDefault="00D74C34" w:rsidP="00B36E07">
      <w:pPr>
        <w:spacing w:after="0" w:line="480" w:lineRule="auto"/>
        <w:ind w:firstLine="1440"/>
        <w:jc w:val="both"/>
        <w:rPr>
          <w:rFonts w:ascii="Times New Roman" w:hAnsi="Times New Roman" w:cs="Times New Roman"/>
          <w:sz w:val="24"/>
          <w:szCs w:val="24"/>
        </w:rPr>
      </w:pPr>
    </w:p>
    <w:p w:rsidR="00794EE8" w:rsidRPr="00B36E07" w:rsidRDefault="00B06B2C"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Courts of law will not lightly disregard a company’s separate legal personality except in very limited circumstances where fraud, dishonesty</w:t>
      </w:r>
      <w:r w:rsidR="00794EE8" w:rsidRPr="00B36E07">
        <w:rPr>
          <w:rFonts w:ascii="Times New Roman" w:hAnsi="Times New Roman" w:cs="Times New Roman"/>
          <w:sz w:val="24"/>
          <w:szCs w:val="24"/>
        </w:rPr>
        <w:t xml:space="preserve"> </w:t>
      </w:r>
      <w:r w:rsidR="001261B8" w:rsidRPr="00B36E07">
        <w:rPr>
          <w:rFonts w:ascii="Times New Roman" w:hAnsi="Times New Roman" w:cs="Times New Roman"/>
          <w:sz w:val="24"/>
          <w:szCs w:val="24"/>
        </w:rPr>
        <w:t>or other improper use of a company’s personality are found to exist. Before a court of law can disregard the veil of incorporation or lift the veil, a case for doing so must be made.</w:t>
      </w:r>
    </w:p>
    <w:p w:rsidR="00D74C34" w:rsidRPr="00B36E07" w:rsidRDefault="00D74C34" w:rsidP="00B36E07">
      <w:pPr>
        <w:spacing w:after="0" w:line="480" w:lineRule="auto"/>
        <w:ind w:firstLine="1440"/>
        <w:jc w:val="both"/>
        <w:rPr>
          <w:rFonts w:ascii="Times New Roman" w:hAnsi="Times New Roman" w:cs="Times New Roman"/>
          <w:sz w:val="24"/>
          <w:szCs w:val="24"/>
        </w:rPr>
      </w:pPr>
    </w:p>
    <w:p w:rsidR="001261B8" w:rsidRPr="00B36E07" w:rsidRDefault="009445CA" w:rsidP="00B36E07">
      <w:pPr>
        <w:spacing w:after="0" w:line="480" w:lineRule="auto"/>
        <w:jc w:val="both"/>
        <w:rPr>
          <w:rFonts w:ascii="Times New Roman" w:hAnsi="Times New Roman" w:cs="Times New Roman"/>
          <w:b/>
          <w:sz w:val="24"/>
          <w:szCs w:val="24"/>
        </w:rPr>
      </w:pPr>
      <w:r w:rsidRPr="00B36E07">
        <w:rPr>
          <w:rFonts w:ascii="Times New Roman" w:hAnsi="Times New Roman" w:cs="Times New Roman"/>
          <w:b/>
          <w:sz w:val="24"/>
          <w:szCs w:val="24"/>
        </w:rPr>
        <w:t>APPLICATION OF THE LAW</w:t>
      </w:r>
    </w:p>
    <w:p w:rsidR="001261B8" w:rsidRPr="00B36E07" w:rsidRDefault="001261B8" w:rsidP="00B36E07">
      <w:pPr>
        <w:spacing w:after="0" w:line="480" w:lineRule="auto"/>
        <w:ind w:firstLine="1440"/>
        <w:jc w:val="both"/>
        <w:rPr>
          <w:rFonts w:ascii="Times New Roman" w:hAnsi="Times New Roman" w:cs="Times New Roman"/>
          <w:sz w:val="24"/>
          <w:szCs w:val="24"/>
        </w:rPr>
      </w:pPr>
      <w:r w:rsidRPr="00B36E07">
        <w:rPr>
          <w:rFonts w:ascii="Times New Roman" w:hAnsi="Times New Roman" w:cs="Times New Roman"/>
          <w:sz w:val="24"/>
          <w:szCs w:val="24"/>
        </w:rPr>
        <w:t xml:space="preserve">Before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the appellant did not submit any tangible evidence of ownership </w:t>
      </w:r>
      <w:r w:rsidR="002142BB" w:rsidRPr="00B36E07">
        <w:rPr>
          <w:rFonts w:ascii="Times New Roman" w:hAnsi="Times New Roman" w:cs="Times New Roman"/>
          <w:sz w:val="24"/>
          <w:szCs w:val="24"/>
        </w:rPr>
        <w:t xml:space="preserve">of the listed items placed </w:t>
      </w:r>
      <w:r w:rsidRPr="00B36E07">
        <w:rPr>
          <w:rFonts w:ascii="Times New Roman" w:hAnsi="Times New Roman" w:cs="Times New Roman"/>
          <w:sz w:val="24"/>
          <w:szCs w:val="24"/>
        </w:rPr>
        <w:t>under attachment. It was content to try and make a case merely out</w:t>
      </w:r>
      <w:r w:rsidR="009445CA" w:rsidRPr="00B36E07">
        <w:rPr>
          <w:rFonts w:ascii="Times New Roman" w:hAnsi="Times New Roman" w:cs="Times New Roman"/>
          <w:sz w:val="24"/>
          <w:szCs w:val="24"/>
        </w:rPr>
        <w:t xml:space="preserve"> of a claim for ownership of the stand where the property was found by the sheriff. </w:t>
      </w:r>
      <w:r w:rsidR="00E21072" w:rsidRPr="00B36E07">
        <w:rPr>
          <w:rFonts w:ascii="Times New Roman" w:hAnsi="Times New Roman" w:cs="Times New Roman"/>
          <w:sz w:val="24"/>
          <w:szCs w:val="24"/>
        </w:rPr>
        <w:t xml:space="preserve">I mention in passing that ownership of the land was not the </w:t>
      </w:r>
      <w:r w:rsidR="00E93EF5" w:rsidRPr="00B36E07">
        <w:rPr>
          <w:rFonts w:ascii="Times New Roman" w:hAnsi="Times New Roman" w:cs="Times New Roman"/>
          <w:sz w:val="24"/>
          <w:szCs w:val="24"/>
        </w:rPr>
        <w:t xml:space="preserve">issue before the court </w:t>
      </w:r>
      <w:r w:rsidR="00E93EF5" w:rsidRPr="00B36E07">
        <w:rPr>
          <w:rFonts w:ascii="Times New Roman" w:hAnsi="Times New Roman" w:cs="Times New Roman"/>
          <w:i/>
          <w:sz w:val="24"/>
          <w:szCs w:val="24"/>
        </w:rPr>
        <w:t>a quo</w:t>
      </w:r>
      <w:r w:rsidR="00E93EF5" w:rsidRPr="00B36E07">
        <w:rPr>
          <w:rFonts w:ascii="Times New Roman" w:hAnsi="Times New Roman" w:cs="Times New Roman"/>
          <w:sz w:val="24"/>
          <w:szCs w:val="24"/>
        </w:rPr>
        <w:t>. Ownership of the movable proper</w:t>
      </w:r>
      <w:r w:rsidR="0018790D" w:rsidRPr="00B36E07">
        <w:rPr>
          <w:rFonts w:ascii="Times New Roman" w:hAnsi="Times New Roman" w:cs="Times New Roman"/>
          <w:sz w:val="24"/>
          <w:szCs w:val="24"/>
        </w:rPr>
        <w:t>ty</w:t>
      </w:r>
      <w:r w:rsidR="00E93EF5" w:rsidRPr="00B36E07">
        <w:rPr>
          <w:rFonts w:ascii="Times New Roman" w:hAnsi="Times New Roman" w:cs="Times New Roman"/>
          <w:sz w:val="24"/>
          <w:szCs w:val="24"/>
        </w:rPr>
        <w:t xml:space="preserve"> placed under judicial attachment</w:t>
      </w:r>
      <w:r w:rsidR="00CC122D" w:rsidRPr="00B36E07">
        <w:rPr>
          <w:rFonts w:ascii="Times New Roman" w:hAnsi="Times New Roman" w:cs="Times New Roman"/>
          <w:sz w:val="24"/>
          <w:szCs w:val="24"/>
        </w:rPr>
        <w:t xml:space="preserve"> was.</w:t>
      </w:r>
    </w:p>
    <w:p w:rsidR="00D74C34" w:rsidRPr="00B36E07" w:rsidRDefault="00D74C34" w:rsidP="00B36E07">
      <w:pPr>
        <w:spacing w:after="0" w:line="480" w:lineRule="auto"/>
        <w:ind w:firstLine="1440"/>
        <w:jc w:val="both"/>
        <w:rPr>
          <w:rFonts w:ascii="Times New Roman" w:hAnsi="Times New Roman" w:cs="Times New Roman"/>
          <w:sz w:val="24"/>
          <w:szCs w:val="24"/>
        </w:rPr>
      </w:pPr>
    </w:p>
    <w:p w:rsidR="00CC122D" w:rsidRPr="00B36E07" w:rsidRDefault="00CC122D"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I have said that by seeking to prove ownership of the land on which the movable property was attached the appellant hoped to stand on possession of the disputed property in order to shift the </w:t>
      </w:r>
      <w:r w:rsidRPr="00B36E07">
        <w:rPr>
          <w:rFonts w:ascii="Times New Roman" w:hAnsi="Times New Roman" w:cs="Times New Roman"/>
          <w:i/>
          <w:sz w:val="24"/>
          <w:szCs w:val="24"/>
        </w:rPr>
        <w:t>onus</w:t>
      </w:r>
      <w:r w:rsidRPr="00B36E07">
        <w:rPr>
          <w:rFonts w:ascii="Times New Roman" w:hAnsi="Times New Roman" w:cs="Times New Roman"/>
          <w:sz w:val="24"/>
          <w:szCs w:val="24"/>
        </w:rPr>
        <w:t xml:space="preserve"> onto the first respondent. If the appellant was in possession, then the first respondent, as judgment creditor, would have to prove that despite such possession, the property belonged to the judgment debtor and was therefore executable. </w:t>
      </w:r>
    </w:p>
    <w:p w:rsidR="0018790D" w:rsidRPr="00B36E07" w:rsidRDefault="0018790D" w:rsidP="00B36E07">
      <w:pPr>
        <w:spacing w:after="0" w:line="480" w:lineRule="auto"/>
        <w:jc w:val="both"/>
        <w:rPr>
          <w:rFonts w:ascii="Times New Roman" w:hAnsi="Times New Roman" w:cs="Times New Roman"/>
          <w:sz w:val="24"/>
          <w:szCs w:val="24"/>
        </w:rPr>
      </w:pPr>
    </w:p>
    <w:p w:rsidR="00CC122D" w:rsidRPr="00B36E07" w:rsidRDefault="00CC122D"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made a factual finding that the appellant was not in possession of the property when it was placed under attachment. In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’s view</w:t>
      </w:r>
      <w:r w:rsidR="002142BB" w:rsidRPr="00B36E07">
        <w:rPr>
          <w:rFonts w:ascii="Times New Roman" w:hAnsi="Times New Roman" w:cs="Times New Roman"/>
          <w:sz w:val="24"/>
          <w:szCs w:val="24"/>
        </w:rPr>
        <w:t>,</w:t>
      </w:r>
      <w:r w:rsidRPr="00B36E07">
        <w:rPr>
          <w:rFonts w:ascii="Times New Roman" w:hAnsi="Times New Roman" w:cs="Times New Roman"/>
          <w:sz w:val="24"/>
          <w:szCs w:val="24"/>
        </w:rPr>
        <w:t xml:space="preserve"> the agreement of sale </w:t>
      </w:r>
      <w:r w:rsidRPr="00B36E07">
        <w:rPr>
          <w:rFonts w:ascii="Times New Roman" w:hAnsi="Times New Roman" w:cs="Times New Roman"/>
          <w:sz w:val="24"/>
          <w:szCs w:val="24"/>
        </w:rPr>
        <w:lastRenderedPageBreak/>
        <w:t xml:space="preserve">between the appellant and the judgment debtor, upon which the appellant claimed ownership, was a clumsy fabrication. As I have already pointed out,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took the view that there existed no explanation why the judgment debtor would have consented to a court order on 21 August 2017 involving the stand in question</w:t>
      </w:r>
      <w:r w:rsidR="008A3052" w:rsidRPr="00B36E07">
        <w:rPr>
          <w:rFonts w:ascii="Times New Roman" w:hAnsi="Times New Roman" w:cs="Times New Roman"/>
          <w:sz w:val="24"/>
          <w:szCs w:val="24"/>
        </w:rPr>
        <w:t>, if it had alienated it more than a year earlier.</w:t>
      </w:r>
    </w:p>
    <w:p w:rsidR="00696E25" w:rsidRPr="00B36E07" w:rsidRDefault="00696E25" w:rsidP="00B36E07">
      <w:pPr>
        <w:spacing w:after="0" w:line="480" w:lineRule="auto"/>
        <w:jc w:val="both"/>
        <w:rPr>
          <w:rFonts w:ascii="Times New Roman" w:hAnsi="Times New Roman" w:cs="Times New Roman"/>
          <w:sz w:val="24"/>
          <w:szCs w:val="24"/>
        </w:rPr>
      </w:pPr>
    </w:p>
    <w:p w:rsidR="008A3052" w:rsidRPr="00B36E07" w:rsidRDefault="008A3052"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In addition to that,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also made a factual finding that at the time of the grant of the consent order, the judgment debtor had been in possession of the stand and not the appellant as it claimed. It accordingly found that the appellant’s testimony was untruthful.</w:t>
      </w:r>
    </w:p>
    <w:p w:rsidR="002142BB" w:rsidRPr="00B36E07" w:rsidRDefault="002142BB" w:rsidP="00B36E07">
      <w:pPr>
        <w:spacing w:after="0" w:line="480" w:lineRule="auto"/>
        <w:jc w:val="both"/>
        <w:rPr>
          <w:rFonts w:ascii="Times New Roman" w:hAnsi="Times New Roman" w:cs="Times New Roman"/>
          <w:sz w:val="24"/>
          <w:szCs w:val="24"/>
        </w:rPr>
      </w:pPr>
    </w:p>
    <w:p w:rsidR="008A3052" w:rsidRPr="00B36E07" w:rsidRDefault="008A3052"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It is trite that an appellate court may only interfere with the factual findings of a lower court on the ground of gross unreasonableness. See </w:t>
      </w:r>
      <w:r w:rsidRPr="00B36E07">
        <w:rPr>
          <w:rFonts w:ascii="Times New Roman" w:hAnsi="Times New Roman" w:cs="Times New Roman"/>
          <w:i/>
          <w:sz w:val="24"/>
          <w:szCs w:val="24"/>
        </w:rPr>
        <w:t>Chioza v Siziba</w:t>
      </w:r>
      <w:r w:rsidRPr="00B36E07">
        <w:rPr>
          <w:rFonts w:ascii="Times New Roman" w:hAnsi="Times New Roman" w:cs="Times New Roman"/>
          <w:sz w:val="24"/>
          <w:szCs w:val="24"/>
        </w:rPr>
        <w:t xml:space="preserve"> SC 16/11. No gross unreasonableness in the findings of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has been alleged or established. Quite to the contrary</w:t>
      </w:r>
      <w:r w:rsidR="00246A30" w:rsidRPr="00B36E07">
        <w:rPr>
          <w:rFonts w:ascii="Times New Roman" w:hAnsi="Times New Roman" w:cs="Times New Roman"/>
          <w:sz w:val="24"/>
          <w:szCs w:val="24"/>
        </w:rPr>
        <w:t>,</w:t>
      </w:r>
      <w:r w:rsidRPr="00B36E07">
        <w:rPr>
          <w:rFonts w:ascii="Times New Roman" w:hAnsi="Times New Roman" w:cs="Times New Roman"/>
          <w:sz w:val="24"/>
          <w:szCs w:val="24"/>
        </w:rPr>
        <w:t xml:space="preserve"> there is an existing order of the High Court showing that as at 21 August 2017, the judgment debtor was in occupation of the premises. In that regard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was standing on firm ground when it concluded that the appellant’s story that it had moved into the premises in 2016 was unbelievable. It cannot be fa</w:t>
      </w:r>
      <w:r w:rsidR="00246A30" w:rsidRPr="00B36E07">
        <w:rPr>
          <w:rFonts w:ascii="Times New Roman" w:hAnsi="Times New Roman" w:cs="Times New Roman"/>
          <w:sz w:val="24"/>
          <w:szCs w:val="24"/>
        </w:rPr>
        <w:t>ulte</w:t>
      </w:r>
      <w:r w:rsidRPr="00B36E07">
        <w:rPr>
          <w:rFonts w:ascii="Times New Roman" w:hAnsi="Times New Roman" w:cs="Times New Roman"/>
          <w:sz w:val="24"/>
          <w:szCs w:val="24"/>
        </w:rPr>
        <w:t>d at all.</w:t>
      </w:r>
    </w:p>
    <w:p w:rsidR="00696E25" w:rsidRPr="00B36E07" w:rsidRDefault="00696E25" w:rsidP="00B36E07">
      <w:pPr>
        <w:spacing w:after="0" w:line="480" w:lineRule="auto"/>
        <w:jc w:val="both"/>
        <w:rPr>
          <w:rFonts w:ascii="Times New Roman" w:hAnsi="Times New Roman" w:cs="Times New Roman"/>
          <w:sz w:val="24"/>
          <w:szCs w:val="24"/>
        </w:rPr>
      </w:pPr>
    </w:p>
    <w:p w:rsidR="008A3052" w:rsidRPr="00B36E07" w:rsidRDefault="008A3052"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On appeal</w:t>
      </w:r>
      <w:r w:rsidR="00246A30" w:rsidRPr="00B36E07">
        <w:rPr>
          <w:rFonts w:ascii="Times New Roman" w:hAnsi="Times New Roman" w:cs="Times New Roman"/>
          <w:sz w:val="24"/>
          <w:szCs w:val="24"/>
        </w:rPr>
        <w:t>,</w:t>
      </w:r>
      <w:r w:rsidRPr="00B36E07">
        <w:rPr>
          <w:rFonts w:ascii="Times New Roman" w:hAnsi="Times New Roman" w:cs="Times New Roman"/>
          <w:sz w:val="24"/>
          <w:szCs w:val="24"/>
        </w:rPr>
        <w:t xml:space="preserve"> it was argued for the appellant that the finding by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that the appellant did not own the attached goods was faulty because it owns the entire shareholding in Jon’s Engineering (Private) Limited. The </w:t>
      </w:r>
      <w:r w:rsidR="00F41604" w:rsidRPr="00B36E07">
        <w:rPr>
          <w:rFonts w:ascii="Times New Roman" w:hAnsi="Times New Roman" w:cs="Times New Roman"/>
          <w:sz w:val="24"/>
          <w:szCs w:val="24"/>
        </w:rPr>
        <w:t xml:space="preserve">court </w:t>
      </w:r>
      <w:r w:rsidR="00F41604" w:rsidRPr="00B36E07">
        <w:rPr>
          <w:rFonts w:ascii="Times New Roman" w:hAnsi="Times New Roman" w:cs="Times New Roman"/>
          <w:i/>
          <w:sz w:val="24"/>
          <w:szCs w:val="24"/>
        </w:rPr>
        <w:t>a quo</w:t>
      </w:r>
      <w:r w:rsidR="00F41604" w:rsidRPr="00B36E07">
        <w:rPr>
          <w:rFonts w:ascii="Times New Roman" w:hAnsi="Times New Roman" w:cs="Times New Roman"/>
          <w:sz w:val="24"/>
          <w:szCs w:val="24"/>
        </w:rPr>
        <w:t>, so the argument goes, should have found that the appellant is the beneficial owner of the property owned by Jon’s Engineering (Private) Limited.</w:t>
      </w:r>
    </w:p>
    <w:p w:rsidR="00696E25" w:rsidRPr="00B36E07" w:rsidRDefault="00696E25" w:rsidP="00B36E07">
      <w:pPr>
        <w:spacing w:after="0" w:line="480" w:lineRule="auto"/>
        <w:jc w:val="both"/>
        <w:rPr>
          <w:rFonts w:ascii="Times New Roman" w:hAnsi="Times New Roman" w:cs="Times New Roman"/>
          <w:sz w:val="24"/>
          <w:szCs w:val="24"/>
        </w:rPr>
      </w:pPr>
    </w:p>
    <w:p w:rsidR="00F41604" w:rsidRPr="00B36E07" w:rsidRDefault="00F41604"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lastRenderedPageBreak/>
        <w:tab/>
      </w:r>
      <w:r w:rsidRPr="00B36E07">
        <w:rPr>
          <w:rFonts w:ascii="Times New Roman" w:hAnsi="Times New Roman" w:cs="Times New Roman"/>
          <w:sz w:val="24"/>
          <w:szCs w:val="24"/>
        </w:rPr>
        <w:tab/>
        <w:t>That argument should not det</w:t>
      </w:r>
      <w:r w:rsidR="00D139CB" w:rsidRPr="00B36E07">
        <w:rPr>
          <w:rFonts w:ascii="Times New Roman" w:hAnsi="Times New Roman" w:cs="Times New Roman"/>
          <w:sz w:val="24"/>
          <w:szCs w:val="24"/>
        </w:rPr>
        <w:t xml:space="preserve">ain this Court. To begin with, it </w:t>
      </w:r>
      <w:r w:rsidRPr="00B36E07">
        <w:rPr>
          <w:rFonts w:ascii="Times New Roman" w:hAnsi="Times New Roman" w:cs="Times New Roman"/>
          <w:sz w:val="24"/>
          <w:szCs w:val="24"/>
        </w:rPr>
        <w:t>is not clear why, if indeed the property belongs to Jon’s Engineering (Private) Limited</w:t>
      </w:r>
      <w:r w:rsidR="00CF5F30" w:rsidRPr="00B36E07">
        <w:rPr>
          <w:rFonts w:ascii="Times New Roman" w:hAnsi="Times New Roman" w:cs="Times New Roman"/>
          <w:sz w:val="24"/>
          <w:szCs w:val="24"/>
        </w:rPr>
        <w:t xml:space="preserve"> the latter did not lay a claim to it. In advancing the argument Mr D</w:t>
      </w:r>
      <w:r w:rsidR="00CF5F30" w:rsidRPr="00B36E07">
        <w:rPr>
          <w:rFonts w:ascii="Times New Roman" w:hAnsi="Times New Roman" w:cs="Times New Roman"/>
          <w:i/>
          <w:sz w:val="24"/>
          <w:szCs w:val="24"/>
        </w:rPr>
        <w:t>iza</w:t>
      </w:r>
      <w:r w:rsidR="00CF5F30" w:rsidRPr="00B36E07">
        <w:rPr>
          <w:rFonts w:ascii="Times New Roman" w:hAnsi="Times New Roman" w:cs="Times New Roman"/>
          <w:sz w:val="24"/>
          <w:szCs w:val="24"/>
        </w:rPr>
        <w:t xml:space="preserve"> for the appellant relied on authorities in which remarks were made that courts have </w:t>
      </w:r>
      <w:r w:rsidR="00D139CB" w:rsidRPr="00B36E07">
        <w:rPr>
          <w:rFonts w:ascii="Times New Roman" w:hAnsi="Times New Roman" w:cs="Times New Roman"/>
          <w:sz w:val="24"/>
          <w:szCs w:val="24"/>
        </w:rPr>
        <w:t>a</w:t>
      </w:r>
      <w:r w:rsidR="00CF5F30" w:rsidRPr="00B36E07">
        <w:rPr>
          <w:rFonts w:ascii="Times New Roman" w:hAnsi="Times New Roman" w:cs="Times New Roman"/>
          <w:sz w:val="24"/>
          <w:szCs w:val="24"/>
        </w:rPr>
        <w:t xml:space="preserve"> general </w:t>
      </w:r>
      <w:r w:rsidR="00696E25" w:rsidRPr="00B36E07">
        <w:rPr>
          <w:rFonts w:ascii="Times New Roman" w:hAnsi="Times New Roman" w:cs="Times New Roman"/>
          <w:sz w:val="24"/>
          <w:szCs w:val="24"/>
        </w:rPr>
        <w:t>tendency</w:t>
      </w:r>
      <w:r w:rsidR="00CF5F30" w:rsidRPr="00B36E07">
        <w:rPr>
          <w:rFonts w:ascii="Times New Roman" w:hAnsi="Times New Roman" w:cs="Times New Roman"/>
          <w:sz w:val="24"/>
          <w:szCs w:val="24"/>
        </w:rPr>
        <w:t xml:space="preserve"> to ignore the separate legal entities of various companies within a group and regard them as on</w:t>
      </w:r>
      <w:r w:rsidR="00D04122" w:rsidRPr="00B36E07">
        <w:rPr>
          <w:rFonts w:ascii="Times New Roman" w:hAnsi="Times New Roman" w:cs="Times New Roman"/>
          <w:sz w:val="24"/>
          <w:szCs w:val="24"/>
        </w:rPr>
        <w:t>e</w:t>
      </w:r>
      <w:r w:rsidR="00CF5F30" w:rsidRPr="00B36E07">
        <w:rPr>
          <w:rFonts w:ascii="Times New Roman" w:hAnsi="Times New Roman" w:cs="Times New Roman"/>
          <w:sz w:val="24"/>
          <w:szCs w:val="24"/>
        </w:rPr>
        <w:t xml:space="preserve"> economic entity where the parent company owns</w:t>
      </w:r>
      <w:r w:rsidR="00696E25" w:rsidRPr="00B36E07">
        <w:rPr>
          <w:rFonts w:ascii="Times New Roman" w:hAnsi="Times New Roman" w:cs="Times New Roman"/>
          <w:sz w:val="24"/>
          <w:szCs w:val="24"/>
        </w:rPr>
        <w:t xml:space="preserve"> </w:t>
      </w:r>
      <w:r w:rsidR="00CF5F30" w:rsidRPr="00B36E07">
        <w:rPr>
          <w:rFonts w:ascii="Times New Roman" w:hAnsi="Times New Roman" w:cs="Times New Roman"/>
          <w:sz w:val="24"/>
          <w:szCs w:val="24"/>
        </w:rPr>
        <w:t xml:space="preserve">all the shares of the subsidiaries. See </w:t>
      </w:r>
      <w:r w:rsidR="00CF5F30" w:rsidRPr="00B36E07">
        <w:rPr>
          <w:rFonts w:ascii="Times New Roman" w:hAnsi="Times New Roman" w:cs="Times New Roman"/>
          <w:i/>
          <w:sz w:val="24"/>
          <w:szCs w:val="24"/>
        </w:rPr>
        <w:t xml:space="preserve">DHN Food Distributers Limited v London Borough of Tower Hamlets </w:t>
      </w:r>
      <w:r w:rsidR="00CF5F30" w:rsidRPr="00B36E07">
        <w:rPr>
          <w:rFonts w:ascii="Times New Roman" w:hAnsi="Times New Roman" w:cs="Times New Roman"/>
          <w:sz w:val="24"/>
          <w:szCs w:val="24"/>
        </w:rPr>
        <w:t>[1976] 3 ALL ER 462 (CA) at 467.</w:t>
      </w:r>
    </w:p>
    <w:p w:rsidR="00696E25" w:rsidRPr="00B36E07" w:rsidRDefault="00696E25" w:rsidP="00B36E07">
      <w:pPr>
        <w:spacing w:after="0" w:line="480" w:lineRule="auto"/>
        <w:jc w:val="both"/>
        <w:rPr>
          <w:rFonts w:ascii="Times New Roman" w:hAnsi="Times New Roman" w:cs="Times New Roman"/>
          <w:sz w:val="24"/>
          <w:szCs w:val="24"/>
        </w:rPr>
      </w:pPr>
    </w:p>
    <w:p w:rsidR="00CF5F30" w:rsidRPr="00B36E07" w:rsidRDefault="00CF5F30"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’s finding that the appellant had not shown that Jon’s Engineering (Private) Limited was its subsidiary cannot be faulted. In this case, the appellant is a distinct entity from Jon’s Engineering (Private) Limited which owns the stand on which the property was attached. The subsidiaries argument</w:t>
      </w:r>
      <w:r w:rsidR="000F1312" w:rsidRPr="00B36E07">
        <w:rPr>
          <w:rFonts w:ascii="Times New Roman" w:hAnsi="Times New Roman" w:cs="Times New Roman"/>
          <w:sz w:val="24"/>
          <w:szCs w:val="24"/>
        </w:rPr>
        <w:t xml:space="preserve"> is not available to the appellant.</w:t>
      </w:r>
    </w:p>
    <w:p w:rsidR="00696E25" w:rsidRPr="00B36E07" w:rsidRDefault="00696E25" w:rsidP="00B36E07">
      <w:pPr>
        <w:spacing w:after="0" w:line="480" w:lineRule="auto"/>
        <w:jc w:val="both"/>
        <w:rPr>
          <w:rFonts w:ascii="Times New Roman" w:hAnsi="Times New Roman" w:cs="Times New Roman"/>
          <w:sz w:val="24"/>
          <w:szCs w:val="24"/>
        </w:rPr>
      </w:pPr>
    </w:p>
    <w:p w:rsidR="000F1312" w:rsidRPr="00B36E07" w:rsidRDefault="000F1312"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More importantly, the court </w:t>
      </w:r>
      <w:r w:rsidRPr="00B36E07">
        <w:rPr>
          <w:rFonts w:ascii="Times New Roman" w:hAnsi="Times New Roman" w:cs="Times New Roman"/>
          <w:i/>
          <w:sz w:val="24"/>
          <w:szCs w:val="24"/>
        </w:rPr>
        <w:t>a quo</w:t>
      </w:r>
      <w:r w:rsidRPr="00B36E07">
        <w:rPr>
          <w:rFonts w:ascii="Times New Roman" w:hAnsi="Times New Roman" w:cs="Times New Roman"/>
          <w:sz w:val="24"/>
          <w:szCs w:val="24"/>
        </w:rPr>
        <w:t xml:space="preserve"> made a factual finding that the agreement </w:t>
      </w:r>
      <w:r w:rsidR="00F41B29" w:rsidRPr="00B36E07">
        <w:rPr>
          <w:rFonts w:ascii="Times New Roman" w:hAnsi="Times New Roman" w:cs="Times New Roman"/>
          <w:sz w:val="24"/>
          <w:szCs w:val="24"/>
        </w:rPr>
        <w:t>of sale relating to the shares in Jon’s Engineering was</w:t>
      </w:r>
      <w:r w:rsidR="00D04122" w:rsidRPr="00B36E07">
        <w:rPr>
          <w:rFonts w:ascii="Times New Roman" w:hAnsi="Times New Roman" w:cs="Times New Roman"/>
          <w:sz w:val="24"/>
          <w:szCs w:val="24"/>
        </w:rPr>
        <w:t xml:space="preserve"> a</w:t>
      </w:r>
      <w:r w:rsidR="00617980" w:rsidRPr="00B36E07">
        <w:rPr>
          <w:rFonts w:ascii="Times New Roman" w:hAnsi="Times New Roman" w:cs="Times New Roman"/>
          <w:sz w:val="24"/>
          <w:szCs w:val="24"/>
        </w:rPr>
        <w:t xml:space="preserve"> </w:t>
      </w:r>
      <w:r w:rsidR="00D04122" w:rsidRPr="00B36E07">
        <w:rPr>
          <w:rFonts w:ascii="Times New Roman" w:hAnsi="Times New Roman" w:cs="Times New Roman"/>
          <w:sz w:val="24"/>
          <w:szCs w:val="24"/>
        </w:rPr>
        <w:t>façade. I have stated</w:t>
      </w:r>
      <w:r w:rsidR="00F41B29" w:rsidRPr="00B36E07">
        <w:rPr>
          <w:rFonts w:ascii="Times New Roman" w:hAnsi="Times New Roman" w:cs="Times New Roman"/>
          <w:sz w:val="24"/>
          <w:szCs w:val="24"/>
        </w:rPr>
        <w:t xml:space="preserve"> that there is no legal basis for interf</w:t>
      </w:r>
      <w:r w:rsidR="00F96D2E" w:rsidRPr="00B36E07">
        <w:rPr>
          <w:rFonts w:ascii="Times New Roman" w:hAnsi="Times New Roman" w:cs="Times New Roman"/>
          <w:sz w:val="24"/>
          <w:szCs w:val="24"/>
        </w:rPr>
        <w:t>er</w:t>
      </w:r>
      <w:r w:rsidR="00F41B29" w:rsidRPr="00B36E07">
        <w:rPr>
          <w:rFonts w:ascii="Times New Roman" w:hAnsi="Times New Roman" w:cs="Times New Roman"/>
          <w:sz w:val="24"/>
          <w:szCs w:val="24"/>
        </w:rPr>
        <w:t>ing with that finding. Either way the appellant cannot</w:t>
      </w:r>
      <w:r w:rsidR="00F96D2E" w:rsidRPr="00B36E07">
        <w:rPr>
          <w:rFonts w:ascii="Times New Roman" w:hAnsi="Times New Roman" w:cs="Times New Roman"/>
          <w:sz w:val="24"/>
          <w:szCs w:val="24"/>
        </w:rPr>
        <w:t xml:space="preserve"> </w:t>
      </w:r>
      <w:r w:rsidR="00F41B29" w:rsidRPr="00B36E07">
        <w:rPr>
          <w:rFonts w:ascii="Times New Roman" w:hAnsi="Times New Roman" w:cs="Times New Roman"/>
          <w:sz w:val="24"/>
          <w:szCs w:val="24"/>
        </w:rPr>
        <w:t xml:space="preserve">ride on Jon’s Engineering (Private) Limited in </w:t>
      </w:r>
      <w:r w:rsidR="00D04122" w:rsidRPr="00B36E07">
        <w:rPr>
          <w:rFonts w:ascii="Times New Roman" w:hAnsi="Times New Roman" w:cs="Times New Roman"/>
          <w:sz w:val="24"/>
          <w:szCs w:val="24"/>
        </w:rPr>
        <w:t xml:space="preserve">laying a </w:t>
      </w:r>
      <w:r w:rsidR="00F41B29" w:rsidRPr="00B36E07">
        <w:rPr>
          <w:rFonts w:ascii="Times New Roman" w:hAnsi="Times New Roman" w:cs="Times New Roman"/>
          <w:sz w:val="24"/>
          <w:szCs w:val="24"/>
        </w:rPr>
        <w:t>claim to the property that was attached. The appeal is without merit.</w:t>
      </w:r>
    </w:p>
    <w:p w:rsidR="00696E25" w:rsidRPr="00B36E07" w:rsidRDefault="00696E25" w:rsidP="00B36E07">
      <w:pPr>
        <w:spacing w:after="0" w:line="480" w:lineRule="auto"/>
        <w:jc w:val="both"/>
        <w:rPr>
          <w:rFonts w:ascii="Times New Roman" w:hAnsi="Times New Roman" w:cs="Times New Roman"/>
          <w:sz w:val="24"/>
          <w:szCs w:val="24"/>
        </w:rPr>
      </w:pPr>
    </w:p>
    <w:p w:rsidR="00297DD8" w:rsidRPr="00B36E07" w:rsidRDefault="00F41B29"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 xml:space="preserve">Regarding the issue of costs, there is no way the appellant can avoid meeting </w:t>
      </w:r>
      <w:r w:rsidR="00F96D2E" w:rsidRPr="00B36E07">
        <w:rPr>
          <w:rFonts w:ascii="Times New Roman" w:hAnsi="Times New Roman" w:cs="Times New Roman"/>
          <w:sz w:val="24"/>
          <w:szCs w:val="24"/>
        </w:rPr>
        <w:t xml:space="preserve">the costs having prosecuted an appeal devoid of merit. The costs should follow the </w:t>
      </w:r>
      <w:r w:rsidR="00D04122" w:rsidRPr="00B36E07">
        <w:rPr>
          <w:rFonts w:ascii="Times New Roman" w:hAnsi="Times New Roman" w:cs="Times New Roman"/>
          <w:sz w:val="24"/>
          <w:szCs w:val="24"/>
        </w:rPr>
        <w:t>cause</w:t>
      </w:r>
      <w:r w:rsidR="00F96D2E" w:rsidRPr="00B36E07">
        <w:rPr>
          <w:rFonts w:ascii="Times New Roman" w:hAnsi="Times New Roman" w:cs="Times New Roman"/>
          <w:sz w:val="24"/>
          <w:szCs w:val="24"/>
        </w:rPr>
        <w:t xml:space="preserve">. </w:t>
      </w:r>
    </w:p>
    <w:p w:rsidR="00297DD8" w:rsidRPr="00B36E07" w:rsidRDefault="00297DD8" w:rsidP="00B36E07">
      <w:pPr>
        <w:spacing w:after="0" w:line="480" w:lineRule="auto"/>
        <w:jc w:val="both"/>
        <w:rPr>
          <w:rFonts w:ascii="Times New Roman" w:hAnsi="Times New Roman" w:cs="Times New Roman"/>
          <w:sz w:val="24"/>
          <w:szCs w:val="24"/>
        </w:rPr>
      </w:pPr>
    </w:p>
    <w:p w:rsidR="00F96D2E" w:rsidRPr="00B36E07" w:rsidRDefault="00F96D2E"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In the result, it is ordered as follows:</w:t>
      </w:r>
    </w:p>
    <w:p w:rsidR="00297DD8" w:rsidRPr="00B36E07" w:rsidRDefault="00F96D2E"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Pr="00B36E07">
        <w:rPr>
          <w:rFonts w:ascii="Times New Roman" w:hAnsi="Times New Roman" w:cs="Times New Roman"/>
          <w:sz w:val="24"/>
          <w:szCs w:val="24"/>
        </w:rPr>
        <w:tab/>
        <w:t>The appeal be and is hereby dismissed with costs.</w:t>
      </w:r>
    </w:p>
    <w:p w:rsidR="00297DD8" w:rsidRPr="00B36E07" w:rsidRDefault="00297DD8" w:rsidP="00B36E07">
      <w:pPr>
        <w:spacing w:after="0" w:line="480" w:lineRule="auto"/>
        <w:jc w:val="both"/>
        <w:rPr>
          <w:rFonts w:ascii="Times New Roman" w:hAnsi="Times New Roman" w:cs="Times New Roman"/>
          <w:sz w:val="24"/>
          <w:szCs w:val="24"/>
        </w:rPr>
      </w:pPr>
    </w:p>
    <w:p w:rsidR="00F96D2E" w:rsidRPr="00B36E07" w:rsidRDefault="003A0B9D"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b/>
          <w:sz w:val="24"/>
          <w:szCs w:val="24"/>
        </w:rPr>
        <w:tab/>
        <w:t>BHUNU JA</w:t>
      </w:r>
      <w:r w:rsidR="00F96D2E" w:rsidRPr="00B36E07">
        <w:rPr>
          <w:rFonts w:ascii="Times New Roman" w:hAnsi="Times New Roman" w:cs="Times New Roman"/>
          <w:sz w:val="24"/>
          <w:szCs w:val="24"/>
        </w:rPr>
        <w:tab/>
      </w:r>
      <w:r w:rsidR="00F96D2E" w:rsidRPr="00B36E07">
        <w:rPr>
          <w:rFonts w:ascii="Times New Roman" w:hAnsi="Times New Roman" w:cs="Times New Roman"/>
          <w:sz w:val="24"/>
          <w:szCs w:val="24"/>
        </w:rPr>
        <w:tab/>
      </w:r>
      <w:r w:rsidR="00F96D2E" w:rsidRPr="00B36E07">
        <w:rPr>
          <w:rFonts w:ascii="Times New Roman" w:hAnsi="Times New Roman" w:cs="Times New Roman"/>
          <w:sz w:val="24"/>
          <w:szCs w:val="24"/>
        </w:rPr>
        <w:tab/>
      </w:r>
      <w:r w:rsidRPr="00B36E07">
        <w:rPr>
          <w:rFonts w:ascii="Times New Roman" w:hAnsi="Times New Roman" w:cs="Times New Roman"/>
          <w:sz w:val="24"/>
          <w:szCs w:val="24"/>
        </w:rPr>
        <w:tab/>
      </w:r>
      <w:r w:rsidR="00B36E07">
        <w:rPr>
          <w:rFonts w:ascii="Times New Roman" w:hAnsi="Times New Roman" w:cs="Times New Roman"/>
          <w:sz w:val="24"/>
          <w:szCs w:val="24"/>
        </w:rPr>
        <w:tab/>
      </w:r>
      <w:r w:rsidR="00F96D2E" w:rsidRPr="00B36E07">
        <w:rPr>
          <w:rFonts w:ascii="Times New Roman" w:hAnsi="Times New Roman" w:cs="Times New Roman"/>
          <w:sz w:val="24"/>
          <w:szCs w:val="24"/>
        </w:rPr>
        <w:t>I agree</w:t>
      </w:r>
    </w:p>
    <w:p w:rsidR="00297DD8" w:rsidRPr="00B36E07" w:rsidRDefault="00297DD8" w:rsidP="00B36E07">
      <w:pPr>
        <w:spacing w:after="0" w:line="480" w:lineRule="auto"/>
        <w:jc w:val="both"/>
        <w:rPr>
          <w:rFonts w:ascii="Times New Roman" w:hAnsi="Times New Roman" w:cs="Times New Roman"/>
          <w:sz w:val="24"/>
          <w:szCs w:val="24"/>
        </w:rPr>
      </w:pPr>
    </w:p>
    <w:p w:rsidR="003A0B9D" w:rsidRPr="00B36E07" w:rsidRDefault="003A0B9D" w:rsidP="00B36E07">
      <w:pPr>
        <w:spacing w:after="0" w:line="480" w:lineRule="auto"/>
        <w:jc w:val="both"/>
        <w:rPr>
          <w:rFonts w:ascii="Times New Roman" w:hAnsi="Times New Roman" w:cs="Times New Roman"/>
          <w:sz w:val="24"/>
          <w:szCs w:val="24"/>
        </w:rPr>
      </w:pPr>
    </w:p>
    <w:p w:rsidR="00F96D2E" w:rsidRPr="00B36E07" w:rsidRDefault="00F96D2E"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sz w:val="24"/>
          <w:szCs w:val="24"/>
        </w:rPr>
        <w:tab/>
      </w:r>
      <w:r w:rsidR="003A0B9D" w:rsidRPr="00B36E07">
        <w:rPr>
          <w:rFonts w:ascii="Times New Roman" w:hAnsi="Times New Roman" w:cs="Times New Roman"/>
          <w:b/>
          <w:sz w:val="24"/>
          <w:szCs w:val="24"/>
        </w:rPr>
        <w:t>CHITAKUNYE AJA</w:t>
      </w:r>
      <w:r w:rsidR="003A0B9D" w:rsidRPr="00B36E07">
        <w:rPr>
          <w:rFonts w:ascii="Times New Roman" w:hAnsi="Times New Roman" w:cs="Times New Roman"/>
          <w:b/>
          <w:sz w:val="24"/>
          <w:szCs w:val="24"/>
        </w:rPr>
        <w:tab/>
      </w:r>
      <w:r w:rsidRPr="00B36E07">
        <w:rPr>
          <w:rFonts w:ascii="Times New Roman" w:hAnsi="Times New Roman" w:cs="Times New Roman"/>
          <w:sz w:val="24"/>
          <w:szCs w:val="24"/>
        </w:rPr>
        <w:tab/>
      </w:r>
      <w:r w:rsidR="003A0B9D" w:rsidRPr="00B36E07">
        <w:rPr>
          <w:rFonts w:ascii="Times New Roman" w:hAnsi="Times New Roman" w:cs="Times New Roman"/>
          <w:sz w:val="24"/>
          <w:szCs w:val="24"/>
        </w:rPr>
        <w:tab/>
      </w:r>
      <w:r w:rsidRPr="00B36E07">
        <w:rPr>
          <w:rFonts w:ascii="Times New Roman" w:hAnsi="Times New Roman" w:cs="Times New Roman"/>
          <w:sz w:val="24"/>
          <w:szCs w:val="24"/>
        </w:rPr>
        <w:t>I agree</w:t>
      </w:r>
    </w:p>
    <w:p w:rsidR="003A0B9D" w:rsidRPr="00B36E07" w:rsidRDefault="003A0B9D" w:rsidP="00B36E07">
      <w:pPr>
        <w:spacing w:after="0" w:line="480" w:lineRule="auto"/>
        <w:jc w:val="both"/>
        <w:rPr>
          <w:rFonts w:ascii="Times New Roman" w:hAnsi="Times New Roman" w:cs="Times New Roman"/>
          <w:sz w:val="24"/>
          <w:szCs w:val="24"/>
        </w:rPr>
      </w:pPr>
    </w:p>
    <w:p w:rsidR="003A0B9D" w:rsidRPr="00B36E07" w:rsidRDefault="003A0B9D" w:rsidP="00B36E07">
      <w:pPr>
        <w:spacing w:after="0" w:line="480" w:lineRule="auto"/>
        <w:jc w:val="both"/>
        <w:rPr>
          <w:rFonts w:ascii="Times New Roman" w:hAnsi="Times New Roman" w:cs="Times New Roman"/>
          <w:sz w:val="24"/>
          <w:szCs w:val="24"/>
        </w:rPr>
      </w:pPr>
    </w:p>
    <w:p w:rsidR="00297DD8" w:rsidRPr="00B36E07" w:rsidRDefault="00297DD8" w:rsidP="00B36E07">
      <w:pPr>
        <w:spacing w:after="0" w:line="480" w:lineRule="auto"/>
        <w:jc w:val="both"/>
        <w:rPr>
          <w:rFonts w:ascii="Times New Roman" w:hAnsi="Times New Roman" w:cs="Times New Roman"/>
          <w:sz w:val="24"/>
          <w:szCs w:val="24"/>
        </w:rPr>
      </w:pPr>
    </w:p>
    <w:p w:rsidR="00F26324" w:rsidRPr="00B36E07" w:rsidRDefault="00F26324"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i/>
          <w:sz w:val="24"/>
          <w:szCs w:val="24"/>
        </w:rPr>
        <w:t xml:space="preserve">Mhishi </w:t>
      </w:r>
      <w:r w:rsidR="003A0B9D" w:rsidRPr="00B36E07">
        <w:rPr>
          <w:rFonts w:ascii="Times New Roman" w:hAnsi="Times New Roman" w:cs="Times New Roman"/>
          <w:i/>
          <w:sz w:val="24"/>
          <w:szCs w:val="24"/>
        </w:rPr>
        <w:t>Nkomo Legal Practice</w:t>
      </w:r>
      <w:r w:rsidRPr="00B36E07">
        <w:rPr>
          <w:rFonts w:ascii="Times New Roman" w:hAnsi="Times New Roman" w:cs="Times New Roman"/>
          <w:sz w:val="24"/>
          <w:szCs w:val="24"/>
        </w:rPr>
        <w:t>, app</w:t>
      </w:r>
      <w:r w:rsidR="003A0B9D" w:rsidRPr="00B36E07">
        <w:rPr>
          <w:rFonts w:ascii="Times New Roman" w:hAnsi="Times New Roman" w:cs="Times New Roman"/>
          <w:sz w:val="24"/>
          <w:szCs w:val="24"/>
        </w:rPr>
        <w:t>ellant’s legal practitioners</w:t>
      </w:r>
    </w:p>
    <w:p w:rsidR="003A0B9D" w:rsidRPr="00B36E07" w:rsidRDefault="003A0B9D" w:rsidP="00B36E07">
      <w:pPr>
        <w:spacing w:after="0" w:line="480" w:lineRule="auto"/>
        <w:jc w:val="both"/>
        <w:rPr>
          <w:rFonts w:ascii="Times New Roman" w:hAnsi="Times New Roman" w:cs="Times New Roman"/>
          <w:sz w:val="24"/>
          <w:szCs w:val="24"/>
        </w:rPr>
      </w:pPr>
      <w:r w:rsidRPr="00B36E07">
        <w:rPr>
          <w:rFonts w:ascii="Times New Roman" w:hAnsi="Times New Roman" w:cs="Times New Roman"/>
          <w:i/>
          <w:sz w:val="24"/>
          <w:szCs w:val="24"/>
        </w:rPr>
        <w:t>V. Nyemba Associates</w:t>
      </w:r>
      <w:r w:rsidRPr="00B36E07">
        <w:rPr>
          <w:rFonts w:ascii="Times New Roman" w:hAnsi="Times New Roman" w:cs="Times New Roman"/>
          <w:sz w:val="24"/>
          <w:szCs w:val="24"/>
        </w:rPr>
        <w:t>, 2</w:t>
      </w:r>
      <w:r w:rsidRPr="00B36E07">
        <w:rPr>
          <w:rFonts w:ascii="Times New Roman" w:hAnsi="Times New Roman" w:cs="Times New Roman"/>
          <w:sz w:val="24"/>
          <w:szCs w:val="24"/>
          <w:vertAlign w:val="superscript"/>
        </w:rPr>
        <w:t>nd</w:t>
      </w:r>
      <w:r w:rsidRPr="00B36E07">
        <w:rPr>
          <w:rFonts w:ascii="Times New Roman" w:hAnsi="Times New Roman" w:cs="Times New Roman"/>
          <w:sz w:val="24"/>
          <w:szCs w:val="24"/>
        </w:rPr>
        <w:t xml:space="preserve"> respondent’s legal practitioners</w:t>
      </w:r>
    </w:p>
    <w:sectPr w:rsidR="003A0B9D" w:rsidRPr="00B36E0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3F4" w:rsidRDefault="006633F4" w:rsidP="002323F2">
      <w:pPr>
        <w:spacing w:after="0" w:line="240" w:lineRule="auto"/>
      </w:pPr>
      <w:r>
        <w:separator/>
      </w:r>
    </w:p>
  </w:endnote>
  <w:endnote w:type="continuationSeparator" w:id="0">
    <w:p w:rsidR="006633F4" w:rsidRDefault="006633F4" w:rsidP="0023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3F4" w:rsidRDefault="006633F4" w:rsidP="002323F2">
      <w:pPr>
        <w:spacing w:after="0" w:line="240" w:lineRule="auto"/>
      </w:pPr>
      <w:r>
        <w:separator/>
      </w:r>
    </w:p>
  </w:footnote>
  <w:footnote w:type="continuationSeparator" w:id="0">
    <w:p w:rsidR="006633F4" w:rsidRDefault="006633F4" w:rsidP="002323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0B9D" w:rsidRDefault="003A0B9D">
    <w:pPr>
      <w:pStyle w:val="Header"/>
    </w:pPr>
    <w:r>
      <w:rPr>
        <w:noProof/>
        <w:lang w:val="en-ZA" w:eastAsia="en-ZA"/>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0B9D" w:rsidRPr="002323F2" w:rsidRDefault="003A0B9D" w:rsidP="002323F2">
                          <w:pPr>
                            <w:spacing w:after="0" w:line="240" w:lineRule="auto"/>
                            <w:jc w:val="right"/>
                            <w:rPr>
                              <w:rFonts w:ascii="Times New Roman" w:hAnsi="Times New Roman" w:cs="Times New Roman"/>
                              <w:b/>
                              <w:noProof/>
                              <w:sz w:val="24"/>
                              <w:szCs w:val="24"/>
                            </w:rPr>
                          </w:pPr>
                          <w:r w:rsidRPr="002323F2">
                            <w:rPr>
                              <w:rFonts w:ascii="Times New Roman" w:hAnsi="Times New Roman" w:cs="Times New Roman"/>
                              <w:b/>
                              <w:noProof/>
                              <w:sz w:val="24"/>
                              <w:szCs w:val="24"/>
                            </w:rPr>
                            <w:t xml:space="preserve">Judgment No. SC </w:t>
                          </w:r>
                          <w:r w:rsidR="00931EB8">
                            <w:rPr>
                              <w:rFonts w:ascii="Times New Roman" w:hAnsi="Times New Roman" w:cs="Times New Roman"/>
                              <w:b/>
                              <w:noProof/>
                              <w:sz w:val="24"/>
                              <w:szCs w:val="24"/>
                            </w:rPr>
                            <w:t>08</w:t>
                          </w:r>
                          <w:r w:rsidR="000757F0">
                            <w:rPr>
                              <w:rFonts w:ascii="Times New Roman" w:hAnsi="Times New Roman" w:cs="Times New Roman"/>
                              <w:b/>
                              <w:noProof/>
                              <w:sz w:val="24"/>
                              <w:szCs w:val="24"/>
                            </w:rPr>
                            <w:t>/21</w:t>
                          </w:r>
                        </w:p>
                        <w:p w:rsidR="003A0B9D" w:rsidRDefault="002E0D36" w:rsidP="002323F2">
                          <w:pPr>
                            <w:spacing w:after="0" w:line="240" w:lineRule="auto"/>
                            <w:jc w:val="right"/>
                            <w:rPr>
                              <w:noProof/>
                            </w:rPr>
                          </w:pPr>
                          <w:r>
                            <w:rPr>
                              <w:rFonts w:ascii="Times New Roman" w:hAnsi="Times New Roman" w:cs="Times New Roman"/>
                              <w:b/>
                              <w:noProof/>
                              <w:sz w:val="24"/>
                              <w:szCs w:val="24"/>
                            </w:rPr>
                            <w:t>Civil Appeal</w:t>
                          </w:r>
                          <w:r w:rsidR="003A0B9D">
                            <w:rPr>
                              <w:rFonts w:ascii="Times New Roman" w:hAnsi="Times New Roman" w:cs="Times New Roman"/>
                              <w:b/>
                              <w:noProof/>
                              <w:sz w:val="24"/>
                              <w:szCs w:val="24"/>
                            </w:rPr>
                            <w:t xml:space="preserve"> No. SC 85/20</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3A0B9D" w:rsidRPr="002323F2" w:rsidRDefault="003A0B9D" w:rsidP="002323F2">
                    <w:pPr>
                      <w:spacing w:after="0" w:line="240" w:lineRule="auto"/>
                      <w:jc w:val="right"/>
                      <w:rPr>
                        <w:rFonts w:ascii="Times New Roman" w:hAnsi="Times New Roman" w:cs="Times New Roman"/>
                        <w:b/>
                        <w:noProof/>
                        <w:sz w:val="24"/>
                        <w:szCs w:val="24"/>
                      </w:rPr>
                    </w:pPr>
                    <w:r w:rsidRPr="002323F2">
                      <w:rPr>
                        <w:rFonts w:ascii="Times New Roman" w:hAnsi="Times New Roman" w:cs="Times New Roman"/>
                        <w:b/>
                        <w:noProof/>
                        <w:sz w:val="24"/>
                        <w:szCs w:val="24"/>
                      </w:rPr>
                      <w:t xml:space="preserve">Judgment No. SC </w:t>
                    </w:r>
                    <w:r w:rsidR="00931EB8">
                      <w:rPr>
                        <w:rFonts w:ascii="Times New Roman" w:hAnsi="Times New Roman" w:cs="Times New Roman"/>
                        <w:b/>
                        <w:noProof/>
                        <w:sz w:val="24"/>
                        <w:szCs w:val="24"/>
                      </w:rPr>
                      <w:t>08</w:t>
                    </w:r>
                    <w:r w:rsidR="000757F0">
                      <w:rPr>
                        <w:rFonts w:ascii="Times New Roman" w:hAnsi="Times New Roman" w:cs="Times New Roman"/>
                        <w:b/>
                        <w:noProof/>
                        <w:sz w:val="24"/>
                        <w:szCs w:val="24"/>
                      </w:rPr>
                      <w:t>/21</w:t>
                    </w:r>
                  </w:p>
                  <w:p w:rsidR="003A0B9D" w:rsidRDefault="002E0D36" w:rsidP="002323F2">
                    <w:pPr>
                      <w:spacing w:after="0" w:line="240" w:lineRule="auto"/>
                      <w:jc w:val="right"/>
                      <w:rPr>
                        <w:noProof/>
                      </w:rPr>
                    </w:pPr>
                    <w:r>
                      <w:rPr>
                        <w:rFonts w:ascii="Times New Roman" w:hAnsi="Times New Roman" w:cs="Times New Roman"/>
                        <w:b/>
                        <w:noProof/>
                        <w:sz w:val="24"/>
                        <w:szCs w:val="24"/>
                      </w:rPr>
                      <w:t>Civil Appeal</w:t>
                    </w:r>
                    <w:r w:rsidR="003A0B9D">
                      <w:rPr>
                        <w:rFonts w:ascii="Times New Roman" w:hAnsi="Times New Roman" w:cs="Times New Roman"/>
                        <w:b/>
                        <w:noProof/>
                        <w:sz w:val="24"/>
                        <w:szCs w:val="24"/>
                      </w:rPr>
                      <w:t xml:space="preserve"> No. SC 85/20</w:t>
                    </w: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A0B9D" w:rsidRDefault="003A0B9D">
                          <w:pPr>
                            <w:spacing w:after="0" w:line="240" w:lineRule="auto"/>
                            <w:rPr>
                              <w:color w:val="FFFFFF" w:themeColor="background1"/>
                            </w:rPr>
                          </w:pPr>
                          <w:r>
                            <w:fldChar w:fldCharType="begin"/>
                          </w:r>
                          <w:r>
                            <w:instrText xml:space="preserve"> PAGE   \* MERGEFORMAT </w:instrText>
                          </w:r>
                          <w:r>
                            <w:fldChar w:fldCharType="separate"/>
                          </w:r>
                          <w:r w:rsidR="009221D9" w:rsidRPr="009221D9">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3A0B9D" w:rsidRDefault="003A0B9D">
                    <w:pPr>
                      <w:spacing w:after="0" w:line="240" w:lineRule="auto"/>
                      <w:rPr>
                        <w:color w:val="FFFFFF" w:themeColor="background1"/>
                      </w:rPr>
                    </w:pPr>
                    <w:r>
                      <w:fldChar w:fldCharType="begin"/>
                    </w:r>
                    <w:r>
                      <w:instrText xml:space="preserve"> PAGE   \* MERGEFORMAT </w:instrText>
                    </w:r>
                    <w:r>
                      <w:fldChar w:fldCharType="separate"/>
                    </w:r>
                    <w:r w:rsidR="009221D9" w:rsidRPr="009221D9">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E5E55"/>
    <w:multiLevelType w:val="hybridMultilevel"/>
    <w:tmpl w:val="7D10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3F2"/>
    <w:rsid w:val="000757F0"/>
    <w:rsid w:val="000961BF"/>
    <w:rsid w:val="000A2D70"/>
    <w:rsid w:val="000B55FD"/>
    <w:rsid w:val="000F1312"/>
    <w:rsid w:val="00114E6A"/>
    <w:rsid w:val="001261B8"/>
    <w:rsid w:val="00167997"/>
    <w:rsid w:val="0018790D"/>
    <w:rsid w:val="002142BB"/>
    <w:rsid w:val="00217F01"/>
    <w:rsid w:val="002323F2"/>
    <w:rsid w:val="002435A4"/>
    <w:rsid w:val="00246623"/>
    <w:rsid w:val="00246A30"/>
    <w:rsid w:val="00284E75"/>
    <w:rsid w:val="00297DD8"/>
    <w:rsid w:val="002B6D67"/>
    <w:rsid w:val="002E0D36"/>
    <w:rsid w:val="002E562E"/>
    <w:rsid w:val="002F2E52"/>
    <w:rsid w:val="0032604D"/>
    <w:rsid w:val="003A0B9D"/>
    <w:rsid w:val="003B7AE8"/>
    <w:rsid w:val="004356DA"/>
    <w:rsid w:val="00487193"/>
    <w:rsid w:val="0049359F"/>
    <w:rsid w:val="00496D2C"/>
    <w:rsid w:val="00534165"/>
    <w:rsid w:val="0057214F"/>
    <w:rsid w:val="00617980"/>
    <w:rsid w:val="0065157B"/>
    <w:rsid w:val="006633F4"/>
    <w:rsid w:val="00673C70"/>
    <w:rsid w:val="00696E25"/>
    <w:rsid w:val="007470B9"/>
    <w:rsid w:val="00770FE3"/>
    <w:rsid w:val="00794EE8"/>
    <w:rsid w:val="00810350"/>
    <w:rsid w:val="0083638A"/>
    <w:rsid w:val="00843B8F"/>
    <w:rsid w:val="00863027"/>
    <w:rsid w:val="0088762A"/>
    <w:rsid w:val="008A3052"/>
    <w:rsid w:val="008E40EE"/>
    <w:rsid w:val="00903BFA"/>
    <w:rsid w:val="009151B5"/>
    <w:rsid w:val="009221D9"/>
    <w:rsid w:val="00931EB8"/>
    <w:rsid w:val="00935885"/>
    <w:rsid w:val="009445CA"/>
    <w:rsid w:val="009722F0"/>
    <w:rsid w:val="00990C09"/>
    <w:rsid w:val="009C2991"/>
    <w:rsid w:val="009D03A8"/>
    <w:rsid w:val="00A05B91"/>
    <w:rsid w:val="00A30C23"/>
    <w:rsid w:val="00A56D2A"/>
    <w:rsid w:val="00A77D68"/>
    <w:rsid w:val="00A81480"/>
    <w:rsid w:val="00AC3CDB"/>
    <w:rsid w:val="00B06B2C"/>
    <w:rsid w:val="00B32A8D"/>
    <w:rsid w:val="00B36E07"/>
    <w:rsid w:val="00BB4D12"/>
    <w:rsid w:val="00BF4448"/>
    <w:rsid w:val="00CC122D"/>
    <w:rsid w:val="00CF5F30"/>
    <w:rsid w:val="00D04122"/>
    <w:rsid w:val="00D12D51"/>
    <w:rsid w:val="00D139CB"/>
    <w:rsid w:val="00D250C7"/>
    <w:rsid w:val="00D74C34"/>
    <w:rsid w:val="00D84D66"/>
    <w:rsid w:val="00DE7D31"/>
    <w:rsid w:val="00E145EA"/>
    <w:rsid w:val="00E15E1A"/>
    <w:rsid w:val="00E21072"/>
    <w:rsid w:val="00E815BE"/>
    <w:rsid w:val="00E93EF5"/>
    <w:rsid w:val="00EA5134"/>
    <w:rsid w:val="00ED0146"/>
    <w:rsid w:val="00F2516D"/>
    <w:rsid w:val="00F26324"/>
    <w:rsid w:val="00F41604"/>
    <w:rsid w:val="00F41B29"/>
    <w:rsid w:val="00F80C35"/>
    <w:rsid w:val="00F96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27CD75-72D3-4B3F-93B4-F1FF129C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3F2"/>
    <w:pPr>
      <w:spacing w:after="200" w:line="276" w:lineRule="auto"/>
    </w:pPr>
    <w:rPr>
      <w:lang w:val="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23F2"/>
    <w:pPr>
      <w:spacing w:after="0" w:line="240" w:lineRule="auto"/>
    </w:pPr>
    <w:rPr>
      <w:lang w:val="en-ZW"/>
    </w:rPr>
  </w:style>
  <w:style w:type="paragraph" w:styleId="Header">
    <w:name w:val="header"/>
    <w:basedOn w:val="Normal"/>
    <w:link w:val="HeaderChar"/>
    <w:uiPriority w:val="99"/>
    <w:unhideWhenUsed/>
    <w:rsid w:val="0023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23F2"/>
    <w:rPr>
      <w:lang w:val="en-ZW"/>
    </w:rPr>
  </w:style>
  <w:style w:type="paragraph" w:styleId="Footer">
    <w:name w:val="footer"/>
    <w:basedOn w:val="Normal"/>
    <w:link w:val="FooterChar"/>
    <w:uiPriority w:val="99"/>
    <w:unhideWhenUsed/>
    <w:rsid w:val="0023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3F2"/>
    <w:rPr>
      <w:lang w:val="en-ZW"/>
    </w:rPr>
  </w:style>
  <w:style w:type="paragraph" w:styleId="ListParagraph">
    <w:name w:val="List Paragraph"/>
    <w:basedOn w:val="Normal"/>
    <w:uiPriority w:val="34"/>
    <w:qFormat/>
    <w:rsid w:val="00A77D68"/>
    <w:pPr>
      <w:ind w:left="720"/>
      <w:contextualSpacing/>
    </w:pPr>
  </w:style>
  <w:style w:type="paragraph" w:styleId="BalloonText">
    <w:name w:val="Balloon Text"/>
    <w:basedOn w:val="Normal"/>
    <w:link w:val="BalloonTextChar"/>
    <w:uiPriority w:val="99"/>
    <w:semiHidden/>
    <w:unhideWhenUsed/>
    <w:rsid w:val="009D0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3A8"/>
    <w:rPr>
      <w:rFonts w:ascii="Segoe UI" w:hAnsi="Segoe UI" w:cs="Segoe UI"/>
      <w:sz w:val="18"/>
      <w:szCs w:val="18"/>
      <w:lang w:val="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1830</Words>
  <Characters>10433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Sandra</cp:lastModifiedBy>
  <cp:revision>2</cp:revision>
  <cp:lastPrinted>2021-03-05T08:41:00Z</cp:lastPrinted>
  <dcterms:created xsi:type="dcterms:W3CDTF">2021-06-03T09:12:00Z</dcterms:created>
  <dcterms:modified xsi:type="dcterms:W3CDTF">2021-06-03T09:12:00Z</dcterms:modified>
</cp:coreProperties>
</file>