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839" w:rsidRPr="00187752" w:rsidRDefault="00187752" w:rsidP="0033339C">
      <w:pPr>
        <w:rPr>
          <w:b/>
          <w:u w:val="single"/>
        </w:rPr>
      </w:pPr>
      <w:r w:rsidRPr="00187752">
        <w:rPr>
          <w:b/>
          <w:u w:val="single"/>
        </w:rPr>
        <w:t>DISTRIBUTABLE (35)</w:t>
      </w:r>
    </w:p>
    <w:p w:rsidR="00DB2839" w:rsidRPr="00E23AFE" w:rsidRDefault="00DB2839" w:rsidP="0033339C"/>
    <w:p w:rsidR="00DB2839" w:rsidRPr="00E23AFE" w:rsidRDefault="00DB2839" w:rsidP="0033339C"/>
    <w:p w:rsidR="00DB2839" w:rsidRPr="00E23AFE" w:rsidRDefault="00FD69CC" w:rsidP="0033339C">
      <w:pPr>
        <w:jc w:val="center"/>
        <w:rPr>
          <w:b/>
        </w:rPr>
      </w:pPr>
      <w:r w:rsidRPr="00E23AFE">
        <w:rPr>
          <w:b/>
        </w:rPr>
        <w:t>BAREND</w:t>
      </w:r>
      <w:r w:rsidR="0033339C">
        <w:rPr>
          <w:b/>
        </w:rPr>
        <w:t xml:space="preserve">    </w:t>
      </w:r>
      <w:r w:rsidRPr="00E23AFE">
        <w:rPr>
          <w:b/>
        </w:rPr>
        <w:t xml:space="preserve"> VAN </w:t>
      </w:r>
      <w:r w:rsidR="0033339C">
        <w:rPr>
          <w:b/>
        </w:rPr>
        <w:t xml:space="preserve">    </w:t>
      </w:r>
      <w:r w:rsidRPr="00E23AFE">
        <w:rPr>
          <w:b/>
        </w:rPr>
        <w:t>WYK</w:t>
      </w:r>
    </w:p>
    <w:p w:rsidR="00383032" w:rsidRPr="00E23AFE" w:rsidRDefault="00383032" w:rsidP="0033339C">
      <w:pPr>
        <w:jc w:val="center"/>
        <w:rPr>
          <w:b/>
        </w:rPr>
      </w:pPr>
      <w:proofErr w:type="gramStart"/>
      <w:r w:rsidRPr="00E23AFE">
        <w:rPr>
          <w:b/>
        </w:rPr>
        <w:t>v</w:t>
      </w:r>
      <w:proofErr w:type="gramEnd"/>
    </w:p>
    <w:p w:rsidR="00383032" w:rsidRPr="00E23AFE" w:rsidRDefault="00FD69CC" w:rsidP="0033339C">
      <w:pPr>
        <w:jc w:val="center"/>
        <w:rPr>
          <w:b/>
        </w:rPr>
      </w:pPr>
      <w:r w:rsidRPr="00E23AFE">
        <w:rPr>
          <w:b/>
        </w:rPr>
        <w:t>TARCON</w:t>
      </w:r>
      <w:r w:rsidR="0033339C">
        <w:rPr>
          <w:b/>
        </w:rPr>
        <w:t xml:space="preserve">    </w:t>
      </w:r>
      <w:r w:rsidRPr="00E23AFE">
        <w:rPr>
          <w:b/>
        </w:rPr>
        <w:t xml:space="preserve"> (PRIVATE)</w:t>
      </w:r>
      <w:r w:rsidR="0033339C">
        <w:rPr>
          <w:b/>
        </w:rPr>
        <w:t xml:space="preserve">    </w:t>
      </w:r>
      <w:r w:rsidRPr="00E23AFE">
        <w:rPr>
          <w:b/>
        </w:rPr>
        <w:t xml:space="preserve"> LIMITED</w:t>
      </w:r>
    </w:p>
    <w:p w:rsidR="006E0951" w:rsidRPr="00E23AFE" w:rsidRDefault="006E0951" w:rsidP="0033339C">
      <w:pPr>
        <w:jc w:val="both"/>
        <w:rPr>
          <w:b/>
        </w:rPr>
      </w:pPr>
    </w:p>
    <w:p w:rsidR="00E404FC" w:rsidRPr="00E23AFE" w:rsidRDefault="00E404FC" w:rsidP="0033339C">
      <w:pPr>
        <w:jc w:val="both"/>
        <w:rPr>
          <w:b/>
        </w:rPr>
      </w:pPr>
    </w:p>
    <w:p w:rsidR="00E404FC" w:rsidRPr="00E23AFE" w:rsidRDefault="00E404FC" w:rsidP="0033339C">
      <w:pPr>
        <w:jc w:val="both"/>
        <w:rPr>
          <w:b/>
        </w:rPr>
      </w:pPr>
      <w:r w:rsidRPr="00E23AFE">
        <w:rPr>
          <w:b/>
        </w:rPr>
        <w:t xml:space="preserve">SUPREME COURT OF </w:t>
      </w:r>
      <w:smartTag w:uri="urn:schemas-microsoft-com:office:smarttags" w:element="country-region">
        <w:smartTag w:uri="urn:schemas-microsoft-com:office:smarttags" w:element="place">
          <w:r w:rsidRPr="00E23AFE">
            <w:rPr>
              <w:b/>
            </w:rPr>
            <w:t>ZIMBABWE</w:t>
          </w:r>
        </w:smartTag>
      </w:smartTag>
    </w:p>
    <w:p w:rsidR="00E404FC" w:rsidRPr="00E23AFE" w:rsidRDefault="00FD69CC" w:rsidP="0033339C">
      <w:pPr>
        <w:jc w:val="both"/>
        <w:rPr>
          <w:b/>
        </w:rPr>
      </w:pPr>
      <w:r w:rsidRPr="00E23AFE">
        <w:rPr>
          <w:b/>
        </w:rPr>
        <w:t>GWAUNZA JA</w:t>
      </w:r>
      <w:r w:rsidR="00E404FC" w:rsidRPr="00E23AFE">
        <w:rPr>
          <w:b/>
        </w:rPr>
        <w:t xml:space="preserve">, </w:t>
      </w:r>
      <w:r w:rsidRPr="00E23AFE">
        <w:rPr>
          <w:b/>
        </w:rPr>
        <w:t>GOWORA JA</w:t>
      </w:r>
      <w:r w:rsidR="00AF48D9" w:rsidRPr="00E23AFE">
        <w:rPr>
          <w:b/>
        </w:rPr>
        <w:t xml:space="preserve"> &amp; </w:t>
      </w:r>
      <w:r w:rsidRPr="00E23AFE">
        <w:rPr>
          <w:b/>
        </w:rPr>
        <w:t>PATEL JA</w:t>
      </w:r>
    </w:p>
    <w:p w:rsidR="00AF48D9" w:rsidRPr="00E23AFE" w:rsidRDefault="00AF48D9" w:rsidP="0033339C">
      <w:pPr>
        <w:jc w:val="both"/>
      </w:pPr>
      <w:r w:rsidRPr="00E23AFE">
        <w:rPr>
          <w:b/>
        </w:rPr>
        <w:t xml:space="preserve">HARARE, </w:t>
      </w:r>
      <w:r w:rsidR="00087680" w:rsidRPr="00E23AFE">
        <w:rPr>
          <w:b/>
        </w:rPr>
        <w:t>5 NOVEMBER</w:t>
      </w:r>
      <w:r w:rsidR="00351700">
        <w:rPr>
          <w:b/>
        </w:rPr>
        <w:t xml:space="preserve">, </w:t>
      </w:r>
      <w:r w:rsidR="00351700" w:rsidRPr="00E23AFE">
        <w:rPr>
          <w:b/>
        </w:rPr>
        <w:t>2013</w:t>
      </w:r>
      <w:r w:rsidR="00087680" w:rsidRPr="00E23AFE">
        <w:rPr>
          <w:b/>
        </w:rPr>
        <w:t xml:space="preserve"> &amp; </w:t>
      </w:r>
      <w:r w:rsidR="00187752">
        <w:rPr>
          <w:b/>
        </w:rPr>
        <w:t xml:space="preserve">JULY 10, </w:t>
      </w:r>
      <w:r w:rsidR="00187752" w:rsidRPr="00E23AFE">
        <w:rPr>
          <w:b/>
        </w:rPr>
        <w:t>2014</w:t>
      </w:r>
    </w:p>
    <w:p w:rsidR="008E3E30" w:rsidRPr="00E23AFE" w:rsidRDefault="008E3E30" w:rsidP="0033339C">
      <w:pPr>
        <w:spacing w:line="360" w:lineRule="auto"/>
        <w:jc w:val="both"/>
      </w:pPr>
    </w:p>
    <w:p w:rsidR="00B763ED" w:rsidRPr="00E23AFE" w:rsidRDefault="00B763ED" w:rsidP="0033339C">
      <w:pPr>
        <w:spacing w:line="360" w:lineRule="auto"/>
        <w:jc w:val="both"/>
      </w:pPr>
    </w:p>
    <w:p w:rsidR="008E3E30" w:rsidRPr="00E23AFE" w:rsidRDefault="009E6A9A" w:rsidP="0033339C">
      <w:pPr>
        <w:spacing w:line="360" w:lineRule="auto"/>
        <w:jc w:val="both"/>
      </w:pPr>
      <w:r w:rsidRPr="00E23AFE">
        <w:rPr>
          <w:i/>
        </w:rPr>
        <w:t xml:space="preserve">N. </w:t>
      </w:r>
      <w:proofErr w:type="spellStart"/>
      <w:r w:rsidRPr="00E23AFE">
        <w:rPr>
          <w:i/>
        </w:rPr>
        <w:t>Madya</w:t>
      </w:r>
      <w:proofErr w:type="spellEnd"/>
      <w:r w:rsidR="002D0DAD" w:rsidRPr="00E23AFE">
        <w:t>, for the appellant</w:t>
      </w:r>
    </w:p>
    <w:p w:rsidR="002D0DAD" w:rsidRPr="00E23AFE" w:rsidRDefault="009E6A9A" w:rsidP="0033339C">
      <w:pPr>
        <w:spacing w:line="360" w:lineRule="auto"/>
        <w:jc w:val="both"/>
      </w:pPr>
      <w:r w:rsidRPr="00E23AFE">
        <w:rPr>
          <w:i/>
        </w:rPr>
        <w:t xml:space="preserve">R. </w:t>
      </w:r>
      <w:proofErr w:type="spellStart"/>
      <w:r w:rsidRPr="00E23AFE">
        <w:rPr>
          <w:i/>
        </w:rPr>
        <w:t>Chingwena</w:t>
      </w:r>
      <w:proofErr w:type="spellEnd"/>
      <w:r w:rsidR="002D0DAD" w:rsidRPr="00E23AFE">
        <w:t>, for the respondent</w:t>
      </w:r>
    </w:p>
    <w:p w:rsidR="00222F74" w:rsidRPr="00E23AFE" w:rsidRDefault="00222F74" w:rsidP="0033339C">
      <w:pPr>
        <w:spacing w:line="360" w:lineRule="auto"/>
        <w:jc w:val="both"/>
      </w:pPr>
    </w:p>
    <w:p w:rsidR="00B763ED" w:rsidRPr="00E23AFE" w:rsidRDefault="00B763ED" w:rsidP="0033339C">
      <w:pPr>
        <w:spacing w:line="360" w:lineRule="auto"/>
        <w:jc w:val="both"/>
      </w:pPr>
    </w:p>
    <w:p w:rsidR="00222F74" w:rsidRPr="00E23AFE" w:rsidRDefault="0002331C" w:rsidP="0033339C">
      <w:pPr>
        <w:spacing w:line="480" w:lineRule="auto"/>
        <w:jc w:val="both"/>
      </w:pPr>
      <w:r w:rsidRPr="00E23AFE">
        <w:tab/>
      </w:r>
      <w:r w:rsidRPr="00E23AFE">
        <w:rPr>
          <w:b/>
        </w:rPr>
        <w:t xml:space="preserve">PATEL </w:t>
      </w:r>
      <w:r w:rsidR="00F7784D" w:rsidRPr="00E23AFE">
        <w:rPr>
          <w:b/>
        </w:rPr>
        <w:t>JA:</w:t>
      </w:r>
      <w:r w:rsidRPr="00E23AFE">
        <w:tab/>
      </w:r>
      <w:r w:rsidRPr="00E23AFE">
        <w:tab/>
      </w:r>
      <w:r w:rsidR="00CB42EB" w:rsidRPr="00E23AFE">
        <w:t>This is an appeal from the decision of the High Court granting absolution from the instance in respect of the appellant’s claim</w:t>
      </w:r>
      <w:r w:rsidR="005C0050" w:rsidRPr="00E23AFE">
        <w:t>. The claim was</w:t>
      </w:r>
      <w:r w:rsidR="00CB42EB" w:rsidRPr="00E23AFE">
        <w:t xml:space="preserve"> for US$62,707.12</w:t>
      </w:r>
      <w:r w:rsidR="00C27C63" w:rsidRPr="00E23AFE">
        <w:t xml:space="preserve"> as the balance owing to him </w:t>
      </w:r>
      <w:r w:rsidR="00D36423" w:rsidRPr="00E23AFE">
        <w:t xml:space="preserve">from 2002 to 2008 </w:t>
      </w:r>
      <w:r w:rsidR="00D94700" w:rsidRPr="00E23AFE">
        <w:t xml:space="preserve">for </w:t>
      </w:r>
      <w:r w:rsidR="00BD2BC3" w:rsidRPr="00E23AFE">
        <w:t xml:space="preserve">unpaid </w:t>
      </w:r>
      <w:r w:rsidR="00D94700" w:rsidRPr="00E23AFE">
        <w:t>salar</w:t>
      </w:r>
      <w:r w:rsidR="00C810BE" w:rsidRPr="00E23AFE">
        <w:t>ies and allowances</w:t>
      </w:r>
      <w:r w:rsidR="00D94700" w:rsidRPr="00E23AFE">
        <w:t xml:space="preserve"> and </w:t>
      </w:r>
      <w:r w:rsidR="00BD2BC3" w:rsidRPr="00E23AFE">
        <w:t xml:space="preserve">charges for </w:t>
      </w:r>
      <w:r w:rsidR="00D94700" w:rsidRPr="00E23AFE">
        <w:t>the hire of his truck</w:t>
      </w:r>
      <w:r w:rsidR="00BD2BC3" w:rsidRPr="00E23AFE">
        <w:t xml:space="preserve">. The respondent denied that </w:t>
      </w:r>
      <w:r w:rsidR="00D36423" w:rsidRPr="00E23AFE">
        <w:t>there had been any agreed reco</w:t>
      </w:r>
      <w:r w:rsidR="00F61CAD" w:rsidRPr="00E23AFE">
        <w:t xml:space="preserve">nciliation with the appellant for the sums claimed. The respondent </w:t>
      </w:r>
      <w:r w:rsidR="00056B61" w:rsidRPr="00E23AFE">
        <w:t>also averred</w:t>
      </w:r>
      <w:r w:rsidR="00F61CAD" w:rsidRPr="00E23AFE">
        <w:t xml:space="preserve"> that </w:t>
      </w:r>
      <w:r w:rsidR="00BD3A9C" w:rsidRPr="00E23AFE">
        <w:t>the appellant was not employed by it but by another entity</w:t>
      </w:r>
      <w:r w:rsidR="00455CA8" w:rsidRPr="00E23AFE">
        <w:t xml:space="preserve">, </w:t>
      </w:r>
      <w:proofErr w:type="spellStart"/>
      <w:r w:rsidR="00455CA8" w:rsidRPr="00E23AFE">
        <w:t>Tarcon</w:t>
      </w:r>
      <w:proofErr w:type="spellEnd"/>
      <w:r w:rsidR="00455CA8" w:rsidRPr="00E23AFE">
        <w:t xml:space="preserve"> </w:t>
      </w:r>
      <w:proofErr w:type="spellStart"/>
      <w:r w:rsidR="00275440" w:rsidRPr="00E23AFE">
        <w:t>Limitada</w:t>
      </w:r>
      <w:proofErr w:type="spellEnd"/>
      <w:r w:rsidR="00455CA8" w:rsidRPr="00E23AFE">
        <w:t>,</w:t>
      </w:r>
      <w:r w:rsidR="00BD3A9C" w:rsidRPr="00E23AFE">
        <w:t xml:space="preserve"> </w:t>
      </w:r>
      <w:r w:rsidR="00455CA8" w:rsidRPr="00E23AFE">
        <w:t xml:space="preserve">which was </w:t>
      </w:r>
      <w:r w:rsidR="00BD3A9C" w:rsidRPr="00E23AFE">
        <w:t xml:space="preserve">based in </w:t>
      </w:r>
      <w:smartTag w:uri="urn:schemas-microsoft-com:office:smarttags" w:element="country-region">
        <w:smartTag w:uri="urn:schemas-microsoft-com:office:smarttags" w:element="place">
          <w:r w:rsidR="00BD3A9C" w:rsidRPr="00E23AFE">
            <w:t>Mozambique</w:t>
          </w:r>
        </w:smartTag>
      </w:smartTag>
      <w:r w:rsidR="00BD3A9C" w:rsidRPr="00E23AFE">
        <w:t>.</w:t>
      </w:r>
    </w:p>
    <w:p w:rsidR="00BD3A9C" w:rsidRPr="00E23AFE" w:rsidRDefault="00BD3A9C" w:rsidP="0033339C">
      <w:pPr>
        <w:spacing w:line="480" w:lineRule="auto"/>
        <w:jc w:val="both"/>
      </w:pPr>
    </w:p>
    <w:p w:rsidR="00C601FE" w:rsidRPr="00E23AFE" w:rsidRDefault="0054261B" w:rsidP="0033339C">
      <w:pPr>
        <w:spacing w:line="480" w:lineRule="auto"/>
        <w:jc w:val="both"/>
      </w:pPr>
      <w:r w:rsidRPr="00E23AFE">
        <w:tab/>
        <w:t>The High Court held that the claim for salaries and allowances was not based on any stated account but on a contract of employment</w:t>
      </w:r>
      <w:r w:rsidR="000F7563" w:rsidRPr="00E23AFE">
        <w:t xml:space="preserve"> governed by the Labour Act [</w:t>
      </w:r>
      <w:r w:rsidR="000F7563" w:rsidRPr="00E23AFE">
        <w:rPr>
          <w:i/>
        </w:rPr>
        <w:t>Cap</w:t>
      </w:r>
      <w:r w:rsidR="005E7355">
        <w:rPr>
          <w:i/>
        </w:rPr>
        <w:t> </w:t>
      </w:r>
      <w:r w:rsidR="000F7563" w:rsidRPr="00E23AFE">
        <w:rPr>
          <w:i/>
        </w:rPr>
        <w:t>28:01</w:t>
      </w:r>
      <w:r w:rsidR="000F7563" w:rsidRPr="00E23AFE">
        <w:t xml:space="preserve">] and therefore fell outside the jurisdiction of the </w:t>
      </w:r>
      <w:r w:rsidR="00222E01" w:rsidRPr="00E23AFE">
        <w:t xml:space="preserve">court in the first instance. </w:t>
      </w:r>
      <w:r w:rsidR="002C658E" w:rsidRPr="00E23AFE">
        <w:t xml:space="preserve">Moreover, the claim had prescribed after the lapse of two years. </w:t>
      </w:r>
      <w:r w:rsidR="00056B61" w:rsidRPr="00E23AFE">
        <w:t>It further</w:t>
      </w:r>
      <w:r w:rsidR="00B54444" w:rsidRPr="00E23AFE">
        <w:t xml:space="preserve"> held that because the payments were to be made to the appellant outside the country they were not </w:t>
      </w:r>
      <w:r w:rsidR="00B54444" w:rsidRPr="00E23AFE">
        <w:lastRenderedPageBreak/>
        <w:t xml:space="preserve">recoverable as being in contravention of the Exchange Control Regulations </w:t>
      </w:r>
      <w:r w:rsidR="00C601FE" w:rsidRPr="00E23AFE">
        <w:t>1996.</w:t>
      </w:r>
      <w:r w:rsidR="00AA4280" w:rsidRPr="00E23AFE">
        <w:t xml:space="preserve"> </w:t>
      </w:r>
      <w:r w:rsidR="00E53B32" w:rsidRPr="00E23AFE">
        <w:t xml:space="preserve">Additionally, it was held that the proper claimant in respect of the truck hire charges </w:t>
      </w:r>
      <w:r w:rsidR="001C41C2" w:rsidRPr="00E23AFE">
        <w:t xml:space="preserve">should have been the appellant’s company, </w:t>
      </w:r>
      <w:proofErr w:type="spellStart"/>
      <w:r w:rsidR="001C41C2" w:rsidRPr="00E23AFE">
        <w:t>Earthquip</w:t>
      </w:r>
      <w:proofErr w:type="spellEnd"/>
      <w:r w:rsidR="001C41C2" w:rsidRPr="00E23AFE">
        <w:t xml:space="preserve"> (Pvt) Ltd, </w:t>
      </w:r>
      <w:r w:rsidR="00673C2A" w:rsidRPr="00E23AFE">
        <w:t xml:space="preserve">and </w:t>
      </w:r>
      <w:r w:rsidR="00863DD0" w:rsidRPr="00E23AFE">
        <w:t xml:space="preserve">that </w:t>
      </w:r>
      <w:r w:rsidR="00673C2A" w:rsidRPr="00E23AFE">
        <w:t xml:space="preserve">the proper defendant should have been the </w:t>
      </w:r>
      <w:r w:rsidR="00863DD0" w:rsidRPr="00E23AFE">
        <w:t xml:space="preserve">entity based in </w:t>
      </w:r>
      <w:smartTag w:uri="urn:schemas-microsoft-com:office:smarttags" w:element="country-region">
        <w:smartTag w:uri="urn:schemas-microsoft-com:office:smarttags" w:element="place">
          <w:r w:rsidR="00863DD0" w:rsidRPr="00E23AFE">
            <w:t>Mozambique</w:t>
          </w:r>
        </w:smartTag>
      </w:smartTag>
      <w:r w:rsidR="00863DD0" w:rsidRPr="00E23AFE">
        <w:t xml:space="preserve">. </w:t>
      </w:r>
      <w:r w:rsidR="00A96DF0" w:rsidRPr="00E23AFE">
        <w:t xml:space="preserve">Consequently, the appellant had no </w:t>
      </w:r>
      <w:r w:rsidR="00A96DF0" w:rsidRPr="00E23AFE">
        <w:rPr>
          <w:i/>
        </w:rPr>
        <w:t xml:space="preserve">locus </w:t>
      </w:r>
      <w:proofErr w:type="spellStart"/>
      <w:r w:rsidR="00A96DF0" w:rsidRPr="00E23AFE">
        <w:rPr>
          <w:i/>
        </w:rPr>
        <w:t>standi</w:t>
      </w:r>
      <w:proofErr w:type="spellEnd"/>
      <w:r w:rsidR="00A96DF0" w:rsidRPr="00E23AFE">
        <w:t xml:space="preserve"> to institute that </w:t>
      </w:r>
      <w:r w:rsidR="00D827D5" w:rsidRPr="00E23AFE">
        <w:t>claim. For all of these reasons, the court granted the respondent</w:t>
      </w:r>
      <w:r w:rsidR="00A510A8" w:rsidRPr="00E23AFE">
        <w:t>’s application for</w:t>
      </w:r>
      <w:r w:rsidR="00D827D5" w:rsidRPr="00E23AFE">
        <w:t xml:space="preserve"> absolution from the instance</w:t>
      </w:r>
      <w:r w:rsidR="00303C1C" w:rsidRPr="00E23AFE">
        <w:t>.</w:t>
      </w:r>
    </w:p>
    <w:p w:rsidR="00CE5C2F" w:rsidRPr="00E23AFE" w:rsidRDefault="00CE5C2F" w:rsidP="0033339C">
      <w:pPr>
        <w:jc w:val="both"/>
      </w:pPr>
    </w:p>
    <w:p w:rsidR="003F509F" w:rsidRPr="00E23AFE" w:rsidRDefault="005E7355" w:rsidP="0033339C">
      <w:pPr>
        <w:spacing w:line="480" w:lineRule="auto"/>
        <w:jc w:val="both"/>
      </w:pPr>
      <w:r w:rsidRPr="00E23AFE">
        <w:rPr>
          <w:b/>
          <w:u w:val="single"/>
        </w:rPr>
        <w:t xml:space="preserve">LABOUR MATTER </w:t>
      </w:r>
      <w:r>
        <w:rPr>
          <w:b/>
          <w:u w:val="single"/>
        </w:rPr>
        <w:t>OR CLAIM ON</w:t>
      </w:r>
      <w:r w:rsidRPr="00E23AFE">
        <w:rPr>
          <w:b/>
          <w:u w:val="single"/>
        </w:rPr>
        <w:t xml:space="preserve"> STATED ACCOUNT</w:t>
      </w:r>
    </w:p>
    <w:p w:rsidR="003F509F" w:rsidRPr="00E23AFE" w:rsidRDefault="0024564A" w:rsidP="0033339C">
      <w:pPr>
        <w:spacing w:line="480" w:lineRule="auto"/>
        <w:jc w:val="both"/>
      </w:pPr>
      <w:r w:rsidRPr="00E23AFE">
        <w:tab/>
        <w:t xml:space="preserve">The respondent’s position is that </w:t>
      </w:r>
      <w:r w:rsidR="00477BEF" w:rsidRPr="00E23AFE">
        <w:t xml:space="preserve">the </w:t>
      </w:r>
      <w:r w:rsidR="000F3D21" w:rsidRPr="00E23AFE">
        <w:t>reconciliation statements relied upon by the appellant</w:t>
      </w:r>
      <w:r w:rsidR="004A223D" w:rsidRPr="00E23AFE">
        <w:t xml:space="preserve"> required the approval of its chairman for any liability to arise.</w:t>
      </w:r>
      <w:r w:rsidR="002B4A95" w:rsidRPr="00E23AFE">
        <w:t xml:space="preserve"> As no such approval was ever obtained, there was no agreed state</w:t>
      </w:r>
      <w:r w:rsidR="00835F62" w:rsidRPr="00E23AFE">
        <w:t>ment of</w:t>
      </w:r>
      <w:r w:rsidR="002B4A95" w:rsidRPr="00E23AFE">
        <w:t xml:space="preserve"> account </w:t>
      </w:r>
      <w:r w:rsidR="0074109F" w:rsidRPr="00E23AFE">
        <w:t>and, therefore, the appellant’s claim for unpaid salaries</w:t>
      </w:r>
      <w:r w:rsidR="00DC6F90" w:rsidRPr="00E23AFE">
        <w:t xml:space="preserve"> was a purely labour matter subject to the exclusive jurisdiction of the Labour Court in terms of s 89(1)</w:t>
      </w:r>
      <w:r w:rsidR="00AD1A56" w:rsidRPr="00E23AFE">
        <w:t xml:space="preserve"> and (6) </w:t>
      </w:r>
      <w:r w:rsidR="00DC6F90" w:rsidRPr="00E23AFE">
        <w:t>of the Labour Act</w:t>
      </w:r>
      <w:r w:rsidR="00AD1A56" w:rsidRPr="00E23AFE">
        <w:t>.</w:t>
      </w:r>
      <w:r w:rsidR="00934D3C" w:rsidRPr="00E23AFE">
        <w:t xml:space="preserve"> Moreover, </w:t>
      </w:r>
      <w:r w:rsidR="00FA5C75" w:rsidRPr="00E23AFE">
        <w:t>s 94(1) of the Act stipulates that a labour dispute must be raised within a period of two years</w:t>
      </w:r>
      <w:r w:rsidR="00902AA3" w:rsidRPr="00E23AFE">
        <w:t>. In the instant case, that period h</w:t>
      </w:r>
      <w:r w:rsidR="0042578E" w:rsidRPr="00E23AFE">
        <w:t>ad expired before the appellant issued summons and, therefore, his claim for salary and allowances has prescribed.</w:t>
      </w:r>
    </w:p>
    <w:p w:rsidR="00167C51" w:rsidRPr="00E23AFE" w:rsidRDefault="00167C51" w:rsidP="0033339C">
      <w:pPr>
        <w:spacing w:line="480" w:lineRule="auto"/>
        <w:jc w:val="both"/>
      </w:pPr>
    </w:p>
    <w:p w:rsidR="003F509F" w:rsidRPr="00E23AFE" w:rsidRDefault="00806D55" w:rsidP="0033339C">
      <w:pPr>
        <w:spacing w:line="480" w:lineRule="auto"/>
        <w:jc w:val="both"/>
      </w:pPr>
      <w:r w:rsidRPr="00E23AFE">
        <w:tab/>
        <w:t xml:space="preserve">The </w:t>
      </w:r>
      <w:r w:rsidR="00275440" w:rsidRPr="00E23AFE">
        <w:t xml:space="preserve">two </w:t>
      </w:r>
      <w:r w:rsidRPr="00E23AFE">
        <w:t xml:space="preserve">reconciliation </w:t>
      </w:r>
      <w:r w:rsidR="00285C9D" w:rsidRPr="00E23AFE">
        <w:t>statements in question contain the following</w:t>
      </w:r>
      <w:r w:rsidR="003201FD" w:rsidRPr="00E23AFE">
        <w:t xml:space="preserve"> identical</w:t>
      </w:r>
      <w:r w:rsidR="00285C9D" w:rsidRPr="00E23AFE">
        <w:t xml:space="preserve"> handwritten appendage</w:t>
      </w:r>
      <w:r w:rsidR="006267A4" w:rsidRPr="00E23AFE">
        <w:t xml:space="preserve"> signed by the respondent’s financial advisor</w:t>
      </w:r>
      <w:r w:rsidR="00FC7224" w:rsidRPr="00E23AFE">
        <w:t xml:space="preserve"> </w:t>
      </w:r>
      <w:r w:rsidR="009D5074">
        <w:t>(Desmond </w:t>
      </w:r>
      <w:proofErr w:type="spellStart"/>
      <w:r w:rsidR="00452F01" w:rsidRPr="00E23AFE">
        <w:t>Nhemachena</w:t>
      </w:r>
      <w:proofErr w:type="spellEnd"/>
      <w:r w:rsidR="00452F01" w:rsidRPr="00E23AFE">
        <w:t xml:space="preserve">) </w:t>
      </w:r>
      <w:r w:rsidR="00FC7224" w:rsidRPr="00E23AFE">
        <w:t>on 7 November 2008</w:t>
      </w:r>
      <w:r w:rsidR="0099082B" w:rsidRPr="00E23AFE">
        <w:t>: “</w:t>
      </w:r>
      <w:r w:rsidR="0099082B" w:rsidRPr="00E23AFE">
        <w:rPr>
          <w:i/>
        </w:rPr>
        <w:t xml:space="preserve">Pending approval by the </w:t>
      </w:r>
      <w:r w:rsidR="00FC7224" w:rsidRPr="00E23AFE">
        <w:rPr>
          <w:i/>
        </w:rPr>
        <w:t>chairman the above amount will be paid out at the agreed payment plan attached</w:t>
      </w:r>
      <w:r w:rsidR="00FC7224" w:rsidRPr="00E23AFE">
        <w:t>”.</w:t>
      </w:r>
      <w:r w:rsidR="00C2306A" w:rsidRPr="00E23AFE">
        <w:t xml:space="preserve"> It is not </w:t>
      </w:r>
      <w:r w:rsidR="00CC34E1" w:rsidRPr="00E23AFE">
        <w:t xml:space="preserve">entirely </w:t>
      </w:r>
      <w:r w:rsidR="00C2306A" w:rsidRPr="00E23AFE">
        <w:t>clear from the record whether or not the respondent’s chairman had in fact approved the payment plan</w:t>
      </w:r>
      <w:r w:rsidR="0036480E" w:rsidRPr="00E23AFE">
        <w:t>s</w:t>
      </w:r>
      <w:r w:rsidR="00C2306A" w:rsidRPr="00E23AFE">
        <w:t xml:space="preserve">. However, </w:t>
      </w:r>
      <w:r w:rsidR="0036480E" w:rsidRPr="00E23AFE">
        <w:t xml:space="preserve">this did not form any part of the respondent’s defence in its </w:t>
      </w:r>
      <w:r w:rsidR="0036480E" w:rsidRPr="00E23AFE">
        <w:lastRenderedPageBreak/>
        <w:t>plea</w:t>
      </w:r>
      <w:r w:rsidR="003201FD" w:rsidRPr="00E23AFE">
        <w:t xml:space="preserve">. Rather, it simply contended that </w:t>
      </w:r>
      <w:r w:rsidR="006031EB" w:rsidRPr="00E23AFE">
        <w:t>the appellant</w:t>
      </w:r>
      <w:r w:rsidR="001512ED" w:rsidRPr="00E23AFE">
        <w:t xml:space="preserve"> and </w:t>
      </w:r>
      <w:proofErr w:type="spellStart"/>
      <w:r w:rsidR="001512ED" w:rsidRPr="00E23AFE">
        <w:t>Nhemachena</w:t>
      </w:r>
      <w:proofErr w:type="spellEnd"/>
      <w:r w:rsidR="001512ED" w:rsidRPr="00E23AFE">
        <w:t xml:space="preserve"> were</w:t>
      </w:r>
      <w:r w:rsidR="006031EB" w:rsidRPr="00E23AFE">
        <w:t xml:space="preserve"> </w:t>
      </w:r>
      <w:r w:rsidR="002F3969" w:rsidRPr="00E23AFE">
        <w:t xml:space="preserve">not employed by the respondent but by </w:t>
      </w:r>
      <w:proofErr w:type="spellStart"/>
      <w:r w:rsidR="002F3969" w:rsidRPr="00E23AFE">
        <w:t>Tarcon</w:t>
      </w:r>
      <w:proofErr w:type="spellEnd"/>
      <w:r w:rsidR="002F3969" w:rsidRPr="00E23AFE">
        <w:t xml:space="preserve"> </w:t>
      </w:r>
      <w:proofErr w:type="spellStart"/>
      <w:r w:rsidR="002F3969" w:rsidRPr="00E23AFE">
        <w:t>Limitada</w:t>
      </w:r>
      <w:proofErr w:type="spellEnd"/>
      <w:r w:rsidR="002F3969" w:rsidRPr="00E23AFE">
        <w:t>.</w:t>
      </w:r>
    </w:p>
    <w:p w:rsidR="00AD6333" w:rsidRPr="00E23AFE" w:rsidRDefault="00AD6333" w:rsidP="0033339C">
      <w:pPr>
        <w:spacing w:line="480" w:lineRule="auto"/>
        <w:jc w:val="both"/>
      </w:pPr>
    </w:p>
    <w:p w:rsidR="00CE2780" w:rsidRPr="00E23AFE" w:rsidRDefault="00587D0B" w:rsidP="0033339C">
      <w:pPr>
        <w:spacing w:line="480" w:lineRule="auto"/>
        <w:jc w:val="both"/>
      </w:pPr>
      <w:r w:rsidRPr="00E23AFE">
        <w:tab/>
        <w:t xml:space="preserve">More </w:t>
      </w:r>
      <w:r w:rsidR="00323D73" w:rsidRPr="00E23AFE">
        <w:t>importantly</w:t>
      </w:r>
      <w:r w:rsidRPr="00E23AFE">
        <w:t xml:space="preserve">, </w:t>
      </w:r>
      <w:r w:rsidR="00B30D81" w:rsidRPr="00E23AFE">
        <w:t xml:space="preserve">the </w:t>
      </w:r>
      <w:r w:rsidR="00323D73" w:rsidRPr="00E23AFE">
        <w:t>undisputed evidence</w:t>
      </w:r>
      <w:r w:rsidR="00B30D81" w:rsidRPr="00E23AFE">
        <w:t xml:space="preserve"> </w:t>
      </w:r>
      <w:r w:rsidR="006D74E6" w:rsidRPr="00E23AFE">
        <w:t>of the appellant is</w:t>
      </w:r>
      <w:r w:rsidR="00B30D81" w:rsidRPr="00E23AFE">
        <w:t xml:space="preserve"> that </w:t>
      </w:r>
      <w:r w:rsidR="007F0D85" w:rsidRPr="00E23AFE">
        <w:t xml:space="preserve">after the reconciliation statements were prepared </w:t>
      </w:r>
      <w:r w:rsidR="006D74E6" w:rsidRPr="00E23AFE">
        <w:t>he</w:t>
      </w:r>
      <w:r w:rsidR="00220144" w:rsidRPr="00E23AFE">
        <w:t xml:space="preserve"> received two payments </w:t>
      </w:r>
      <w:r w:rsidR="00F03ED1" w:rsidRPr="00E23AFE">
        <w:t xml:space="preserve">in cash and fuel </w:t>
      </w:r>
      <w:r w:rsidR="00220144" w:rsidRPr="00E23AFE">
        <w:t xml:space="preserve">from the respondent in respect </w:t>
      </w:r>
      <w:r w:rsidR="00323D73" w:rsidRPr="00E23AFE">
        <w:t xml:space="preserve">of leave days due and two </w:t>
      </w:r>
      <w:r w:rsidR="0022296D" w:rsidRPr="00E23AFE">
        <w:t>months’</w:t>
      </w:r>
      <w:r w:rsidR="00323D73" w:rsidRPr="00E23AFE">
        <w:t xml:space="preserve"> salary.</w:t>
      </w:r>
      <w:r w:rsidR="00BC7DFF" w:rsidRPr="00E23AFE">
        <w:t xml:space="preserve"> </w:t>
      </w:r>
      <w:r w:rsidR="007F482E" w:rsidRPr="00E23AFE">
        <w:t>The respondent did no</w:t>
      </w:r>
      <w:r w:rsidR="000F26ED" w:rsidRPr="00E23AFE">
        <w:t xml:space="preserve">t at any stage claim any refund in respect of these payments or endeavour to recover them from the appellant. </w:t>
      </w:r>
      <w:r w:rsidR="00BC7DFF" w:rsidRPr="00E23AFE">
        <w:t xml:space="preserve">Equally significantly, the </w:t>
      </w:r>
      <w:r w:rsidR="006A0741" w:rsidRPr="00E23AFE">
        <w:t xml:space="preserve">registration certificate of </w:t>
      </w:r>
      <w:proofErr w:type="spellStart"/>
      <w:r w:rsidR="006A0741" w:rsidRPr="00E23AFE">
        <w:t>Tarcon</w:t>
      </w:r>
      <w:proofErr w:type="spellEnd"/>
      <w:r w:rsidR="006A0741" w:rsidRPr="00E23AFE">
        <w:t xml:space="preserve"> </w:t>
      </w:r>
      <w:proofErr w:type="spellStart"/>
      <w:r w:rsidR="006A0741" w:rsidRPr="00E23AFE">
        <w:t>Limitada</w:t>
      </w:r>
      <w:proofErr w:type="spellEnd"/>
      <w:r w:rsidR="00FC6D37" w:rsidRPr="00E23AFE">
        <w:t xml:space="preserve"> </w:t>
      </w:r>
      <w:r w:rsidR="00BE1D4E" w:rsidRPr="00E23AFE">
        <w:t>shows</w:t>
      </w:r>
      <w:r w:rsidR="00FC6D37" w:rsidRPr="00E23AFE">
        <w:t xml:space="preserve"> that it was only registered on 6 February 2009</w:t>
      </w:r>
      <w:r w:rsidR="00BE1D4E" w:rsidRPr="00E23AFE">
        <w:t xml:space="preserve">, while </w:t>
      </w:r>
      <w:proofErr w:type="spellStart"/>
      <w:r w:rsidR="00BE1D4E" w:rsidRPr="00E23AFE">
        <w:t>Nhemachena</w:t>
      </w:r>
      <w:proofErr w:type="spellEnd"/>
      <w:r w:rsidR="00BE1D4E" w:rsidRPr="00E23AFE">
        <w:t xml:space="preserve"> signed the reconciliation statements </w:t>
      </w:r>
      <w:r w:rsidR="00F662AD" w:rsidRPr="00E23AFE">
        <w:t xml:space="preserve">three months before </w:t>
      </w:r>
      <w:r w:rsidR="00BE1D4E" w:rsidRPr="00E23AFE">
        <w:t>on 7 November 2008</w:t>
      </w:r>
      <w:r w:rsidR="00F662AD" w:rsidRPr="00E23AFE">
        <w:t xml:space="preserve">.  Thus, the appellant </w:t>
      </w:r>
      <w:r w:rsidR="001512ED" w:rsidRPr="00E23AFE">
        <w:t xml:space="preserve">and </w:t>
      </w:r>
      <w:proofErr w:type="spellStart"/>
      <w:r w:rsidR="001512ED" w:rsidRPr="00E23AFE">
        <w:t>Nhemachena</w:t>
      </w:r>
      <w:proofErr w:type="spellEnd"/>
      <w:r w:rsidR="001512ED" w:rsidRPr="00E23AFE">
        <w:t xml:space="preserve"> </w:t>
      </w:r>
      <w:r w:rsidR="00F662AD" w:rsidRPr="00E23AFE">
        <w:t xml:space="preserve">could not possibly have been employed by </w:t>
      </w:r>
      <w:proofErr w:type="spellStart"/>
      <w:r w:rsidR="00387D6D" w:rsidRPr="00E23AFE">
        <w:t>Tarcon</w:t>
      </w:r>
      <w:proofErr w:type="spellEnd"/>
      <w:r w:rsidR="00387D6D" w:rsidRPr="00E23AFE">
        <w:t xml:space="preserve"> </w:t>
      </w:r>
      <w:proofErr w:type="spellStart"/>
      <w:r w:rsidR="00387D6D" w:rsidRPr="00E23AFE">
        <w:t>Limitada</w:t>
      </w:r>
      <w:proofErr w:type="spellEnd"/>
      <w:r w:rsidR="00387D6D" w:rsidRPr="00E23AFE">
        <w:t xml:space="preserve"> at the time when the statements were prepared.</w:t>
      </w:r>
    </w:p>
    <w:p w:rsidR="00387D6D" w:rsidRPr="00E23AFE" w:rsidRDefault="00387D6D" w:rsidP="0033339C">
      <w:pPr>
        <w:spacing w:line="480" w:lineRule="auto"/>
        <w:jc w:val="both"/>
      </w:pPr>
    </w:p>
    <w:p w:rsidR="00481B9B" w:rsidRPr="00E23AFE" w:rsidRDefault="00387D6D" w:rsidP="0033339C">
      <w:pPr>
        <w:spacing w:line="480" w:lineRule="auto"/>
        <w:jc w:val="both"/>
      </w:pPr>
      <w:r w:rsidRPr="00E23AFE">
        <w:tab/>
        <w:t xml:space="preserve">In the circumstances, </w:t>
      </w:r>
      <w:r w:rsidR="001869AD" w:rsidRPr="00E23AFE">
        <w:t xml:space="preserve">I am inclined </w:t>
      </w:r>
      <w:r w:rsidR="009558BB" w:rsidRPr="00E23AFE">
        <w:t xml:space="preserve">to take the view, </w:t>
      </w:r>
      <w:r w:rsidR="00FD34EA" w:rsidRPr="00E23AFE">
        <w:t>in the absence of evidence to the contrary</w:t>
      </w:r>
      <w:r w:rsidR="009558BB" w:rsidRPr="00E23AFE">
        <w:t xml:space="preserve"> adduced before the court </w:t>
      </w:r>
      <w:r w:rsidR="009558BB" w:rsidRPr="00E23AFE">
        <w:rPr>
          <w:i/>
        </w:rPr>
        <w:t>a quo</w:t>
      </w:r>
      <w:r w:rsidR="009558BB" w:rsidRPr="00E23AFE">
        <w:t>,</w:t>
      </w:r>
      <w:r w:rsidR="001869AD" w:rsidRPr="00E23AFE">
        <w:t xml:space="preserve"> that the claim </w:t>
      </w:r>
      <w:r w:rsidR="001869AD" w:rsidRPr="00E23AFE">
        <w:rPr>
          <w:i/>
        </w:rPr>
        <w:t xml:space="preserve">in </w:t>
      </w:r>
      <w:proofErr w:type="spellStart"/>
      <w:r w:rsidR="001869AD" w:rsidRPr="00E23AFE">
        <w:rPr>
          <w:i/>
        </w:rPr>
        <w:t>casu</w:t>
      </w:r>
      <w:proofErr w:type="spellEnd"/>
      <w:r w:rsidR="009558BB" w:rsidRPr="00E23AFE">
        <w:t xml:space="preserve"> </w:t>
      </w:r>
      <w:r w:rsidR="007B651B" w:rsidRPr="00E23AFE">
        <w:t>was</w:t>
      </w:r>
      <w:r w:rsidR="00982023" w:rsidRPr="00E23AFE">
        <w:t xml:space="preserve"> based on </w:t>
      </w:r>
      <w:r w:rsidR="007B651B" w:rsidRPr="00E23AFE">
        <w:t>a</w:t>
      </w:r>
      <w:r w:rsidR="00982023" w:rsidRPr="00E23AFE">
        <w:t xml:space="preserve"> stated account</w:t>
      </w:r>
      <w:r w:rsidR="00F121EB" w:rsidRPr="00E23AFE">
        <w:t xml:space="preserve">. There was an agreed acknowledgement of </w:t>
      </w:r>
      <w:r w:rsidR="00463816" w:rsidRPr="00E23AFE">
        <w:t xml:space="preserve">liability </w:t>
      </w:r>
      <w:r w:rsidR="00025561" w:rsidRPr="00E23AFE">
        <w:t>signed on behalf of</w:t>
      </w:r>
      <w:r w:rsidR="00463816" w:rsidRPr="00E23AFE">
        <w:t xml:space="preserve"> the respondent. All that appears to have been required </w:t>
      </w:r>
      <w:r w:rsidR="004006B3" w:rsidRPr="00E23AFE">
        <w:t xml:space="preserve">thereafter </w:t>
      </w:r>
      <w:r w:rsidR="00AA374B" w:rsidRPr="00E23AFE">
        <w:t xml:space="preserve">is its chairman’s approval of the payment plan or method </w:t>
      </w:r>
      <w:r w:rsidR="00B00956" w:rsidRPr="00E23AFE">
        <w:t>of discharging that agreed liability.</w:t>
      </w:r>
      <w:r w:rsidR="00CF23E0" w:rsidRPr="00E23AFE">
        <w:t xml:space="preserve"> </w:t>
      </w:r>
      <w:r w:rsidR="00F71B91" w:rsidRPr="00E23AFE">
        <w:t xml:space="preserve">As was recognised by the </w:t>
      </w:r>
      <w:r w:rsidR="0041220F" w:rsidRPr="00E23AFE">
        <w:t xml:space="preserve">learned judge, it is competent to sue a debtor on his admission of liability as set out in </w:t>
      </w:r>
      <w:r w:rsidR="00333540" w:rsidRPr="00E23AFE">
        <w:t xml:space="preserve">an acknowledgement of </w:t>
      </w:r>
      <w:r w:rsidR="00181F71" w:rsidRPr="00E23AFE">
        <w:t>debt</w:t>
      </w:r>
      <w:r w:rsidR="00735D0E" w:rsidRPr="00E23AFE">
        <w:t>,</w:t>
      </w:r>
      <w:r w:rsidR="0041220F" w:rsidRPr="00E23AFE">
        <w:t xml:space="preserve"> </w:t>
      </w:r>
      <w:r w:rsidR="00A60198" w:rsidRPr="00E23AFE">
        <w:t xml:space="preserve">without founding the action on the original transaction </w:t>
      </w:r>
      <w:r w:rsidR="00025561" w:rsidRPr="00E23AFE">
        <w:t>giving rise to</w:t>
      </w:r>
      <w:r w:rsidR="00A60198" w:rsidRPr="00E23AFE">
        <w:t xml:space="preserve"> that </w:t>
      </w:r>
      <w:r w:rsidR="00333540" w:rsidRPr="00E23AFE">
        <w:t>acknowledgement.</w:t>
      </w:r>
      <w:r w:rsidR="00A60198" w:rsidRPr="00E23AFE">
        <w:t xml:space="preserve"> See </w:t>
      </w:r>
      <w:proofErr w:type="spellStart"/>
      <w:r w:rsidR="00A60198" w:rsidRPr="00E23AFE">
        <w:rPr>
          <w:i/>
        </w:rPr>
        <w:t>Mahomed</w:t>
      </w:r>
      <w:proofErr w:type="spellEnd"/>
      <w:r w:rsidR="00A60198" w:rsidRPr="00E23AFE">
        <w:rPr>
          <w:i/>
        </w:rPr>
        <w:t xml:space="preserve"> Adam (</w:t>
      </w:r>
      <w:proofErr w:type="spellStart"/>
      <w:r w:rsidR="00A60198" w:rsidRPr="00E23AFE">
        <w:rPr>
          <w:i/>
        </w:rPr>
        <w:t>E</w:t>
      </w:r>
      <w:r w:rsidR="004B5456" w:rsidRPr="00E23AFE">
        <w:rPr>
          <w:i/>
        </w:rPr>
        <w:t>dms</w:t>
      </w:r>
      <w:proofErr w:type="spellEnd"/>
      <w:r w:rsidR="00A60198" w:rsidRPr="00E23AFE">
        <w:rPr>
          <w:i/>
        </w:rPr>
        <w:t xml:space="preserve">) </w:t>
      </w:r>
      <w:proofErr w:type="spellStart"/>
      <w:r w:rsidR="00A60198" w:rsidRPr="00E23AFE">
        <w:rPr>
          <w:i/>
        </w:rPr>
        <w:t>Beperk</w:t>
      </w:r>
      <w:proofErr w:type="spellEnd"/>
      <w:r w:rsidR="00A60198" w:rsidRPr="00E23AFE">
        <w:t xml:space="preserve"> v </w:t>
      </w:r>
      <w:proofErr w:type="spellStart"/>
      <w:r w:rsidR="001B5983" w:rsidRPr="00E23AFE">
        <w:rPr>
          <w:i/>
        </w:rPr>
        <w:t>Raubenheimer</w:t>
      </w:r>
      <w:proofErr w:type="spellEnd"/>
      <w:r w:rsidR="001B5983" w:rsidRPr="00E23AFE">
        <w:t xml:space="preserve"> 1966 (3) SA 646 (TPD)</w:t>
      </w:r>
      <w:r w:rsidR="00333540" w:rsidRPr="00E23AFE">
        <w:t xml:space="preserve"> and the authorities there cited.</w:t>
      </w:r>
      <w:r w:rsidR="001706F4" w:rsidRPr="00E23AFE">
        <w:t xml:space="preserve"> Consequently,</w:t>
      </w:r>
      <w:r w:rsidR="006E5D54" w:rsidRPr="00E23AFE">
        <w:t xml:space="preserve"> the court </w:t>
      </w:r>
      <w:r w:rsidR="006E5D54" w:rsidRPr="00E23AFE">
        <w:rPr>
          <w:i/>
        </w:rPr>
        <w:t>a quo</w:t>
      </w:r>
      <w:r w:rsidR="006E5D54" w:rsidRPr="00E23AFE">
        <w:t xml:space="preserve"> </w:t>
      </w:r>
      <w:r w:rsidR="008B6CE4" w:rsidRPr="00E23AFE">
        <w:t xml:space="preserve">erred in </w:t>
      </w:r>
      <w:r w:rsidR="00531A1D" w:rsidRPr="00E23AFE">
        <w:t xml:space="preserve">holding that the </w:t>
      </w:r>
      <w:r w:rsidR="005E0510" w:rsidRPr="00E23AFE">
        <w:t>contractual claim</w:t>
      </w:r>
      <w:r w:rsidR="00531A1D" w:rsidRPr="00E23AFE">
        <w:t xml:space="preserve"> before it constituted a labour dispute</w:t>
      </w:r>
      <w:r w:rsidR="00E45425" w:rsidRPr="00E23AFE">
        <w:t xml:space="preserve"> beyond </w:t>
      </w:r>
      <w:r w:rsidR="005E0510" w:rsidRPr="00E23AFE">
        <w:t xml:space="preserve">its </w:t>
      </w:r>
      <w:r w:rsidR="005E0510" w:rsidRPr="00E23AFE">
        <w:lastRenderedPageBreak/>
        <w:t xml:space="preserve">jurisdiction and </w:t>
      </w:r>
      <w:r w:rsidR="00531A1D" w:rsidRPr="00E23AFE">
        <w:t>within the exclusive domain of the Labour Court</w:t>
      </w:r>
      <w:r w:rsidR="005E0510" w:rsidRPr="00E23AFE">
        <w:t xml:space="preserve"> by virtue of </w:t>
      </w:r>
      <w:proofErr w:type="spellStart"/>
      <w:r w:rsidR="00E12D36" w:rsidRPr="00E23AFE">
        <w:t>s</w:t>
      </w:r>
      <w:r w:rsidR="004E50A9">
        <w:t>s</w:t>
      </w:r>
      <w:proofErr w:type="spellEnd"/>
      <w:r w:rsidR="00E12D36" w:rsidRPr="00E23AFE">
        <w:t xml:space="preserve"> 89(1)(c) and 89(6) of the Labour Act.</w:t>
      </w:r>
    </w:p>
    <w:p w:rsidR="009B6DD2" w:rsidRPr="00E23AFE" w:rsidRDefault="009B6DD2" w:rsidP="0033339C">
      <w:pPr>
        <w:spacing w:line="480" w:lineRule="auto"/>
        <w:jc w:val="both"/>
      </w:pPr>
    </w:p>
    <w:p w:rsidR="009B6DD2" w:rsidRPr="00E23AFE" w:rsidRDefault="009B6DD2" w:rsidP="0033339C">
      <w:pPr>
        <w:spacing w:line="480" w:lineRule="auto"/>
        <w:jc w:val="both"/>
      </w:pPr>
      <w:r w:rsidRPr="00E23AFE">
        <w:tab/>
        <w:t xml:space="preserve">As regards </w:t>
      </w:r>
      <w:r w:rsidR="00476D19" w:rsidRPr="00E23AFE">
        <w:t xml:space="preserve">the supposed </w:t>
      </w:r>
      <w:r w:rsidRPr="00E23AFE">
        <w:t xml:space="preserve">prescription of the appellant’s claim, it follows that the two year prescriptive period </w:t>
      </w:r>
      <w:r w:rsidR="00E6128A" w:rsidRPr="00E23AFE">
        <w:t>under s 94(1) of the Labour Act has no bearing on the appellant</w:t>
      </w:r>
      <w:r w:rsidR="003D0F53" w:rsidRPr="00E23AFE">
        <w:t>’</w:t>
      </w:r>
      <w:r w:rsidR="00E6128A" w:rsidRPr="00E23AFE">
        <w:t xml:space="preserve">s contractual claim founded on </w:t>
      </w:r>
      <w:r w:rsidR="003D0F53" w:rsidRPr="00E23AFE">
        <w:t xml:space="preserve">a stated account. That provision is confined to claims or disputes </w:t>
      </w:r>
      <w:r w:rsidR="00AF031A" w:rsidRPr="00E23AFE">
        <w:t xml:space="preserve">that are subject to the exclusive governance of the Labour Act. It cannot operate to oust or override the </w:t>
      </w:r>
      <w:r w:rsidR="00766D27" w:rsidRPr="00E23AFE">
        <w:t xml:space="preserve">periods of extinctive prescription </w:t>
      </w:r>
      <w:r w:rsidR="003E5C57" w:rsidRPr="00E23AFE">
        <w:t>applicable under the Prescription Act [</w:t>
      </w:r>
      <w:r w:rsidR="003E5C57" w:rsidRPr="00E23AFE">
        <w:rPr>
          <w:i/>
        </w:rPr>
        <w:t>C</w:t>
      </w:r>
      <w:r w:rsidR="004E50A9">
        <w:rPr>
          <w:i/>
        </w:rPr>
        <w:t>ap</w:t>
      </w:r>
      <w:r w:rsidR="003E5C57" w:rsidRPr="00E23AFE">
        <w:rPr>
          <w:i/>
        </w:rPr>
        <w:t xml:space="preserve"> </w:t>
      </w:r>
      <w:r w:rsidR="00C64AA5" w:rsidRPr="00E23AFE">
        <w:rPr>
          <w:i/>
        </w:rPr>
        <w:t>8:11</w:t>
      </w:r>
      <w:r w:rsidR="003E5C57" w:rsidRPr="00E23AFE">
        <w:t>]</w:t>
      </w:r>
      <w:r w:rsidR="00AA48A2" w:rsidRPr="00E23AFE">
        <w:t xml:space="preserve"> in relation to the recovery of contractual debts in general.</w:t>
      </w:r>
    </w:p>
    <w:p w:rsidR="00AD6333" w:rsidRPr="00E23AFE" w:rsidRDefault="00AD6333" w:rsidP="0033339C">
      <w:pPr>
        <w:jc w:val="both"/>
      </w:pPr>
    </w:p>
    <w:p w:rsidR="003F509F" w:rsidRPr="00E23AFE" w:rsidRDefault="004E50A9" w:rsidP="0033339C">
      <w:pPr>
        <w:spacing w:line="480" w:lineRule="auto"/>
        <w:jc w:val="both"/>
      </w:pPr>
      <w:r w:rsidRPr="00E23AFE">
        <w:rPr>
          <w:b/>
          <w:u w:val="single"/>
        </w:rPr>
        <w:t>EXCHANGE CONTROL APPROVAL</w:t>
      </w:r>
    </w:p>
    <w:p w:rsidR="006B105E" w:rsidRPr="00E23AFE" w:rsidRDefault="009F47AA" w:rsidP="0033339C">
      <w:pPr>
        <w:spacing w:line="480" w:lineRule="auto"/>
        <w:jc w:val="both"/>
      </w:pPr>
      <w:r w:rsidRPr="00E23AFE">
        <w:tab/>
        <w:t xml:space="preserve">The respondent contends that the appellant’s claim is </w:t>
      </w:r>
      <w:r w:rsidR="00363582" w:rsidRPr="00E23AFE">
        <w:t>for payments in</w:t>
      </w:r>
      <w:r w:rsidR="00A73CE0" w:rsidRPr="00E23AFE">
        <w:t xml:space="preserve"> foreign currency that required exchange control approval at the relevant time</w:t>
      </w:r>
      <w:r w:rsidR="00730E97" w:rsidRPr="00E23AFE">
        <w:t xml:space="preserve"> and that that there is no proof that any s</w:t>
      </w:r>
      <w:r w:rsidR="00455DF5" w:rsidRPr="00E23AFE">
        <w:t xml:space="preserve">uch approval was ever obtained. </w:t>
      </w:r>
      <w:r w:rsidR="00461D6D" w:rsidRPr="00E23AFE">
        <w:t>Therefore, they are enti</w:t>
      </w:r>
      <w:r w:rsidR="0086072E" w:rsidRPr="00E23AFE">
        <w:t xml:space="preserve">tled to resist any claim for payments </w:t>
      </w:r>
      <w:r w:rsidR="00A41AAD" w:rsidRPr="00E23AFE">
        <w:t>that were not duly authorised.</w:t>
      </w:r>
    </w:p>
    <w:p w:rsidR="00B4433E" w:rsidRPr="00E23AFE" w:rsidRDefault="00B4433E" w:rsidP="0033339C">
      <w:pPr>
        <w:spacing w:line="480" w:lineRule="auto"/>
        <w:jc w:val="both"/>
      </w:pPr>
    </w:p>
    <w:p w:rsidR="00B4433E" w:rsidRPr="00E23AFE" w:rsidRDefault="00A41AAD" w:rsidP="0033339C">
      <w:pPr>
        <w:spacing w:line="480" w:lineRule="auto"/>
        <w:jc w:val="both"/>
      </w:pPr>
      <w:r w:rsidRPr="00E23AFE">
        <w:tab/>
        <w:t xml:space="preserve">Section </w:t>
      </w:r>
      <w:r w:rsidR="004F013B" w:rsidRPr="00E23AFE">
        <w:t>11(1)</w:t>
      </w:r>
      <w:r w:rsidR="00C941B7" w:rsidRPr="00E23AFE">
        <w:t>(a)</w:t>
      </w:r>
      <w:r w:rsidR="004F013B" w:rsidRPr="00E23AFE">
        <w:t xml:space="preserve"> of the </w:t>
      </w:r>
      <w:r w:rsidR="0024658F" w:rsidRPr="00E23AFE">
        <w:t>Exchange Control Regulations</w:t>
      </w:r>
      <w:r w:rsidR="00C941B7" w:rsidRPr="00E23AFE">
        <w:t xml:space="preserve"> 1996</w:t>
      </w:r>
      <w:r w:rsidR="0024658F" w:rsidRPr="00E23AFE">
        <w:t xml:space="preserve"> prohibits any Zimbabwean resident from making any payment outside </w:t>
      </w:r>
      <w:smartTag w:uri="urn:schemas-microsoft-com:office:smarttags" w:element="place">
        <w:smartTag w:uri="urn:schemas-microsoft-com:office:smarttags" w:element="country-region">
          <w:r w:rsidR="0024658F" w:rsidRPr="00E23AFE">
            <w:t>Zimbabwe</w:t>
          </w:r>
        </w:smartTag>
      </w:smartTag>
      <w:r w:rsidR="0024658F" w:rsidRPr="00E23AFE">
        <w:t xml:space="preserve"> </w:t>
      </w:r>
      <w:r w:rsidR="008E35CA" w:rsidRPr="00E23AFE">
        <w:t>without the approval of an exchange control authority.</w:t>
      </w:r>
      <w:r w:rsidR="00C941B7" w:rsidRPr="00E23AFE">
        <w:t xml:space="preserve"> In terms of s 45(1) of the </w:t>
      </w:r>
      <w:r w:rsidR="0018234B" w:rsidRPr="00E23AFE">
        <w:t xml:space="preserve">Regulations, a debtor may avoid payment solely on the grounds that the debt is not payable without the permission </w:t>
      </w:r>
      <w:r w:rsidR="002E01D7" w:rsidRPr="00E23AFE">
        <w:t>of an exchange control authority or that any such authority has not granted permission for payment of the debt.</w:t>
      </w:r>
    </w:p>
    <w:p w:rsidR="00B4433E" w:rsidRPr="00E23AFE" w:rsidRDefault="00B4433E" w:rsidP="0033339C">
      <w:pPr>
        <w:spacing w:line="480" w:lineRule="auto"/>
        <w:jc w:val="both"/>
      </w:pPr>
    </w:p>
    <w:p w:rsidR="00B4433E" w:rsidRPr="00E23AFE" w:rsidRDefault="00B4433E" w:rsidP="0033339C">
      <w:pPr>
        <w:spacing w:line="480" w:lineRule="auto"/>
        <w:jc w:val="both"/>
      </w:pPr>
      <w:r w:rsidRPr="00E23AFE">
        <w:lastRenderedPageBreak/>
        <w:tab/>
        <w:t xml:space="preserve">It is common cause that some of the payments due to the appellant </w:t>
      </w:r>
      <w:r w:rsidR="00345D30" w:rsidRPr="00E23AFE">
        <w:t xml:space="preserve">were made </w:t>
      </w:r>
      <w:r w:rsidR="00284B7A" w:rsidRPr="00E23AFE">
        <w:t xml:space="preserve">in </w:t>
      </w:r>
      <w:smartTag w:uri="urn:schemas-microsoft-com:office:smarttags" w:element="country-region">
        <w:r w:rsidR="00284B7A" w:rsidRPr="00E23AFE">
          <w:t>Zimbabwe</w:t>
        </w:r>
      </w:smartTag>
      <w:r w:rsidR="00284B7A" w:rsidRPr="00E23AFE">
        <w:t xml:space="preserve"> while </w:t>
      </w:r>
      <w:r w:rsidR="00345D30" w:rsidRPr="00E23AFE">
        <w:t xml:space="preserve">others were to be made to the appellant outside </w:t>
      </w:r>
      <w:smartTag w:uri="urn:schemas-microsoft-com:office:smarttags" w:element="place">
        <w:smartTag w:uri="urn:schemas-microsoft-com:office:smarttags" w:element="country-region">
          <w:r w:rsidR="00345D30" w:rsidRPr="00E23AFE">
            <w:t>Zimbabwe</w:t>
          </w:r>
        </w:smartTag>
      </w:smartTag>
      <w:r w:rsidR="00090D46" w:rsidRPr="00E23AFE">
        <w:t xml:space="preserve">. The court </w:t>
      </w:r>
      <w:r w:rsidR="00090D46" w:rsidRPr="00E23AFE">
        <w:rPr>
          <w:i/>
        </w:rPr>
        <w:t>a quo</w:t>
      </w:r>
      <w:r w:rsidR="00090D46" w:rsidRPr="00E23AFE">
        <w:t xml:space="preserve"> found that no exchange control </w:t>
      </w:r>
      <w:r w:rsidR="00737C16" w:rsidRPr="00E23AFE">
        <w:t>permission</w:t>
      </w:r>
      <w:r w:rsidR="00090D46" w:rsidRPr="00E23AFE">
        <w:t xml:space="preserve"> was granted </w:t>
      </w:r>
      <w:r w:rsidR="00737C16" w:rsidRPr="00E23AFE">
        <w:t xml:space="preserve">for any of the payments in question. </w:t>
      </w:r>
      <w:r w:rsidR="00F22CBE" w:rsidRPr="00E23AFE">
        <w:t xml:space="preserve">The court also held that the onus to </w:t>
      </w:r>
      <w:r w:rsidR="003E2B2D" w:rsidRPr="00E23AFE">
        <w:t>produce proof of any such approval</w:t>
      </w:r>
      <w:r w:rsidR="00C47637" w:rsidRPr="00E23AFE">
        <w:t xml:space="preserve"> </w:t>
      </w:r>
      <w:r w:rsidR="00D611D0" w:rsidRPr="00E23AFE">
        <w:t xml:space="preserve">fell on the appellant </w:t>
      </w:r>
      <w:r w:rsidR="00C47637" w:rsidRPr="00E23AFE">
        <w:t>and that,</w:t>
      </w:r>
      <w:r w:rsidR="003E2B2D" w:rsidRPr="00E23AFE">
        <w:t xml:space="preserve"> </w:t>
      </w:r>
      <w:r w:rsidR="00C47637" w:rsidRPr="00E23AFE">
        <w:t xml:space="preserve">having failed to discharge that onus, </w:t>
      </w:r>
      <w:r w:rsidR="009567DD" w:rsidRPr="00E23AFE">
        <w:t>he was not entitled to enforce an illegal contract.</w:t>
      </w:r>
    </w:p>
    <w:p w:rsidR="009567DD" w:rsidRPr="00E23AFE" w:rsidRDefault="009567DD" w:rsidP="0033339C">
      <w:pPr>
        <w:spacing w:line="480" w:lineRule="auto"/>
        <w:jc w:val="both"/>
      </w:pPr>
    </w:p>
    <w:p w:rsidR="009567DD" w:rsidRPr="00E23AFE" w:rsidRDefault="009567DD" w:rsidP="0033339C">
      <w:pPr>
        <w:spacing w:line="480" w:lineRule="auto"/>
        <w:jc w:val="both"/>
      </w:pPr>
      <w:r w:rsidRPr="00E23AFE">
        <w:tab/>
      </w:r>
      <w:r w:rsidR="001D0FCC" w:rsidRPr="00E23AFE">
        <w:t xml:space="preserve">The first point to note is that this defence </w:t>
      </w:r>
      <w:r w:rsidR="00021D0C" w:rsidRPr="00E23AFE">
        <w:t>of illegality was not raised at any stage in the pleadings.</w:t>
      </w:r>
      <w:r w:rsidR="00874C13" w:rsidRPr="00E23AFE">
        <w:t xml:space="preserve"> Be that as it may, </w:t>
      </w:r>
      <w:r w:rsidR="007C523B" w:rsidRPr="00E23AFE">
        <w:t xml:space="preserve">it is difficult to </w:t>
      </w:r>
      <w:r w:rsidR="00381AC4" w:rsidRPr="00E23AFE">
        <w:t>accept</w:t>
      </w:r>
      <w:r w:rsidR="007C523B" w:rsidRPr="00E23AFE">
        <w:t xml:space="preserve"> the finding of the court </w:t>
      </w:r>
      <w:r w:rsidR="007C523B" w:rsidRPr="00E23AFE">
        <w:rPr>
          <w:i/>
        </w:rPr>
        <w:t>a quo</w:t>
      </w:r>
      <w:r w:rsidR="007C523B" w:rsidRPr="00E23AFE">
        <w:t xml:space="preserve"> that no exchange control permission was ever obtained. </w:t>
      </w:r>
      <w:r w:rsidR="006E4428" w:rsidRPr="00E23AFE">
        <w:t xml:space="preserve">A critical piece of </w:t>
      </w:r>
      <w:r w:rsidR="00801762" w:rsidRPr="00E23AFE">
        <w:t xml:space="preserve">evidence </w:t>
      </w:r>
      <w:r w:rsidR="0088005D" w:rsidRPr="00E23AFE">
        <w:t xml:space="preserve">that was </w:t>
      </w:r>
      <w:r w:rsidR="00801762" w:rsidRPr="00E23AFE">
        <w:t xml:space="preserve">before the court </w:t>
      </w:r>
      <w:r w:rsidR="006E4428" w:rsidRPr="00E23AFE">
        <w:t>is</w:t>
      </w:r>
      <w:r w:rsidR="00801762" w:rsidRPr="00E23AFE">
        <w:t xml:space="preserve"> a letter</w:t>
      </w:r>
      <w:r w:rsidR="00DF3C30" w:rsidRPr="00E23AFE">
        <w:t xml:space="preserve"> </w:t>
      </w:r>
      <w:r w:rsidR="00801762" w:rsidRPr="00E23AFE">
        <w:t xml:space="preserve">from </w:t>
      </w:r>
      <w:r w:rsidR="009D33AA" w:rsidRPr="00E23AFE">
        <w:t>the respondent’s financial director</w:t>
      </w:r>
      <w:r w:rsidR="00A27527" w:rsidRPr="00E23AFE">
        <w:t xml:space="preserve"> addressed to the appellant</w:t>
      </w:r>
      <w:r w:rsidR="00DF3C30" w:rsidRPr="00E23AFE">
        <w:t>, dated 17 March 2006, requesting him to confirm the balance that was owed to him by the respondent</w:t>
      </w:r>
      <w:r w:rsidR="008B780C" w:rsidRPr="00E23AFE">
        <w:t xml:space="preserve"> as at 31 December 2005 in the sum of US$32,022.50. </w:t>
      </w:r>
      <w:r w:rsidR="002E1091" w:rsidRPr="00E23AFE">
        <w:t>This request was made to confirm staff liabilities for audit purposes.</w:t>
      </w:r>
      <w:r w:rsidR="00C25ABA" w:rsidRPr="00E23AFE">
        <w:t xml:space="preserve"> Given</w:t>
      </w:r>
      <w:r w:rsidR="009739C8" w:rsidRPr="00E23AFE">
        <w:t xml:space="preserve"> the </w:t>
      </w:r>
      <w:r w:rsidR="008A33DD" w:rsidRPr="00E23AFE">
        <w:t xml:space="preserve">unquestionably </w:t>
      </w:r>
      <w:r w:rsidR="009739C8" w:rsidRPr="00E23AFE">
        <w:t xml:space="preserve">official purpose underlying this request, it seems highly improbable that the respondent was </w:t>
      </w:r>
      <w:r w:rsidR="00916707" w:rsidRPr="00E23AFE">
        <w:t>operating without the requ</w:t>
      </w:r>
      <w:r w:rsidR="008A33DD" w:rsidRPr="00E23AFE">
        <w:t>isite exchange control approval vis-à-vis the payments made or owing to the appellant during the relevant period.</w:t>
      </w:r>
    </w:p>
    <w:p w:rsidR="00A41AAD" w:rsidRPr="00E23AFE" w:rsidRDefault="008E35CA" w:rsidP="0033339C">
      <w:pPr>
        <w:spacing w:line="480" w:lineRule="auto"/>
        <w:jc w:val="both"/>
      </w:pPr>
      <w:r w:rsidRPr="00E23AFE">
        <w:t xml:space="preserve"> </w:t>
      </w:r>
    </w:p>
    <w:p w:rsidR="00381AC4" w:rsidRPr="00E23AFE" w:rsidRDefault="00381AC4" w:rsidP="0033339C">
      <w:pPr>
        <w:spacing w:line="480" w:lineRule="auto"/>
        <w:jc w:val="both"/>
      </w:pPr>
      <w:r w:rsidRPr="00E23AFE">
        <w:tab/>
      </w:r>
      <w:r w:rsidR="00BA60DD" w:rsidRPr="00E23AFE">
        <w:t>Going beyond the facts, it is e</w:t>
      </w:r>
      <w:r w:rsidRPr="00E23AFE">
        <w:t xml:space="preserve">ven more difficult to comprehend the decision </w:t>
      </w:r>
      <w:r w:rsidR="003B56AD" w:rsidRPr="00E23AFE">
        <w:t xml:space="preserve">of the </w:t>
      </w:r>
      <w:r w:rsidR="007A030C" w:rsidRPr="00E23AFE">
        <w:t xml:space="preserve">court </w:t>
      </w:r>
      <w:r w:rsidR="007A030C" w:rsidRPr="00E23AFE">
        <w:rPr>
          <w:i/>
        </w:rPr>
        <w:t>a quo</w:t>
      </w:r>
      <w:r w:rsidR="006C25F6" w:rsidRPr="00E23AFE">
        <w:t xml:space="preserve"> </w:t>
      </w:r>
      <w:r w:rsidRPr="00E23AFE">
        <w:t xml:space="preserve">that the onus </w:t>
      </w:r>
      <w:r w:rsidR="00E12E86" w:rsidRPr="00E23AFE">
        <w:t>t</w:t>
      </w:r>
      <w:r w:rsidR="00D611D0" w:rsidRPr="00E23AFE">
        <w:t>o</w:t>
      </w:r>
      <w:r w:rsidR="00E12E86" w:rsidRPr="00E23AFE">
        <w:t xml:space="preserve"> prove exchange control approval </w:t>
      </w:r>
      <w:r w:rsidR="00D611D0" w:rsidRPr="00E23AFE">
        <w:t xml:space="preserve">lay </w:t>
      </w:r>
      <w:r w:rsidR="00AB513B" w:rsidRPr="00E23AFE">
        <w:t>with</w:t>
      </w:r>
      <w:r w:rsidR="00D611D0" w:rsidRPr="00E23AFE">
        <w:t xml:space="preserve"> the appellant.</w:t>
      </w:r>
      <w:r w:rsidR="007C0DFA" w:rsidRPr="00E23AFE">
        <w:t xml:space="preserve"> As a </w:t>
      </w:r>
      <w:r w:rsidR="0088005D" w:rsidRPr="00E23AFE">
        <w:t xml:space="preserve">rule </w:t>
      </w:r>
      <w:r w:rsidR="007C0DFA" w:rsidRPr="00E23AFE">
        <w:t xml:space="preserve">of evidence, it is trite that he who asserts any </w:t>
      </w:r>
      <w:r w:rsidR="00BA60DD" w:rsidRPr="00E23AFE">
        <w:t xml:space="preserve">fact must carry the burden </w:t>
      </w:r>
      <w:r w:rsidR="00AB513B" w:rsidRPr="00E23AFE">
        <w:t>to prove that fact. In the inst</w:t>
      </w:r>
      <w:r w:rsidR="006B2955" w:rsidRPr="00E23AFE">
        <w:t xml:space="preserve">ant case, it is the respondent that resists payment </w:t>
      </w:r>
      <w:r w:rsidR="004E697B" w:rsidRPr="00E23AFE">
        <w:t xml:space="preserve">on the ground that the </w:t>
      </w:r>
      <w:r w:rsidR="00E972C9" w:rsidRPr="00E23AFE">
        <w:t xml:space="preserve">necessary </w:t>
      </w:r>
      <w:r w:rsidR="004E697B" w:rsidRPr="00E23AFE">
        <w:t>permission of the exchange control authority was not granted.</w:t>
      </w:r>
      <w:r w:rsidR="002E55C5" w:rsidRPr="00E23AFE">
        <w:t xml:space="preserve"> </w:t>
      </w:r>
      <w:r w:rsidR="008E0492" w:rsidRPr="00E23AFE">
        <w:lastRenderedPageBreak/>
        <w:t>Therefore, just</w:t>
      </w:r>
      <w:r w:rsidR="002E55C5" w:rsidRPr="00E23AFE">
        <w:t xml:space="preserve"> as </w:t>
      </w:r>
      <w:r w:rsidR="003666EF" w:rsidRPr="00E23AFE">
        <w:t xml:space="preserve">it </w:t>
      </w:r>
      <w:r w:rsidR="00F01850" w:rsidRPr="00E23AFE">
        <w:t xml:space="preserve">behoved </w:t>
      </w:r>
      <w:r w:rsidR="003666EF" w:rsidRPr="00E23AFE">
        <w:t>the respondent</w:t>
      </w:r>
      <w:r w:rsidR="00F3743C" w:rsidRPr="00E23AFE">
        <w:t>,</w:t>
      </w:r>
      <w:r w:rsidR="003666EF" w:rsidRPr="00E23AFE">
        <w:t xml:space="preserve"> </w:t>
      </w:r>
      <w:r w:rsidR="003666EF" w:rsidRPr="00E23AFE">
        <w:rPr>
          <w:i/>
        </w:rPr>
        <w:t>qua</w:t>
      </w:r>
      <w:r w:rsidR="003666EF" w:rsidRPr="00E23AFE">
        <w:t xml:space="preserve"> payer</w:t>
      </w:r>
      <w:r w:rsidR="009F021F" w:rsidRPr="00E23AFE">
        <w:t xml:space="preserve"> in the course of its transactions with the appellant</w:t>
      </w:r>
      <w:r w:rsidR="00F3743C" w:rsidRPr="00E23AFE">
        <w:t>, to obtain that permission, so</w:t>
      </w:r>
      <w:r w:rsidR="002E55C5" w:rsidRPr="00E23AFE">
        <w:t xml:space="preserve"> was it </w:t>
      </w:r>
      <w:r w:rsidR="009F021F" w:rsidRPr="00E23AFE">
        <w:t xml:space="preserve">incumbent upon it to </w:t>
      </w:r>
      <w:r w:rsidR="00F01850" w:rsidRPr="00E23AFE">
        <w:t xml:space="preserve">discharge the burden of proving its </w:t>
      </w:r>
      <w:r w:rsidR="00B71758" w:rsidRPr="00E23AFE">
        <w:t>assertion</w:t>
      </w:r>
      <w:r w:rsidR="009F021F" w:rsidRPr="00E23AFE">
        <w:t xml:space="preserve"> that no such permission was in fact obtained.</w:t>
      </w:r>
      <w:r w:rsidR="00B71758" w:rsidRPr="00E23AFE">
        <w:t xml:space="preserve"> It is abundantly clear </w:t>
      </w:r>
      <w:r w:rsidR="008E0492" w:rsidRPr="00E23AFE">
        <w:t xml:space="preserve">that the </w:t>
      </w:r>
      <w:r w:rsidR="007A030C" w:rsidRPr="00E23AFE">
        <w:t xml:space="preserve">learned judge </w:t>
      </w:r>
      <w:r w:rsidR="008E0492" w:rsidRPr="00E23AFE">
        <w:t xml:space="preserve">misdirected </w:t>
      </w:r>
      <w:r w:rsidR="00F622C4" w:rsidRPr="00E23AFE">
        <w:t>himself</w:t>
      </w:r>
      <w:r w:rsidR="008E0492" w:rsidRPr="00E23AFE">
        <w:t xml:space="preserve"> in this regard.</w:t>
      </w:r>
    </w:p>
    <w:p w:rsidR="006B105E" w:rsidRPr="00E23AFE" w:rsidRDefault="006B105E" w:rsidP="0033339C">
      <w:pPr>
        <w:spacing w:line="480" w:lineRule="auto"/>
        <w:jc w:val="both"/>
      </w:pPr>
    </w:p>
    <w:p w:rsidR="006B105E" w:rsidRPr="00E23AFE" w:rsidRDefault="0037782D" w:rsidP="0033339C">
      <w:pPr>
        <w:spacing w:line="480" w:lineRule="auto"/>
        <w:jc w:val="both"/>
      </w:pPr>
      <w:r w:rsidRPr="00E23AFE">
        <w:rPr>
          <w:b/>
          <w:i/>
          <w:u w:val="single"/>
        </w:rPr>
        <w:t>LOCUS STANDI</w:t>
      </w:r>
      <w:r w:rsidRPr="00E23AFE">
        <w:rPr>
          <w:b/>
          <w:u w:val="single"/>
        </w:rPr>
        <w:t xml:space="preserve"> TO SUE ON TRUCK HIRE CONTRACT</w:t>
      </w:r>
    </w:p>
    <w:p w:rsidR="00033D33" w:rsidRPr="00E23AFE" w:rsidRDefault="005F4481" w:rsidP="0033339C">
      <w:pPr>
        <w:spacing w:line="480" w:lineRule="auto"/>
        <w:jc w:val="both"/>
      </w:pPr>
      <w:r w:rsidRPr="00E23AFE">
        <w:tab/>
      </w:r>
      <w:r w:rsidR="007A030C" w:rsidRPr="00E23AFE">
        <w:t xml:space="preserve">The court </w:t>
      </w:r>
      <w:r w:rsidR="007A030C" w:rsidRPr="00E23AFE">
        <w:rPr>
          <w:i/>
        </w:rPr>
        <w:t>a quo</w:t>
      </w:r>
      <w:r w:rsidR="007A030C" w:rsidRPr="00E23AFE">
        <w:t xml:space="preserve"> found that the </w:t>
      </w:r>
      <w:r w:rsidR="00D60A86" w:rsidRPr="00E23AFE">
        <w:t xml:space="preserve">truck in respect of which the appellant </w:t>
      </w:r>
      <w:r w:rsidR="00260F8E" w:rsidRPr="00E23AFE">
        <w:t xml:space="preserve">sued for hire charges was owned by his company, </w:t>
      </w:r>
      <w:proofErr w:type="spellStart"/>
      <w:r w:rsidR="00260F8E" w:rsidRPr="00E23AFE">
        <w:t>Earthquip</w:t>
      </w:r>
      <w:proofErr w:type="spellEnd"/>
      <w:r w:rsidR="00260F8E" w:rsidRPr="00E23AFE">
        <w:t xml:space="preserve"> (Pvt) Ltd</w:t>
      </w:r>
      <w:r w:rsidR="00371D05" w:rsidRPr="00E23AFE">
        <w:t xml:space="preserve">, and not by the appellant himself. Additionally, it was found that the hire contract was concluded between </w:t>
      </w:r>
      <w:proofErr w:type="spellStart"/>
      <w:r w:rsidR="00371D05" w:rsidRPr="00E23AFE">
        <w:t>Earthquip</w:t>
      </w:r>
      <w:proofErr w:type="spellEnd"/>
      <w:r w:rsidR="00371D05" w:rsidRPr="00E23AFE">
        <w:t xml:space="preserve"> and </w:t>
      </w:r>
      <w:proofErr w:type="spellStart"/>
      <w:r w:rsidR="00371D05" w:rsidRPr="00E23AFE">
        <w:t>Tarcon</w:t>
      </w:r>
      <w:proofErr w:type="spellEnd"/>
      <w:r w:rsidR="00371D05" w:rsidRPr="00E23AFE">
        <w:t xml:space="preserve"> </w:t>
      </w:r>
      <w:proofErr w:type="spellStart"/>
      <w:r w:rsidR="00371D05" w:rsidRPr="00E23AFE">
        <w:t>Limitada</w:t>
      </w:r>
      <w:proofErr w:type="spellEnd"/>
      <w:r w:rsidR="009E0B7D" w:rsidRPr="00E23AFE">
        <w:t xml:space="preserve"> which was a separate legal entity distinct from the respondent</w:t>
      </w:r>
      <w:r w:rsidR="00AB507D" w:rsidRPr="00E23AFE">
        <w:t xml:space="preserve">. Consequently, the appellant had no </w:t>
      </w:r>
      <w:r w:rsidR="00AB507D" w:rsidRPr="00E23AFE">
        <w:rPr>
          <w:i/>
        </w:rPr>
        <w:t xml:space="preserve">locus </w:t>
      </w:r>
      <w:proofErr w:type="spellStart"/>
      <w:r w:rsidR="00AB507D" w:rsidRPr="00E23AFE">
        <w:rPr>
          <w:i/>
        </w:rPr>
        <w:t>standi</w:t>
      </w:r>
      <w:proofErr w:type="spellEnd"/>
      <w:r w:rsidR="00AB507D" w:rsidRPr="00E23AFE">
        <w:t xml:space="preserve"> to sue the respondent</w:t>
      </w:r>
      <w:r w:rsidR="00EA5A96" w:rsidRPr="00E23AFE">
        <w:t xml:space="preserve"> for the truck hire charges.</w:t>
      </w:r>
    </w:p>
    <w:p w:rsidR="00060771" w:rsidRPr="00E23AFE" w:rsidRDefault="00060771" w:rsidP="0033339C">
      <w:pPr>
        <w:spacing w:line="480" w:lineRule="auto"/>
        <w:jc w:val="both"/>
      </w:pPr>
    </w:p>
    <w:p w:rsidR="00033D33" w:rsidRPr="0079720F" w:rsidRDefault="00DD4819" w:rsidP="0033339C">
      <w:pPr>
        <w:spacing w:line="480" w:lineRule="auto"/>
        <w:jc w:val="both"/>
      </w:pPr>
      <w:r w:rsidRPr="00E23AFE">
        <w:tab/>
        <w:t xml:space="preserve">The above factual findings are borne out by </w:t>
      </w:r>
      <w:r w:rsidR="00135E40" w:rsidRPr="00E23AFE">
        <w:t xml:space="preserve">the appellant’s own evidence under cross-examination. </w:t>
      </w:r>
      <w:r w:rsidR="002E668B" w:rsidRPr="00E23AFE">
        <w:t xml:space="preserve">However, it was also his evidence that </w:t>
      </w:r>
      <w:proofErr w:type="spellStart"/>
      <w:r w:rsidR="002E668B" w:rsidRPr="00E23AFE">
        <w:t>Earthquip</w:t>
      </w:r>
      <w:proofErr w:type="spellEnd"/>
      <w:r w:rsidR="002E668B" w:rsidRPr="00E23AFE">
        <w:t xml:space="preserve"> had ceased to operate at that stage and that</w:t>
      </w:r>
      <w:r w:rsidR="00EA5A96" w:rsidRPr="00E23AFE">
        <w:t>, therefore,</w:t>
      </w:r>
      <w:r w:rsidR="002E668B" w:rsidRPr="00E23AFE">
        <w:t xml:space="preserve"> </w:t>
      </w:r>
      <w:r w:rsidR="00657DF1" w:rsidRPr="00E23AFE">
        <w:t xml:space="preserve">he </w:t>
      </w:r>
      <w:r w:rsidR="00CD43A3" w:rsidRPr="00E23AFE">
        <w:t>personally entered into the</w:t>
      </w:r>
      <w:r w:rsidR="00657DF1" w:rsidRPr="00E23AFE">
        <w:t xml:space="preserve"> truck hire contract with the </w:t>
      </w:r>
      <w:r w:rsidR="00677868" w:rsidRPr="00E23AFE">
        <w:t xml:space="preserve">respondent. </w:t>
      </w:r>
      <w:r w:rsidR="007D74E6">
        <w:t xml:space="preserve">On the other hand, there is nothing in his pleadings to substantiate the nexus between himself and </w:t>
      </w:r>
      <w:proofErr w:type="spellStart"/>
      <w:r w:rsidR="007D74E6">
        <w:t>Earthquip</w:t>
      </w:r>
      <w:proofErr w:type="spellEnd"/>
      <w:r w:rsidR="007D74E6">
        <w:t xml:space="preserve"> and, more critically, between the respondent and </w:t>
      </w:r>
      <w:proofErr w:type="spellStart"/>
      <w:r w:rsidR="007D74E6">
        <w:t>Tarcon</w:t>
      </w:r>
      <w:proofErr w:type="spellEnd"/>
      <w:r w:rsidR="007D74E6">
        <w:t xml:space="preserve"> </w:t>
      </w:r>
      <w:proofErr w:type="spellStart"/>
      <w:r w:rsidR="007D74E6">
        <w:t>Limit</w:t>
      </w:r>
      <w:r w:rsidR="000D05D3">
        <w:t>a</w:t>
      </w:r>
      <w:r w:rsidR="007D74E6">
        <w:t>da</w:t>
      </w:r>
      <w:proofErr w:type="spellEnd"/>
      <w:r w:rsidR="007D74E6">
        <w:t>.</w:t>
      </w:r>
      <w:r w:rsidR="0054060B">
        <w:t xml:space="preserve"> Moreover, notwithstanding his reliance on the stated account, </w:t>
      </w:r>
      <w:r w:rsidR="006916B2">
        <w:t>his</w:t>
      </w:r>
      <w:r w:rsidR="0054060B">
        <w:t xml:space="preserve"> cause of action in respect of the truck hire contract is not separately identified as such and therefore cannot be supported on his own pleadings. Consequently, it is difficult to find fault with the finding by </w:t>
      </w:r>
      <w:r w:rsidR="006916B2">
        <w:t xml:space="preserve">the learned judge below </w:t>
      </w:r>
      <w:r w:rsidR="000D05D3">
        <w:t xml:space="preserve">rejecting </w:t>
      </w:r>
      <w:r w:rsidR="006916B2">
        <w:t>this particular claim.</w:t>
      </w:r>
      <w:r w:rsidR="00107177">
        <w:t xml:space="preserve"> </w:t>
      </w:r>
      <w:r w:rsidR="0079720F">
        <w:t xml:space="preserve">In any event, the appellant’s cause of action and </w:t>
      </w:r>
      <w:r w:rsidR="0079720F">
        <w:rPr>
          <w:i/>
        </w:rPr>
        <w:t xml:space="preserve">locus </w:t>
      </w:r>
      <w:proofErr w:type="spellStart"/>
      <w:r w:rsidR="0079720F">
        <w:rPr>
          <w:i/>
        </w:rPr>
        <w:t>standi</w:t>
      </w:r>
      <w:proofErr w:type="spellEnd"/>
      <w:r w:rsidR="0079720F">
        <w:t xml:space="preserve"> relative to this claim are </w:t>
      </w:r>
      <w:r w:rsidR="0079720F">
        <w:lastRenderedPageBreak/>
        <w:t xml:space="preserve">interrelated issues that should be more clearly determined by the court </w:t>
      </w:r>
      <w:r w:rsidR="0079720F">
        <w:rPr>
          <w:i/>
        </w:rPr>
        <w:t>a quo</w:t>
      </w:r>
      <w:r w:rsidR="0079720F">
        <w:t xml:space="preserve"> at the conclusion of the trial.</w:t>
      </w:r>
    </w:p>
    <w:p w:rsidR="007D74E6" w:rsidRPr="00E23AFE" w:rsidRDefault="007D74E6" w:rsidP="0033339C">
      <w:pPr>
        <w:spacing w:line="480" w:lineRule="auto"/>
        <w:jc w:val="both"/>
      </w:pPr>
    </w:p>
    <w:p w:rsidR="00CE5C2F" w:rsidRPr="00E23AFE" w:rsidRDefault="0037782D" w:rsidP="0033339C">
      <w:pPr>
        <w:spacing w:line="480" w:lineRule="auto"/>
        <w:jc w:val="both"/>
      </w:pPr>
      <w:r w:rsidRPr="00E23AFE">
        <w:rPr>
          <w:b/>
          <w:u w:val="single"/>
        </w:rPr>
        <w:t>DISPOSITION</w:t>
      </w:r>
    </w:p>
    <w:p w:rsidR="0002331C" w:rsidRPr="00E23AFE" w:rsidRDefault="00F2054B" w:rsidP="0033339C">
      <w:pPr>
        <w:spacing w:line="480" w:lineRule="auto"/>
        <w:jc w:val="both"/>
      </w:pPr>
      <w:r w:rsidRPr="00E23AFE">
        <w:tab/>
        <w:t>Having regard to all of the foregoing,</w:t>
      </w:r>
      <w:r w:rsidR="00B03CF2">
        <w:t xml:space="preserve"> </w:t>
      </w:r>
      <w:r w:rsidR="009406FA">
        <w:t xml:space="preserve">but </w:t>
      </w:r>
      <w:r w:rsidR="00B03CF2">
        <w:t>subject to what I have stated above in connection with the truck hire contract,</w:t>
      </w:r>
      <w:r w:rsidRPr="00E23AFE">
        <w:t xml:space="preserve"> </w:t>
      </w:r>
      <w:r w:rsidR="00C207E8" w:rsidRPr="00E23AFE">
        <w:t>it is reasonably clear that the appellant has a valid cause of action</w:t>
      </w:r>
      <w:r w:rsidR="005F53EB" w:rsidRPr="00E23AFE">
        <w:t xml:space="preserve"> </w:t>
      </w:r>
      <w:r w:rsidR="001D4DBB" w:rsidRPr="00E23AFE">
        <w:t>by virtue of</w:t>
      </w:r>
      <w:r w:rsidR="005F53EB" w:rsidRPr="00E23AFE">
        <w:t xml:space="preserve"> the agreed stated account </w:t>
      </w:r>
      <w:r w:rsidR="001D4DBB" w:rsidRPr="00E23AFE">
        <w:t>upon which</w:t>
      </w:r>
      <w:r w:rsidR="005F53EB" w:rsidRPr="00E23AFE">
        <w:t xml:space="preserve"> his claim</w:t>
      </w:r>
      <w:r w:rsidR="00B03CF2">
        <w:t xml:space="preserve"> for salary and allowances</w:t>
      </w:r>
      <w:r w:rsidR="0078183C" w:rsidRPr="00E23AFE">
        <w:t xml:space="preserve"> </w:t>
      </w:r>
      <w:r w:rsidR="00DB5605" w:rsidRPr="00E23AFE">
        <w:t>is predicated</w:t>
      </w:r>
      <w:r w:rsidR="00F33762" w:rsidRPr="00E23AFE">
        <w:t>. Furthermore,</w:t>
      </w:r>
      <w:r w:rsidR="0078183C" w:rsidRPr="00E23AFE">
        <w:t xml:space="preserve"> he is entitled to payment of the amounts claimed</w:t>
      </w:r>
      <w:r w:rsidR="00177F44" w:rsidRPr="00E23AFE">
        <w:t xml:space="preserve"> in the absence of countervail</w:t>
      </w:r>
      <w:r w:rsidR="001C33D1" w:rsidRPr="00E23AFE">
        <w:t>ing evidence</w:t>
      </w:r>
      <w:r w:rsidR="00521DFA" w:rsidRPr="00E23AFE">
        <w:t xml:space="preserve"> </w:t>
      </w:r>
      <w:r w:rsidR="0048208A" w:rsidRPr="00E23AFE">
        <w:t xml:space="preserve">in rebuttal </w:t>
      </w:r>
      <w:r w:rsidR="00521DFA" w:rsidRPr="00E23AFE">
        <w:t>from the respondent</w:t>
      </w:r>
      <w:r w:rsidR="0048208A" w:rsidRPr="00E23AFE">
        <w:t>.</w:t>
      </w:r>
      <w:r w:rsidR="00521DFA" w:rsidRPr="00E23AFE">
        <w:t xml:space="preserve"> It </w:t>
      </w:r>
      <w:r w:rsidR="004C2047" w:rsidRPr="00E23AFE">
        <w:t>follows</w:t>
      </w:r>
      <w:r w:rsidR="00521DFA" w:rsidRPr="00E23AFE">
        <w:t xml:space="preserve"> that the court </w:t>
      </w:r>
      <w:r w:rsidR="00521DFA" w:rsidRPr="00E23AFE">
        <w:rPr>
          <w:i/>
        </w:rPr>
        <w:t>a quo</w:t>
      </w:r>
      <w:r w:rsidR="00521DFA" w:rsidRPr="00E23AFE">
        <w:t xml:space="preserve"> erred in granting absolution from the instance </w:t>
      </w:r>
      <w:r w:rsidR="00B03CF2">
        <w:t xml:space="preserve">in respect of all of the appellant’s claims </w:t>
      </w:r>
      <w:r w:rsidR="00521DFA" w:rsidRPr="00E23AFE">
        <w:t xml:space="preserve">without </w:t>
      </w:r>
      <w:r w:rsidR="00835976" w:rsidRPr="00E23AFE">
        <w:t>putting the respondent to its defence.</w:t>
      </w:r>
    </w:p>
    <w:p w:rsidR="007C7763" w:rsidRPr="00E23AFE" w:rsidRDefault="007C7763" w:rsidP="0033339C">
      <w:pPr>
        <w:jc w:val="both"/>
      </w:pPr>
    </w:p>
    <w:p w:rsidR="008D06B7" w:rsidRPr="00E23AFE" w:rsidRDefault="007C7763" w:rsidP="0033339C">
      <w:pPr>
        <w:spacing w:line="480" w:lineRule="auto"/>
        <w:jc w:val="both"/>
      </w:pPr>
      <w:r w:rsidRPr="00E23AFE">
        <w:tab/>
        <w:t xml:space="preserve">In the result, the appeal is allowed </w:t>
      </w:r>
      <w:r w:rsidR="009B06EE" w:rsidRPr="00E23AFE">
        <w:t>with costs</w:t>
      </w:r>
      <w:r w:rsidR="00513254" w:rsidRPr="00E23AFE">
        <w:t xml:space="preserve"> and it</w:t>
      </w:r>
      <w:r w:rsidR="009B06EE" w:rsidRPr="00E23AFE">
        <w:t xml:space="preserve"> is ordered that</w:t>
      </w:r>
      <w:r w:rsidR="008D06B7" w:rsidRPr="00E23AFE">
        <w:t>:</w:t>
      </w:r>
    </w:p>
    <w:p w:rsidR="00513254" w:rsidRPr="00E23AFE" w:rsidRDefault="00513254" w:rsidP="0033339C">
      <w:pPr>
        <w:jc w:val="both"/>
      </w:pPr>
    </w:p>
    <w:p w:rsidR="007C7763" w:rsidRPr="00E23AFE" w:rsidRDefault="008D06B7" w:rsidP="0033339C">
      <w:pPr>
        <w:spacing w:line="480" w:lineRule="auto"/>
        <w:ind w:left="990" w:hanging="270"/>
        <w:jc w:val="both"/>
      </w:pPr>
      <w:r w:rsidRPr="00E23AFE">
        <w:t>1.</w:t>
      </w:r>
      <w:r w:rsidR="009B06EE" w:rsidRPr="00E23AFE">
        <w:t xml:space="preserve"> </w:t>
      </w:r>
      <w:r w:rsidRPr="00E23AFE">
        <w:t>T</w:t>
      </w:r>
      <w:r w:rsidR="009B06EE" w:rsidRPr="00E23AFE">
        <w:t xml:space="preserve">he judgment of the court </w:t>
      </w:r>
      <w:r w:rsidR="009B06EE" w:rsidRPr="00E23AFE">
        <w:rPr>
          <w:i/>
        </w:rPr>
        <w:t>a quo</w:t>
      </w:r>
      <w:r w:rsidR="009B06EE" w:rsidRPr="00E23AFE">
        <w:t xml:space="preserve"> </w:t>
      </w:r>
      <w:r w:rsidR="00327513" w:rsidRPr="00E23AFE">
        <w:t>be and is hereby set aside and substituted with the following:</w:t>
      </w:r>
    </w:p>
    <w:p w:rsidR="00473663" w:rsidRPr="00E23AFE" w:rsidRDefault="00327513" w:rsidP="0033339C">
      <w:pPr>
        <w:spacing w:line="480" w:lineRule="auto"/>
        <w:ind w:left="1440"/>
        <w:jc w:val="both"/>
      </w:pPr>
      <w:r w:rsidRPr="00E23AFE">
        <w:t xml:space="preserve">“The application for absolution from the instance </w:t>
      </w:r>
      <w:r w:rsidR="001F60B1" w:rsidRPr="00E23AFE">
        <w:t>is dismissed with costs.</w:t>
      </w:r>
      <w:r w:rsidR="00473663" w:rsidRPr="00E23AFE">
        <w:t>”</w:t>
      </w:r>
    </w:p>
    <w:p w:rsidR="0002331C" w:rsidRPr="00E23AFE" w:rsidRDefault="00675935" w:rsidP="0033339C">
      <w:pPr>
        <w:spacing w:line="480" w:lineRule="auto"/>
        <w:ind w:left="990" w:hanging="270"/>
        <w:jc w:val="both"/>
      </w:pPr>
      <w:r w:rsidRPr="00E23AFE">
        <w:t xml:space="preserve">2. </w:t>
      </w:r>
      <w:r w:rsidR="00636EB4" w:rsidRPr="00E23AFE">
        <w:t xml:space="preserve">The matter is remitted to the court </w:t>
      </w:r>
      <w:r w:rsidR="00636EB4" w:rsidRPr="00E23AFE">
        <w:rPr>
          <w:i/>
        </w:rPr>
        <w:t>a quo</w:t>
      </w:r>
      <w:r w:rsidR="00636EB4" w:rsidRPr="00E23AFE">
        <w:t xml:space="preserve"> for continuation of the trial</w:t>
      </w:r>
      <w:r w:rsidR="003137AE" w:rsidRPr="00E23AFE">
        <w:t xml:space="preserve"> in this </w:t>
      </w:r>
      <w:r w:rsidR="0037782D">
        <w:t xml:space="preserve">  </w:t>
      </w:r>
      <w:r w:rsidR="003137AE" w:rsidRPr="00E23AFE">
        <w:t>matter.</w:t>
      </w:r>
    </w:p>
    <w:p w:rsidR="00862102" w:rsidRDefault="00862102" w:rsidP="0033339C">
      <w:pPr>
        <w:jc w:val="both"/>
      </w:pPr>
    </w:p>
    <w:p w:rsidR="00862102" w:rsidRDefault="00862102" w:rsidP="0033339C">
      <w:pPr>
        <w:spacing w:line="480" w:lineRule="auto"/>
        <w:jc w:val="both"/>
      </w:pPr>
    </w:p>
    <w:p w:rsidR="0050064D" w:rsidRDefault="0050064D" w:rsidP="0033339C">
      <w:pPr>
        <w:spacing w:line="480" w:lineRule="auto"/>
        <w:jc w:val="both"/>
      </w:pPr>
      <w:r w:rsidRPr="00E23AFE">
        <w:tab/>
      </w:r>
      <w:r w:rsidR="009E6A9A" w:rsidRPr="0037782D">
        <w:rPr>
          <w:b/>
        </w:rPr>
        <w:t>GWAUNZA JA</w:t>
      </w:r>
      <w:r w:rsidR="00E91792" w:rsidRPr="0037782D">
        <w:rPr>
          <w:b/>
        </w:rPr>
        <w:t>:</w:t>
      </w:r>
      <w:r w:rsidR="00F47370" w:rsidRPr="00E23AFE">
        <w:tab/>
      </w:r>
      <w:r w:rsidR="00E91792" w:rsidRPr="00E23AFE">
        <w:tab/>
        <w:t>I agree.</w:t>
      </w:r>
    </w:p>
    <w:p w:rsidR="0037782D" w:rsidRDefault="0037782D" w:rsidP="0033339C">
      <w:pPr>
        <w:jc w:val="both"/>
      </w:pPr>
    </w:p>
    <w:p w:rsidR="0037782D" w:rsidRPr="00E23AFE" w:rsidRDefault="0037782D" w:rsidP="0033339C">
      <w:pPr>
        <w:spacing w:line="480" w:lineRule="auto"/>
        <w:jc w:val="both"/>
      </w:pPr>
    </w:p>
    <w:p w:rsidR="00D46F42" w:rsidRDefault="00D46F42" w:rsidP="0033339C">
      <w:pPr>
        <w:spacing w:line="480" w:lineRule="auto"/>
        <w:jc w:val="both"/>
      </w:pPr>
      <w:r w:rsidRPr="00E23AFE">
        <w:tab/>
      </w:r>
      <w:r w:rsidR="00441596" w:rsidRPr="0037782D">
        <w:rPr>
          <w:b/>
        </w:rPr>
        <w:t>GOWORA JA</w:t>
      </w:r>
      <w:r w:rsidRPr="0037782D">
        <w:rPr>
          <w:b/>
        </w:rPr>
        <w:t>:</w:t>
      </w:r>
      <w:r w:rsidR="00F47370" w:rsidRPr="00E23AFE">
        <w:tab/>
      </w:r>
      <w:r w:rsidRPr="00E23AFE">
        <w:tab/>
        <w:t>I agree.</w:t>
      </w:r>
    </w:p>
    <w:p w:rsidR="0033339C" w:rsidRDefault="0033339C" w:rsidP="0033339C">
      <w:pPr>
        <w:spacing w:line="360" w:lineRule="auto"/>
        <w:jc w:val="both"/>
        <w:rPr>
          <w:i/>
        </w:rPr>
      </w:pPr>
    </w:p>
    <w:p w:rsidR="0033339C" w:rsidRDefault="0033339C" w:rsidP="0033339C">
      <w:pPr>
        <w:spacing w:line="360" w:lineRule="auto"/>
        <w:jc w:val="both"/>
        <w:rPr>
          <w:i/>
        </w:rPr>
      </w:pPr>
    </w:p>
    <w:p w:rsidR="003E0F83" w:rsidRPr="00E23AFE" w:rsidRDefault="004A4079" w:rsidP="0033339C">
      <w:pPr>
        <w:spacing w:line="360" w:lineRule="auto"/>
        <w:jc w:val="both"/>
      </w:pPr>
      <w:proofErr w:type="spellStart"/>
      <w:r w:rsidRPr="00E23AFE">
        <w:rPr>
          <w:i/>
        </w:rPr>
        <w:t>Wintertons</w:t>
      </w:r>
      <w:proofErr w:type="spellEnd"/>
      <w:r w:rsidR="00F1235E" w:rsidRPr="00E23AFE">
        <w:t xml:space="preserve">, appellant’s </w:t>
      </w:r>
      <w:r w:rsidR="00F7784D" w:rsidRPr="00E23AFE">
        <w:t>l</w:t>
      </w:r>
      <w:r w:rsidR="00F1235E" w:rsidRPr="00E23AFE">
        <w:t xml:space="preserve">egal </w:t>
      </w:r>
      <w:r w:rsidR="00F7784D" w:rsidRPr="00E23AFE">
        <w:t>p</w:t>
      </w:r>
      <w:r w:rsidR="00F1235E" w:rsidRPr="00E23AFE">
        <w:t>ractitioners</w:t>
      </w:r>
    </w:p>
    <w:p w:rsidR="003E0F83" w:rsidRPr="00E23AFE" w:rsidRDefault="004A4079" w:rsidP="0033339C">
      <w:pPr>
        <w:spacing w:line="360" w:lineRule="auto"/>
        <w:jc w:val="both"/>
      </w:pPr>
      <w:proofErr w:type="spellStart"/>
      <w:r w:rsidRPr="00E23AFE">
        <w:rPr>
          <w:i/>
        </w:rPr>
        <w:t>Ziumbe</w:t>
      </w:r>
      <w:proofErr w:type="spellEnd"/>
      <w:r w:rsidRPr="00E23AFE">
        <w:rPr>
          <w:i/>
        </w:rPr>
        <w:t xml:space="preserve"> &amp; Partne</w:t>
      </w:r>
      <w:bookmarkStart w:id="0" w:name="_GoBack"/>
      <w:bookmarkEnd w:id="0"/>
      <w:r w:rsidRPr="00E23AFE">
        <w:rPr>
          <w:i/>
        </w:rPr>
        <w:t>rs</w:t>
      </w:r>
      <w:r w:rsidR="00E81D67" w:rsidRPr="00E23AFE">
        <w:t xml:space="preserve">, respondent’s </w:t>
      </w:r>
      <w:r w:rsidR="00F7784D" w:rsidRPr="00E23AFE">
        <w:t>l</w:t>
      </w:r>
      <w:r w:rsidR="00E81D67" w:rsidRPr="00E23AFE">
        <w:t xml:space="preserve">egal </w:t>
      </w:r>
      <w:r w:rsidR="00F7784D" w:rsidRPr="00E23AFE">
        <w:t>p</w:t>
      </w:r>
      <w:r w:rsidR="00E81D67" w:rsidRPr="00E23AFE">
        <w:t>ractitioners</w:t>
      </w:r>
      <w:r w:rsidR="00A73D93">
        <w:t xml:space="preserve"> </w:t>
      </w:r>
    </w:p>
    <w:sectPr w:rsidR="003E0F83" w:rsidRPr="00E23AFE">
      <w:headerReference w:type="even" r:id="rId7"/>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6088" w:rsidRDefault="001B6088">
      <w:r>
        <w:separator/>
      </w:r>
    </w:p>
  </w:endnote>
  <w:endnote w:type="continuationSeparator" w:id="0">
    <w:p w:rsidR="001B6088" w:rsidRDefault="001B6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6088" w:rsidRDefault="001B6088">
      <w:r>
        <w:separator/>
      </w:r>
    </w:p>
  </w:footnote>
  <w:footnote w:type="continuationSeparator" w:id="0">
    <w:p w:rsidR="001B6088" w:rsidRDefault="001B60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22C4" w:rsidRDefault="00F622C4" w:rsidP="001F6C7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622C4" w:rsidRDefault="00F622C4" w:rsidP="007777D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7704"/>
      <w:gridCol w:w="1152"/>
    </w:tblGrid>
    <w:tr w:rsidR="00187752">
      <w:tc>
        <w:tcPr>
          <w:tcW w:w="0" w:type="auto"/>
          <w:tcBorders>
            <w:right w:val="single" w:sz="6" w:space="0" w:color="000000" w:themeColor="text1"/>
          </w:tcBorders>
        </w:tcPr>
        <w:sdt>
          <w:sdtPr>
            <w:alias w:val="Company"/>
            <w:id w:val="78735422"/>
            <w:placeholder>
              <w:docPart w:val="57D28899B0324162844ED1A4B4EC3F3E"/>
            </w:placeholder>
            <w:dataBinding w:prefixMappings="xmlns:ns0='http://schemas.openxmlformats.org/officeDocument/2006/extended-properties'" w:xpath="/ns0:Properties[1]/ns0:Company[1]" w:storeItemID="{6668398D-A668-4E3E-A5EB-62B293D839F1}"/>
            <w:text/>
          </w:sdtPr>
          <w:sdtEndPr/>
          <w:sdtContent>
            <w:p w:rsidR="00187752" w:rsidRDefault="00187752">
              <w:pPr>
                <w:pStyle w:val="Header"/>
                <w:jc w:val="right"/>
              </w:pPr>
              <w:r>
                <w:t>Judgment No SC 49/14</w:t>
              </w:r>
            </w:p>
          </w:sdtContent>
        </w:sdt>
        <w:sdt>
          <w:sdtPr>
            <w:rPr>
              <w:b/>
              <w:bCs/>
            </w:rPr>
            <w:alias w:val="Title"/>
            <w:id w:val="78735415"/>
            <w:placeholder>
              <w:docPart w:val="237D78756040498AB0EA83EAB213DCDB"/>
            </w:placeholder>
            <w:dataBinding w:prefixMappings="xmlns:ns0='http://schemas.openxmlformats.org/package/2006/metadata/core-properties' xmlns:ns1='http://purl.org/dc/elements/1.1/'" w:xpath="/ns0:coreProperties[1]/ns1:title[1]" w:storeItemID="{6C3C8BC8-F283-45AE-878A-BAB7291924A1}"/>
            <w:text/>
          </w:sdtPr>
          <w:sdtEndPr/>
          <w:sdtContent>
            <w:p w:rsidR="00187752" w:rsidRDefault="00187752" w:rsidP="00187752">
              <w:pPr>
                <w:pStyle w:val="Header"/>
                <w:jc w:val="right"/>
                <w:rPr>
                  <w:b/>
                  <w:bCs/>
                </w:rPr>
              </w:pPr>
              <w:r>
                <w:rPr>
                  <w:b/>
                  <w:bCs/>
                </w:rPr>
                <w:t>Civil Appeal No SC 32/13</w:t>
              </w:r>
            </w:p>
          </w:sdtContent>
        </w:sdt>
      </w:tc>
      <w:tc>
        <w:tcPr>
          <w:tcW w:w="1152" w:type="dxa"/>
          <w:tcBorders>
            <w:left w:val="single" w:sz="6" w:space="0" w:color="000000" w:themeColor="text1"/>
          </w:tcBorders>
        </w:tcPr>
        <w:p w:rsidR="00187752" w:rsidRDefault="00187752">
          <w:pPr>
            <w:pStyle w:val="Header"/>
            <w:rPr>
              <w:b/>
              <w:bCs/>
            </w:rPr>
          </w:pPr>
          <w:r>
            <w:fldChar w:fldCharType="begin"/>
          </w:r>
          <w:r>
            <w:instrText xml:space="preserve"> PAGE   \* MERGEFORMAT </w:instrText>
          </w:r>
          <w:r>
            <w:fldChar w:fldCharType="separate"/>
          </w:r>
          <w:r w:rsidR="0033339C">
            <w:rPr>
              <w:noProof/>
            </w:rPr>
            <w:t>8</w:t>
          </w:r>
          <w:r>
            <w:rPr>
              <w:noProof/>
            </w:rPr>
            <w:fldChar w:fldCharType="end"/>
          </w:r>
        </w:p>
      </w:tc>
    </w:tr>
  </w:tbl>
  <w:p w:rsidR="00F622C4" w:rsidRPr="00E23AFE" w:rsidRDefault="00F622C4" w:rsidP="00386038">
    <w:pPr>
      <w:pStyle w:val="Header"/>
      <w:jc w:val="right"/>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9CC"/>
    <w:rsid w:val="00021D0C"/>
    <w:rsid w:val="0002331C"/>
    <w:rsid w:val="00025561"/>
    <w:rsid w:val="00033D33"/>
    <w:rsid w:val="000362A4"/>
    <w:rsid w:val="00056B61"/>
    <w:rsid w:val="00060771"/>
    <w:rsid w:val="00087680"/>
    <w:rsid w:val="00090D46"/>
    <w:rsid w:val="000A3AA3"/>
    <w:rsid w:val="000D05D3"/>
    <w:rsid w:val="000F26ED"/>
    <w:rsid w:val="000F3D21"/>
    <w:rsid w:val="000F7563"/>
    <w:rsid w:val="00107177"/>
    <w:rsid w:val="001225D5"/>
    <w:rsid w:val="00135615"/>
    <w:rsid w:val="00135E40"/>
    <w:rsid w:val="001436F8"/>
    <w:rsid w:val="001512ED"/>
    <w:rsid w:val="00167C51"/>
    <w:rsid w:val="001706F4"/>
    <w:rsid w:val="00177F44"/>
    <w:rsid w:val="00181F71"/>
    <w:rsid w:val="001822C1"/>
    <w:rsid w:val="0018234B"/>
    <w:rsid w:val="001869AD"/>
    <w:rsid w:val="00187752"/>
    <w:rsid w:val="00195658"/>
    <w:rsid w:val="001A6280"/>
    <w:rsid w:val="001B5983"/>
    <w:rsid w:val="001B6088"/>
    <w:rsid w:val="001C33D1"/>
    <w:rsid w:val="001C41C2"/>
    <w:rsid w:val="001D0FCC"/>
    <w:rsid w:val="001D4DBB"/>
    <w:rsid w:val="001E245B"/>
    <w:rsid w:val="001F60B1"/>
    <w:rsid w:val="001F6C7E"/>
    <w:rsid w:val="0021071C"/>
    <w:rsid w:val="00220144"/>
    <w:rsid w:val="0022296D"/>
    <w:rsid w:val="00222E01"/>
    <w:rsid w:val="00222F74"/>
    <w:rsid w:val="0023429C"/>
    <w:rsid w:val="0024564A"/>
    <w:rsid w:val="0024658F"/>
    <w:rsid w:val="00250283"/>
    <w:rsid w:val="00260F8E"/>
    <w:rsid w:val="00261089"/>
    <w:rsid w:val="00272765"/>
    <w:rsid w:val="00273E40"/>
    <w:rsid w:val="00275440"/>
    <w:rsid w:val="0028410E"/>
    <w:rsid w:val="00284B7A"/>
    <w:rsid w:val="00285C9D"/>
    <w:rsid w:val="002B4A95"/>
    <w:rsid w:val="002C658E"/>
    <w:rsid w:val="002C6CC4"/>
    <w:rsid w:val="002C737A"/>
    <w:rsid w:val="002D0DAD"/>
    <w:rsid w:val="002E01D7"/>
    <w:rsid w:val="002E1091"/>
    <w:rsid w:val="002E55C5"/>
    <w:rsid w:val="002E668B"/>
    <w:rsid w:val="002F3969"/>
    <w:rsid w:val="00303C1C"/>
    <w:rsid w:val="003137AE"/>
    <w:rsid w:val="003201FD"/>
    <w:rsid w:val="003235C5"/>
    <w:rsid w:val="00323D73"/>
    <w:rsid w:val="00327513"/>
    <w:rsid w:val="0033339C"/>
    <w:rsid w:val="00333540"/>
    <w:rsid w:val="00345D30"/>
    <w:rsid w:val="00351700"/>
    <w:rsid w:val="00363582"/>
    <w:rsid w:val="0036480E"/>
    <w:rsid w:val="003666EF"/>
    <w:rsid w:val="00371D05"/>
    <w:rsid w:val="0037782D"/>
    <w:rsid w:val="00381AC4"/>
    <w:rsid w:val="00383032"/>
    <w:rsid w:val="00386038"/>
    <w:rsid w:val="00387D6D"/>
    <w:rsid w:val="003B3BC7"/>
    <w:rsid w:val="003B56AD"/>
    <w:rsid w:val="003B7E4F"/>
    <w:rsid w:val="003C275E"/>
    <w:rsid w:val="003D0F53"/>
    <w:rsid w:val="003E0F83"/>
    <w:rsid w:val="003E2866"/>
    <w:rsid w:val="003E2B2D"/>
    <w:rsid w:val="003E5C57"/>
    <w:rsid w:val="003F509F"/>
    <w:rsid w:val="004006B3"/>
    <w:rsid w:val="00410B1D"/>
    <w:rsid w:val="0041220F"/>
    <w:rsid w:val="00412229"/>
    <w:rsid w:val="00416D42"/>
    <w:rsid w:val="0042578E"/>
    <w:rsid w:val="00441596"/>
    <w:rsid w:val="00452F01"/>
    <w:rsid w:val="00455CA8"/>
    <w:rsid w:val="00455DF5"/>
    <w:rsid w:val="00461D6D"/>
    <w:rsid w:val="00463816"/>
    <w:rsid w:val="00473663"/>
    <w:rsid w:val="00476D19"/>
    <w:rsid w:val="00477BEF"/>
    <w:rsid w:val="00481B9B"/>
    <w:rsid w:val="0048208A"/>
    <w:rsid w:val="00482B9E"/>
    <w:rsid w:val="004A0853"/>
    <w:rsid w:val="004A223D"/>
    <w:rsid w:val="004A4079"/>
    <w:rsid w:val="004B026E"/>
    <w:rsid w:val="004B5456"/>
    <w:rsid w:val="004C2047"/>
    <w:rsid w:val="004D17B7"/>
    <w:rsid w:val="004E051A"/>
    <w:rsid w:val="004E50A9"/>
    <w:rsid w:val="004E697B"/>
    <w:rsid w:val="004F013B"/>
    <w:rsid w:val="004F020F"/>
    <w:rsid w:val="0050064D"/>
    <w:rsid w:val="0050790F"/>
    <w:rsid w:val="00513254"/>
    <w:rsid w:val="00521DFA"/>
    <w:rsid w:val="00525875"/>
    <w:rsid w:val="00531A1D"/>
    <w:rsid w:val="005324F0"/>
    <w:rsid w:val="0054060B"/>
    <w:rsid w:val="0054261B"/>
    <w:rsid w:val="00587D0B"/>
    <w:rsid w:val="00591056"/>
    <w:rsid w:val="00591153"/>
    <w:rsid w:val="005A10B0"/>
    <w:rsid w:val="005B4B6C"/>
    <w:rsid w:val="005C0050"/>
    <w:rsid w:val="005C6D91"/>
    <w:rsid w:val="005E0510"/>
    <w:rsid w:val="005E4C64"/>
    <w:rsid w:val="005E5472"/>
    <w:rsid w:val="005E7355"/>
    <w:rsid w:val="005F4481"/>
    <w:rsid w:val="005F53EB"/>
    <w:rsid w:val="006003C8"/>
    <w:rsid w:val="00601684"/>
    <w:rsid w:val="006031EB"/>
    <w:rsid w:val="006267A4"/>
    <w:rsid w:val="00626D8E"/>
    <w:rsid w:val="00634739"/>
    <w:rsid w:val="00636EB4"/>
    <w:rsid w:val="00652A93"/>
    <w:rsid w:val="00657778"/>
    <w:rsid w:val="00657DF1"/>
    <w:rsid w:val="00673C2A"/>
    <w:rsid w:val="00675935"/>
    <w:rsid w:val="00677868"/>
    <w:rsid w:val="006916B2"/>
    <w:rsid w:val="006A0741"/>
    <w:rsid w:val="006B105E"/>
    <w:rsid w:val="006B2955"/>
    <w:rsid w:val="006B6A7C"/>
    <w:rsid w:val="006B7B5C"/>
    <w:rsid w:val="006C25F6"/>
    <w:rsid w:val="006C31AC"/>
    <w:rsid w:val="006C4E70"/>
    <w:rsid w:val="006D74E6"/>
    <w:rsid w:val="006E0951"/>
    <w:rsid w:val="006E4428"/>
    <w:rsid w:val="006E5D54"/>
    <w:rsid w:val="006F26A7"/>
    <w:rsid w:val="006F3BBA"/>
    <w:rsid w:val="006F70FF"/>
    <w:rsid w:val="00730E97"/>
    <w:rsid w:val="00735D0E"/>
    <w:rsid w:val="0073740D"/>
    <w:rsid w:val="00737C16"/>
    <w:rsid w:val="0074109F"/>
    <w:rsid w:val="00741128"/>
    <w:rsid w:val="00756C6D"/>
    <w:rsid w:val="00766D27"/>
    <w:rsid w:val="007777DD"/>
    <w:rsid w:val="007779BA"/>
    <w:rsid w:val="0078183C"/>
    <w:rsid w:val="0079720F"/>
    <w:rsid w:val="007A030C"/>
    <w:rsid w:val="007B4988"/>
    <w:rsid w:val="007B651B"/>
    <w:rsid w:val="007C0DFA"/>
    <w:rsid w:val="007C523B"/>
    <w:rsid w:val="007C7763"/>
    <w:rsid w:val="007D74E6"/>
    <w:rsid w:val="007E6B11"/>
    <w:rsid w:val="007F0D85"/>
    <w:rsid w:val="007F482E"/>
    <w:rsid w:val="00801762"/>
    <w:rsid w:val="00804B17"/>
    <w:rsid w:val="00806D55"/>
    <w:rsid w:val="0081395F"/>
    <w:rsid w:val="00815096"/>
    <w:rsid w:val="00816894"/>
    <w:rsid w:val="00835976"/>
    <w:rsid w:val="00835F62"/>
    <w:rsid w:val="00837726"/>
    <w:rsid w:val="008547D6"/>
    <w:rsid w:val="0086072E"/>
    <w:rsid w:val="00862102"/>
    <w:rsid w:val="00863DD0"/>
    <w:rsid w:val="00874C13"/>
    <w:rsid w:val="0088005D"/>
    <w:rsid w:val="008A33DD"/>
    <w:rsid w:val="008A53DD"/>
    <w:rsid w:val="008B0748"/>
    <w:rsid w:val="008B14E4"/>
    <w:rsid w:val="008B6CE4"/>
    <w:rsid w:val="008B780C"/>
    <w:rsid w:val="008D06B7"/>
    <w:rsid w:val="008E0492"/>
    <w:rsid w:val="008E35CA"/>
    <w:rsid w:val="008E3E30"/>
    <w:rsid w:val="008F55ED"/>
    <w:rsid w:val="00902AA3"/>
    <w:rsid w:val="00912E63"/>
    <w:rsid w:val="00913076"/>
    <w:rsid w:val="00916707"/>
    <w:rsid w:val="00934D3C"/>
    <w:rsid w:val="009406FA"/>
    <w:rsid w:val="00944B8C"/>
    <w:rsid w:val="009558BB"/>
    <w:rsid w:val="009567DD"/>
    <w:rsid w:val="009570E4"/>
    <w:rsid w:val="0096406B"/>
    <w:rsid w:val="009739C8"/>
    <w:rsid w:val="00982023"/>
    <w:rsid w:val="0099082B"/>
    <w:rsid w:val="009B06EE"/>
    <w:rsid w:val="009B6DD2"/>
    <w:rsid w:val="009C362B"/>
    <w:rsid w:val="009C7FA3"/>
    <w:rsid w:val="009D33AA"/>
    <w:rsid w:val="009D5074"/>
    <w:rsid w:val="009D728C"/>
    <w:rsid w:val="009E0B7D"/>
    <w:rsid w:val="009E6A9A"/>
    <w:rsid w:val="009F021F"/>
    <w:rsid w:val="009F24DF"/>
    <w:rsid w:val="009F47AA"/>
    <w:rsid w:val="00A00250"/>
    <w:rsid w:val="00A134DA"/>
    <w:rsid w:val="00A2597B"/>
    <w:rsid w:val="00A27527"/>
    <w:rsid w:val="00A41AAD"/>
    <w:rsid w:val="00A41BC1"/>
    <w:rsid w:val="00A510A8"/>
    <w:rsid w:val="00A575D2"/>
    <w:rsid w:val="00A60198"/>
    <w:rsid w:val="00A73CE0"/>
    <w:rsid w:val="00A73D93"/>
    <w:rsid w:val="00A74A70"/>
    <w:rsid w:val="00A96DF0"/>
    <w:rsid w:val="00AA374B"/>
    <w:rsid w:val="00AA4280"/>
    <w:rsid w:val="00AA48A2"/>
    <w:rsid w:val="00AB33B3"/>
    <w:rsid w:val="00AB507D"/>
    <w:rsid w:val="00AB513B"/>
    <w:rsid w:val="00AD1A56"/>
    <w:rsid w:val="00AD6333"/>
    <w:rsid w:val="00AD68FE"/>
    <w:rsid w:val="00AE1E17"/>
    <w:rsid w:val="00AF031A"/>
    <w:rsid w:val="00AF48D9"/>
    <w:rsid w:val="00AF674D"/>
    <w:rsid w:val="00B00956"/>
    <w:rsid w:val="00B03CF2"/>
    <w:rsid w:val="00B0636E"/>
    <w:rsid w:val="00B30AE0"/>
    <w:rsid w:val="00B30D81"/>
    <w:rsid w:val="00B34881"/>
    <w:rsid w:val="00B4433E"/>
    <w:rsid w:val="00B54444"/>
    <w:rsid w:val="00B5574C"/>
    <w:rsid w:val="00B71758"/>
    <w:rsid w:val="00B74196"/>
    <w:rsid w:val="00B763ED"/>
    <w:rsid w:val="00BA60DD"/>
    <w:rsid w:val="00BB6C6E"/>
    <w:rsid w:val="00BC7DFF"/>
    <w:rsid w:val="00BD2BC3"/>
    <w:rsid w:val="00BD3A9C"/>
    <w:rsid w:val="00BE1D4E"/>
    <w:rsid w:val="00BF600F"/>
    <w:rsid w:val="00C040D1"/>
    <w:rsid w:val="00C076D2"/>
    <w:rsid w:val="00C207E8"/>
    <w:rsid w:val="00C2306A"/>
    <w:rsid w:val="00C25ABA"/>
    <w:rsid w:val="00C27C63"/>
    <w:rsid w:val="00C371D4"/>
    <w:rsid w:val="00C47637"/>
    <w:rsid w:val="00C601FE"/>
    <w:rsid w:val="00C64AA5"/>
    <w:rsid w:val="00C810BE"/>
    <w:rsid w:val="00C83424"/>
    <w:rsid w:val="00C91FF3"/>
    <w:rsid w:val="00C941B7"/>
    <w:rsid w:val="00CA0596"/>
    <w:rsid w:val="00CB2A28"/>
    <w:rsid w:val="00CB42EB"/>
    <w:rsid w:val="00CC34E1"/>
    <w:rsid w:val="00CD43A3"/>
    <w:rsid w:val="00CE0AE8"/>
    <w:rsid w:val="00CE2780"/>
    <w:rsid w:val="00CE5C2F"/>
    <w:rsid w:val="00CF23E0"/>
    <w:rsid w:val="00D21486"/>
    <w:rsid w:val="00D36423"/>
    <w:rsid w:val="00D46F42"/>
    <w:rsid w:val="00D5441C"/>
    <w:rsid w:val="00D60394"/>
    <w:rsid w:val="00D60A86"/>
    <w:rsid w:val="00D611D0"/>
    <w:rsid w:val="00D7375A"/>
    <w:rsid w:val="00D827D5"/>
    <w:rsid w:val="00D86E76"/>
    <w:rsid w:val="00D94700"/>
    <w:rsid w:val="00DB2839"/>
    <w:rsid w:val="00DB2903"/>
    <w:rsid w:val="00DB5605"/>
    <w:rsid w:val="00DC6F90"/>
    <w:rsid w:val="00DD4819"/>
    <w:rsid w:val="00DF3C30"/>
    <w:rsid w:val="00E12D36"/>
    <w:rsid w:val="00E12E86"/>
    <w:rsid w:val="00E23AFE"/>
    <w:rsid w:val="00E276B6"/>
    <w:rsid w:val="00E404FC"/>
    <w:rsid w:val="00E45425"/>
    <w:rsid w:val="00E53B32"/>
    <w:rsid w:val="00E6128A"/>
    <w:rsid w:val="00E74FEB"/>
    <w:rsid w:val="00E81D67"/>
    <w:rsid w:val="00E829E0"/>
    <w:rsid w:val="00E915D8"/>
    <w:rsid w:val="00E91792"/>
    <w:rsid w:val="00E972C9"/>
    <w:rsid w:val="00EA5A96"/>
    <w:rsid w:val="00EB1492"/>
    <w:rsid w:val="00EB5181"/>
    <w:rsid w:val="00EC56E4"/>
    <w:rsid w:val="00ED4DC9"/>
    <w:rsid w:val="00F01850"/>
    <w:rsid w:val="00F03ED1"/>
    <w:rsid w:val="00F121EB"/>
    <w:rsid w:val="00F1235E"/>
    <w:rsid w:val="00F2054B"/>
    <w:rsid w:val="00F21939"/>
    <w:rsid w:val="00F22CBE"/>
    <w:rsid w:val="00F33762"/>
    <w:rsid w:val="00F3743C"/>
    <w:rsid w:val="00F450A4"/>
    <w:rsid w:val="00F47370"/>
    <w:rsid w:val="00F57FA8"/>
    <w:rsid w:val="00F61CAD"/>
    <w:rsid w:val="00F622C4"/>
    <w:rsid w:val="00F662AD"/>
    <w:rsid w:val="00F701E5"/>
    <w:rsid w:val="00F71B91"/>
    <w:rsid w:val="00F7784D"/>
    <w:rsid w:val="00F905A6"/>
    <w:rsid w:val="00FA5C75"/>
    <w:rsid w:val="00FC6D37"/>
    <w:rsid w:val="00FC7224"/>
    <w:rsid w:val="00FD34EA"/>
    <w:rsid w:val="00FD69CC"/>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ZW" w:eastAsia="en-Z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26A7"/>
    <w:pPr>
      <w:tabs>
        <w:tab w:val="center" w:pos="4320"/>
        <w:tab w:val="right" w:pos="8640"/>
      </w:tabs>
    </w:pPr>
  </w:style>
  <w:style w:type="paragraph" w:styleId="Footer">
    <w:name w:val="footer"/>
    <w:basedOn w:val="Normal"/>
    <w:rsid w:val="006F26A7"/>
    <w:pPr>
      <w:tabs>
        <w:tab w:val="center" w:pos="4320"/>
        <w:tab w:val="right" w:pos="8640"/>
      </w:tabs>
    </w:pPr>
  </w:style>
  <w:style w:type="character" w:styleId="PageNumber">
    <w:name w:val="page number"/>
    <w:basedOn w:val="DefaultParagraphFont"/>
    <w:rsid w:val="007777DD"/>
  </w:style>
  <w:style w:type="paragraph" w:styleId="BalloonText">
    <w:name w:val="Balloon Text"/>
    <w:basedOn w:val="Normal"/>
    <w:link w:val="BalloonTextChar"/>
    <w:rsid w:val="00862102"/>
    <w:rPr>
      <w:rFonts w:ascii="Tahoma" w:hAnsi="Tahoma" w:cs="Tahoma"/>
      <w:sz w:val="16"/>
      <w:szCs w:val="16"/>
    </w:rPr>
  </w:style>
  <w:style w:type="character" w:customStyle="1" w:styleId="BalloonTextChar">
    <w:name w:val="Balloon Text Char"/>
    <w:link w:val="BalloonText"/>
    <w:rsid w:val="00862102"/>
    <w:rPr>
      <w:rFonts w:ascii="Tahoma" w:hAnsi="Tahoma" w:cs="Tahoma"/>
      <w:sz w:val="16"/>
      <w:szCs w:val="16"/>
      <w:lang w:val="en-GB" w:eastAsia="en-US"/>
    </w:rPr>
  </w:style>
  <w:style w:type="character" w:customStyle="1" w:styleId="HeaderChar">
    <w:name w:val="Header Char"/>
    <w:basedOn w:val="DefaultParagraphFont"/>
    <w:link w:val="Header"/>
    <w:uiPriority w:val="99"/>
    <w:rsid w:val="00187752"/>
    <w:rPr>
      <w:sz w:val="24"/>
      <w:szCs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ZW" w:eastAsia="en-Z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26A7"/>
    <w:pPr>
      <w:tabs>
        <w:tab w:val="center" w:pos="4320"/>
        <w:tab w:val="right" w:pos="8640"/>
      </w:tabs>
    </w:pPr>
  </w:style>
  <w:style w:type="paragraph" w:styleId="Footer">
    <w:name w:val="footer"/>
    <w:basedOn w:val="Normal"/>
    <w:rsid w:val="006F26A7"/>
    <w:pPr>
      <w:tabs>
        <w:tab w:val="center" w:pos="4320"/>
        <w:tab w:val="right" w:pos="8640"/>
      </w:tabs>
    </w:pPr>
  </w:style>
  <w:style w:type="character" w:styleId="PageNumber">
    <w:name w:val="page number"/>
    <w:basedOn w:val="DefaultParagraphFont"/>
    <w:rsid w:val="007777DD"/>
  </w:style>
  <w:style w:type="paragraph" w:styleId="BalloonText">
    <w:name w:val="Balloon Text"/>
    <w:basedOn w:val="Normal"/>
    <w:link w:val="BalloonTextChar"/>
    <w:rsid w:val="00862102"/>
    <w:rPr>
      <w:rFonts w:ascii="Tahoma" w:hAnsi="Tahoma" w:cs="Tahoma"/>
      <w:sz w:val="16"/>
      <w:szCs w:val="16"/>
    </w:rPr>
  </w:style>
  <w:style w:type="character" w:customStyle="1" w:styleId="BalloonTextChar">
    <w:name w:val="Balloon Text Char"/>
    <w:link w:val="BalloonText"/>
    <w:rsid w:val="00862102"/>
    <w:rPr>
      <w:rFonts w:ascii="Tahoma" w:hAnsi="Tahoma" w:cs="Tahoma"/>
      <w:sz w:val="16"/>
      <w:szCs w:val="16"/>
      <w:lang w:val="en-GB" w:eastAsia="en-US"/>
    </w:rPr>
  </w:style>
  <w:style w:type="character" w:customStyle="1" w:styleId="HeaderChar">
    <w:name w:val="Header Char"/>
    <w:basedOn w:val="DefaultParagraphFont"/>
    <w:link w:val="Header"/>
    <w:uiPriority w:val="99"/>
    <w:rsid w:val="00187752"/>
    <w:rPr>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My%20Documents\BP\ZSC%202014\ZZ%20Template.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7D28899B0324162844ED1A4B4EC3F3E"/>
        <w:category>
          <w:name w:val="General"/>
          <w:gallery w:val="placeholder"/>
        </w:category>
        <w:types>
          <w:type w:val="bbPlcHdr"/>
        </w:types>
        <w:behaviors>
          <w:behavior w:val="content"/>
        </w:behaviors>
        <w:guid w:val="{96FC3B4D-0ADA-4689-AA5D-18886E7C0AA1}"/>
      </w:docPartPr>
      <w:docPartBody>
        <w:p w:rsidR="004F02C5" w:rsidRDefault="007F7824" w:rsidP="007F7824">
          <w:pPr>
            <w:pStyle w:val="57D28899B0324162844ED1A4B4EC3F3E"/>
          </w:pPr>
          <w:r>
            <w:t>[Type the company name]</w:t>
          </w:r>
        </w:p>
      </w:docPartBody>
    </w:docPart>
    <w:docPart>
      <w:docPartPr>
        <w:name w:val="237D78756040498AB0EA83EAB213DCDB"/>
        <w:category>
          <w:name w:val="General"/>
          <w:gallery w:val="placeholder"/>
        </w:category>
        <w:types>
          <w:type w:val="bbPlcHdr"/>
        </w:types>
        <w:behaviors>
          <w:behavior w:val="content"/>
        </w:behaviors>
        <w:guid w:val="{9726C3C5-A1B4-489B-B127-6B05DA99D236}"/>
      </w:docPartPr>
      <w:docPartBody>
        <w:p w:rsidR="004F02C5" w:rsidRDefault="007F7824" w:rsidP="007F7824">
          <w:pPr>
            <w:pStyle w:val="237D78756040498AB0EA83EAB213DCDB"/>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824"/>
    <w:rsid w:val="003F6297"/>
    <w:rsid w:val="004F02C5"/>
    <w:rsid w:val="007F7824"/>
    <w:rsid w:val="00DF20BF"/>
    <w:rsid w:val="00E76EEC"/>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2E5A5F79DE4AADB863747BE11424FC">
    <w:name w:val="F02E5A5F79DE4AADB863747BE11424FC"/>
    <w:rsid w:val="007F7824"/>
  </w:style>
  <w:style w:type="paragraph" w:customStyle="1" w:styleId="D85A55EBA7E8430F8F936FBBE114AE24">
    <w:name w:val="D85A55EBA7E8430F8F936FBBE114AE24"/>
    <w:rsid w:val="007F7824"/>
  </w:style>
  <w:style w:type="paragraph" w:customStyle="1" w:styleId="57D28899B0324162844ED1A4B4EC3F3E">
    <w:name w:val="57D28899B0324162844ED1A4B4EC3F3E"/>
    <w:rsid w:val="007F7824"/>
  </w:style>
  <w:style w:type="paragraph" w:customStyle="1" w:styleId="237D78756040498AB0EA83EAB213DCDB">
    <w:name w:val="237D78756040498AB0EA83EAB213DCDB"/>
    <w:rsid w:val="007F782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2E5A5F79DE4AADB863747BE11424FC">
    <w:name w:val="F02E5A5F79DE4AADB863747BE11424FC"/>
    <w:rsid w:val="007F7824"/>
  </w:style>
  <w:style w:type="paragraph" w:customStyle="1" w:styleId="D85A55EBA7E8430F8F936FBBE114AE24">
    <w:name w:val="D85A55EBA7E8430F8F936FBBE114AE24"/>
    <w:rsid w:val="007F7824"/>
  </w:style>
  <w:style w:type="paragraph" w:customStyle="1" w:styleId="57D28899B0324162844ED1A4B4EC3F3E">
    <w:name w:val="57D28899B0324162844ED1A4B4EC3F3E"/>
    <w:rsid w:val="007F7824"/>
  </w:style>
  <w:style w:type="paragraph" w:customStyle="1" w:styleId="237D78756040498AB0EA83EAB213DCDB">
    <w:name w:val="237D78756040498AB0EA83EAB213DCDB"/>
    <w:rsid w:val="007F78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ZZ Template</Template>
  <TotalTime>4</TotalTime>
  <Pages>8</Pages>
  <Words>1602</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Civil Appeal No SC 32/13</vt:lpstr>
    </vt:vector>
  </TitlesOfParts>
  <Company>Judgment No SC 49/14</Company>
  <LinksUpToDate>false</LinksUpToDate>
  <CharactersWithSpaces>10719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32/13</dc:title>
  <dc:creator>rbz</dc:creator>
  <cp:lastModifiedBy>judge</cp:lastModifiedBy>
  <cp:revision>3</cp:revision>
  <cp:lastPrinted>2014-07-01T09:22:00Z</cp:lastPrinted>
  <dcterms:created xsi:type="dcterms:W3CDTF">2014-07-01T09:33:00Z</dcterms:created>
  <dcterms:modified xsi:type="dcterms:W3CDTF">2014-07-10T12:43:00Z</dcterms:modified>
</cp:coreProperties>
</file>