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5F" w:rsidRPr="00B52A94" w:rsidRDefault="006540D0" w:rsidP="00693166">
      <w:pPr>
        <w:spacing w:after="0" w:line="480" w:lineRule="auto"/>
        <w:jc w:val="both"/>
        <w:rPr>
          <w:rFonts w:ascii="Times New Roman" w:hAnsi="Times New Roman" w:cs="Times New Roman"/>
          <w:b/>
          <w:sz w:val="24"/>
          <w:szCs w:val="24"/>
          <w:lang w:val="en-ZW"/>
        </w:rPr>
      </w:pPr>
      <w:bookmarkStart w:id="0" w:name="_GoBack"/>
      <w:bookmarkEnd w:id="0"/>
      <w:r>
        <w:rPr>
          <w:rFonts w:ascii="Times New Roman" w:hAnsi="Times New Roman" w:cs="Times New Roman"/>
          <w:b/>
          <w:sz w:val="24"/>
          <w:szCs w:val="24"/>
          <w:u w:val="single"/>
          <w:lang w:val="en-ZW"/>
        </w:rPr>
        <w:t>DISTRIBUTABLE</w:t>
      </w:r>
      <w:r>
        <w:rPr>
          <w:rFonts w:ascii="Times New Roman" w:hAnsi="Times New Roman" w:cs="Times New Roman"/>
          <w:b/>
          <w:sz w:val="24"/>
          <w:szCs w:val="24"/>
          <w:lang w:val="en-ZW"/>
        </w:rPr>
        <w:tab/>
        <w:t>(14)</w:t>
      </w:r>
      <w:r w:rsidR="00B75A39" w:rsidRPr="00B52A94">
        <w:rPr>
          <w:rFonts w:ascii="Times New Roman" w:hAnsi="Times New Roman" w:cs="Times New Roman"/>
          <w:b/>
          <w:sz w:val="24"/>
          <w:szCs w:val="24"/>
          <w:lang w:val="en-ZW"/>
        </w:rPr>
        <w:t xml:space="preserve"> </w:t>
      </w:r>
    </w:p>
    <w:p w:rsidR="007A2021" w:rsidRPr="00B52A94" w:rsidRDefault="007A2021" w:rsidP="00693166">
      <w:pPr>
        <w:spacing w:after="0" w:line="480" w:lineRule="auto"/>
        <w:jc w:val="center"/>
        <w:rPr>
          <w:rFonts w:ascii="Times New Roman" w:hAnsi="Times New Roman" w:cs="Times New Roman"/>
          <w:b/>
          <w:sz w:val="24"/>
          <w:szCs w:val="24"/>
          <w:lang w:val="en-ZW"/>
        </w:rPr>
      </w:pPr>
    </w:p>
    <w:p w:rsidR="005464A3" w:rsidRPr="00B52A94" w:rsidRDefault="006B5503" w:rsidP="00693166">
      <w:pPr>
        <w:spacing w:after="0" w:line="240" w:lineRule="auto"/>
        <w:jc w:val="center"/>
        <w:rPr>
          <w:rFonts w:ascii="Times New Roman" w:hAnsi="Times New Roman" w:cs="Times New Roman"/>
          <w:b/>
          <w:sz w:val="24"/>
          <w:szCs w:val="24"/>
          <w:lang w:val="en-ZW"/>
        </w:rPr>
      </w:pPr>
      <w:r w:rsidRPr="00B52A94">
        <w:rPr>
          <w:rFonts w:ascii="Times New Roman" w:hAnsi="Times New Roman" w:cs="Times New Roman"/>
          <w:b/>
          <w:sz w:val="24"/>
          <w:szCs w:val="24"/>
          <w:lang w:val="en-ZW"/>
        </w:rPr>
        <w:t>ZFC</w:t>
      </w:r>
      <w:r w:rsidR="005E4562" w:rsidRPr="00B52A94">
        <w:rPr>
          <w:rFonts w:ascii="Times New Roman" w:hAnsi="Times New Roman" w:cs="Times New Roman"/>
          <w:b/>
          <w:sz w:val="24"/>
          <w:szCs w:val="24"/>
          <w:lang w:val="en-ZW"/>
        </w:rPr>
        <w:t xml:space="preserve"> </w:t>
      </w:r>
      <w:r w:rsidR="007A2021" w:rsidRPr="00B52A94">
        <w:rPr>
          <w:rFonts w:ascii="Times New Roman" w:hAnsi="Times New Roman" w:cs="Times New Roman"/>
          <w:b/>
          <w:sz w:val="24"/>
          <w:szCs w:val="24"/>
          <w:lang w:val="en-ZW"/>
        </w:rPr>
        <w:t xml:space="preserve">    </w:t>
      </w:r>
      <w:r w:rsidR="005E4562" w:rsidRPr="00B52A94">
        <w:rPr>
          <w:rFonts w:ascii="Times New Roman" w:hAnsi="Times New Roman" w:cs="Times New Roman"/>
          <w:b/>
          <w:sz w:val="24"/>
          <w:szCs w:val="24"/>
          <w:lang w:val="en-ZW"/>
        </w:rPr>
        <w:t>LIMITED</w:t>
      </w:r>
      <w:r w:rsidR="009956AE" w:rsidRPr="00B52A94">
        <w:rPr>
          <w:rFonts w:ascii="Times New Roman" w:hAnsi="Times New Roman" w:cs="Times New Roman"/>
          <w:b/>
          <w:sz w:val="24"/>
          <w:szCs w:val="24"/>
          <w:lang w:val="en-ZW"/>
        </w:rPr>
        <w:t xml:space="preserve"> </w:t>
      </w:r>
    </w:p>
    <w:p w:rsidR="006B5503" w:rsidRPr="00B52A94" w:rsidRDefault="007A2021" w:rsidP="00693166">
      <w:pPr>
        <w:spacing w:after="0" w:line="240" w:lineRule="auto"/>
        <w:jc w:val="center"/>
        <w:rPr>
          <w:rFonts w:ascii="Times New Roman" w:hAnsi="Times New Roman" w:cs="Times New Roman"/>
          <w:b/>
          <w:sz w:val="24"/>
          <w:szCs w:val="24"/>
          <w:lang w:val="en-ZW"/>
        </w:rPr>
      </w:pPr>
      <w:r w:rsidRPr="00B52A94">
        <w:rPr>
          <w:rFonts w:ascii="Times New Roman" w:hAnsi="Times New Roman" w:cs="Times New Roman"/>
          <w:b/>
          <w:sz w:val="24"/>
          <w:szCs w:val="24"/>
          <w:lang w:val="en-ZW"/>
        </w:rPr>
        <w:t>v</w:t>
      </w:r>
    </w:p>
    <w:p w:rsidR="006B5503" w:rsidRPr="00B52A94" w:rsidRDefault="006B5503" w:rsidP="00693166">
      <w:pPr>
        <w:spacing w:after="0" w:line="480" w:lineRule="auto"/>
        <w:jc w:val="center"/>
        <w:rPr>
          <w:rFonts w:ascii="Times New Roman" w:hAnsi="Times New Roman" w:cs="Times New Roman"/>
          <w:b/>
          <w:sz w:val="24"/>
          <w:szCs w:val="24"/>
          <w:lang w:val="en-ZW"/>
        </w:rPr>
      </w:pPr>
      <w:r w:rsidRPr="00B52A94">
        <w:rPr>
          <w:rFonts w:ascii="Times New Roman" w:hAnsi="Times New Roman" w:cs="Times New Roman"/>
          <w:b/>
          <w:sz w:val="24"/>
          <w:szCs w:val="24"/>
          <w:lang w:val="en-ZW"/>
        </w:rPr>
        <w:t>T</w:t>
      </w:r>
      <w:r w:rsidR="00C10D0F" w:rsidRPr="00B52A94">
        <w:rPr>
          <w:rFonts w:ascii="Times New Roman" w:hAnsi="Times New Roman" w:cs="Times New Roman"/>
          <w:b/>
          <w:sz w:val="24"/>
          <w:szCs w:val="24"/>
          <w:lang w:val="en-ZW"/>
        </w:rPr>
        <w:t>A</w:t>
      </w:r>
      <w:r w:rsidRPr="00B52A94">
        <w:rPr>
          <w:rFonts w:ascii="Times New Roman" w:hAnsi="Times New Roman" w:cs="Times New Roman"/>
          <w:b/>
          <w:sz w:val="24"/>
          <w:szCs w:val="24"/>
          <w:lang w:val="en-ZW"/>
        </w:rPr>
        <w:t>PIWA</w:t>
      </w:r>
      <w:r w:rsidR="007A2021" w:rsidRPr="00B52A94">
        <w:rPr>
          <w:rFonts w:ascii="Times New Roman" w:hAnsi="Times New Roman" w:cs="Times New Roman"/>
          <w:b/>
          <w:sz w:val="24"/>
          <w:szCs w:val="24"/>
          <w:lang w:val="en-ZW"/>
        </w:rPr>
        <w:t xml:space="preserve">    </w:t>
      </w:r>
      <w:r w:rsidRPr="00B52A94">
        <w:rPr>
          <w:rFonts w:ascii="Times New Roman" w:hAnsi="Times New Roman" w:cs="Times New Roman"/>
          <w:b/>
          <w:sz w:val="24"/>
          <w:szCs w:val="24"/>
          <w:lang w:val="en-ZW"/>
        </w:rPr>
        <w:t xml:space="preserve"> JOEL </w:t>
      </w:r>
      <w:r w:rsidR="007A2021" w:rsidRPr="00B52A94">
        <w:rPr>
          <w:rFonts w:ascii="Times New Roman" w:hAnsi="Times New Roman" w:cs="Times New Roman"/>
          <w:b/>
          <w:sz w:val="24"/>
          <w:szCs w:val="24"/>
          <w:lang w:val="en-ZW"/>
        </w:rPr>
        <w:t xml:space="preserve">    </w:t>
      </w:r>
      <w:r w:rsidRPr="00B52A94">
        <w:rPr>
          <w:rFonts w:ascii="Times New Roman" w:hAnsi="Times New Roman" w:cs="Times New Roman"/>
          <w:b/>
          <w:sz w:val="24"/>
          <w:szCs w:val="24"/>
          <w:lang w:val="en-ZW"/>
        </w:rPr>
        <w:t>FURUSA</w:t>
      </w:r>
    </w:p>
    <w:p w:rsidR="00F16D3C" w:rsidRPr="00B52A94" w:rsidRDefault="00F16D3C" w:rsidP="00693166">
      <w:pPr>
        <w:tabs>
          <w:tab w:val="left" w:pos="2475"/>
        </w:tabs>
        <w:spacing w:after="0" w:line="480" w:lineRule="auto"/>
        <w:ind w:left="2160"/>
        <w:rPr>
          <w:rFonts w:ascii="Times New Roman" w:hAnsi="Times New Roman" w:cs="Times New Roman"/>
          <w:b/>
          <w:sz w:val="24"/>
          <w:szCs w:val="24"/>
          <w:lang w:val="en-ZW"/>
        </w:rPr>
      </w:pPr>
    </w:p>
    <w:p w:rsidR="007A2021" w:rsidRPr="00B52A94" w:rsidRDefault="007A2021" w:rsidP="00693166">
      <w:pPr>
        <w:tabs>
          <w:tab w:val="left" w:pos="2475"/>
        </w:tabs>
        <w:spacing w:after="0" w:line="240" w:lineRule="auto"/>
        <w:ind w:left="2160"/>
        <w:rPr>
          <w:rFonts w:ascii="Times New Roman" w:hAnsi="Times New Roman" w:cs="Times New Roman"/>
          <w:b/>
          <w:sz w:val="24"/>
          <w:szCs w:val="24"/>
          <w:lang w:val="en-ZW"/>
        </w:rPr>
      </w:pPr>
    </w:p>
    <w:p w:rsidR="008D5E58" w:rsidRPr="00B52A94" w:rsidRDefault="008D5E58" w:rsidP="00693166">
      <w:pPr>
        <w:tabs>
          <w:tab w:val="left" w:pos="2475"/>
        </w:tabs>
        <w:spacing w:after="0" w:line="240" w:lineRule="auto"/>
        <w:jc w:val="both"/>
        <w:rPr>
          <w:rFonts w:ascii="Times New Roman" w:hAnsi="Times New Roman" w:cs="Times New Roman"/>
          <w:b/>
          <w:sz w:val="24"/>
          <w:szCs w:val="24"/>
          <w:lang w:val="en-ZW"/>
        </w:rPr>
      </w:pPr>
      <w:r w:rsidRPr="00B52A94">
        <w:rPr>
          <w:rFonts w:ascii="Times New Roman" w:hAnsi="Times New Roman" w:cs="Times New Roman"/>
          <w:b/>
          <w:sz w:val="24"/>
          <w:szCs w:val="24"/>
          <w:lang w:val="en-ZW"/>
        </w:rPr>
        <w:t>SUPREME COURT OF ZIMBABWE</w:t>
      </w:r>
    </w:p>
    <w:p w:rsidR="008D5E58" w:rsidRPr="00B52A94" w:rsidRDefault="006B5503" w:rsidP="00693166">
      <w:pPr>
        <w:tabs>
          <w:tab w:val="left" w:pos="2475"/>
        </w:tabs>
        <w:spacing w:after="0" w:line="240" w:lineRule="auto"/>
        <w:jc w:val="both"/>
        <w:rPr>
          <w:rFonts w:ascii="Times New Roman" w:hAnsi="Times New Roman" w:cs="Times New Roman"/>
          <w:b/>
          <w:sz w:val="24"/>
          <w:szCs w:val="24"/>
          <w:lang w:val="en-ZA"/>
        </w:rPr>
      </w:pPr>
      <w:r w:rsidRPr="00B52A94">
        <w:rPr>
          <w:rFonts w:ascii="Times New Roman" w:hAnsi="Times New Roman" w:cs="Times New Roman"/>
          <w:b/>
          <w:sz w:val="24"/>
          <w:szCs w:val="24"/>
          <w:lang w:val="en-ZA"/>
        </w:rPr>
        <w:t>ZIYAMBI JA</w:t>
      </w:r>
      <w:r w:rsidR="00C50CB2" w:rsidRPr="00B52A94">
        <w:rPr>
          <w:rFonts w:ascii="Times New Roman" w:hAnsi="Times New Roman" w:cs="Times New Roman"/>
          <w:b/>
          <w:sz w:val="24"/>
          <w:szCs w:val="24"/>
          <w:lang w:val="en-ZA"/>
        </w:rPr>
        <w:t xml:space="preserve">, GOWORA JA &amp; </w:t>
      </w:r>
      <w:r w:rsidRPr="00B52A94">
        <w:rPr>
          <w:rFonts w:ascii="Times New Roman" w:hAnsi="Times New Roman" w:cs="Times New Roman"/>
          <w:b/>
          <w:sz w:val="24"/>
          <w:szCs w:val="24"/>
          <w:lang w:val="en-ZA"/>
        </w:rPr>
        <w:t>UCHENA JA</w:t>
      </w:r>
    </w:p>
    <w:p w:rsidR="008D5E58" w:rsidRPr="00B52A94" w:rsidRDefault="005464A3" w:rsidP="00693166">
      <w:pPr>
        <w:tabs>
          <w:tab w:val="left" w:pos="2475"/>
        </w:tabs>
        <w:spacing w:after="0" w:line="480" w:lineRule="auto"/>
        <w:jc w:val="both"/>
        <w:rPr>
          <w:rFonts w:ascii="Times New Roman" w:hAnsi="Times New Roman" w:cs="Times New Roman"/>
          <w:sz w:val="24"/>
          <w:szCs w:val="24"/>
          <w:lang w:val="en-ZA"/>
        </w:rPr>
      </w:pPr>
      <w:r w:rsidRPr="00B52A94">
        <w:rPr>
          <w:rFonts w:ascii="Times New Roman" w:hAnsi="Times New Roman" w:cs="Times New Roman"/>
          <w:b/>
          <w:sz w:val="24"/>
          <w:szCs w:val="24"/>
          <w:lang w:val="en-ZA"/>
        </w:rPr>
        <w:t>BULAWAYO</w:t>
      </w:r>
      <w:r w:rsidR="00427CF1" w:rsidRPr="00B52A94">
        <w:rPr>
          <w:rFonts w:ascii="Times New Roman" w:hAnsi="Times New Roman" w:cs="Times New Roman"/>
          <w:b/>
          <w:sz w:val="24"/>
          <w:szCs w:val="24"/>
          <w:lang w:val="en-ZA"/>
        </w:rPr>
        <w:t xml:space="preserve">, </w:t>
      </w:r>
      <w:r w:rsidR="006B5503" w:rsidRPr="00B52A94">
        <w:rPr>
          <w:rFonts w:ascii="Times New Roman" w:hAnsi="Times New Roman" w:cs="Times New Roman"/>
          <w:sz w:val="24"/>
          <w:szCs w:val="24"/>
          <w:lang w:val="en-ZA"/>
        </w:rPr>
        <w:t>15 March 2016</w:t>
      </w:r>
    </w:p>
    <w:p w:rsidR="007A2021" w:rsidRPr="00B52A94" w:rsidRDefault="007A2021" w:rsidP="00693166">
      <w:pPr>
        <w:tabs>
          <w:tab w:val="left" w:pos="2475"/>
        </w:tabs>
        <w:spacing w:after="0" w:line="480" w:lineRule="auto"/>
        <w:jc w:val="both"/>
        <w:rPr>
          <w:rFonts w:ascii="Times New Roman" w:hAnsi="Times New Roman" w:cs="Times New Roman"/>
          <w:sz w:val="24"/>
          <w:szCs w:val="24"/>
          <w:lang w:val="en-ZA"/>
        </w:rPr>
      </w:pPr>
    </w:p>
    <w:p w:rsidR="007A2021" w:rsidRPr="00B52A94" w:rsidRDefault="007A2021" w:rsidP="00693166">
      <w:pPr>
        <w:tabs>
          <w:tab w:val="left" w:pos="2475"/>
        </w:tabs>
        <w:spacing w:after="0" w:line="240" w:lineRule="auto"/>
        <w:jc w:val="both"/>
        <w:rPr>
          <w:rFonts w:ascii="Times New Roman" w:hAnsi="Times New Roman" w:cs="Times New Roman"/>
          <w:sz w:val="24"/>
          <w:szCs w:val="24"/>
          <w:lang w:val="en-ZA"/>
        </w:rPr>
      </w:pPr>
    </w:p>
    <w:p w:rsidR="006676CF" w:rsidRPr="00B52A94" w:rsidRDefault="00C50CB2" w:rsidP="00693166">
      <w:pPr>
        <w:tabs>
          <w:tab w:val="left" w:pos="2475"/>
          <w:tab w:val="left" w:pos="8422"/>
        </w:tabs>
        <w:spacing w:after="0" w:line="480" w:lineRule="auto"/>
        <w:jc w:val="both"/>
        <w:rPr>
          <w:rFonts w:ascii="Times New Roman" w:hAnsi="Times New Roman" w:cs="Times New Roman"/>
          <w:sz w:val="24"/>
          <w:szCs w:val="24"/>
          <w:lang w:val="en-ZA"/>
        </w:rPr>
      </w:pPr>
      <w:r w:rsidRPr="00B52A94">
        <w:rPr>
          <w:rFonts w:ascii="Times New Roman" w:hAnsi="Times New Roman" w:cs="Times New Roman"/>
          <w:i/>
          <w:sz w:val="24"/>
          <w:szCs w:val="24"/>
          <w:lang w:val="en-ZA"/>
        </w:rPr>
        <w:t xml:space="preserve">T. </w:t>
      </w:r>
      <w:r w:rsidR="00AD2C23" w:rsidRPr="00B52A94">
        <w:rPr>
          <w:rFonts w:ascii="Times New Roman" w:hAnsi="Times New Roman" w:cs="Times New Roman"/>
          <w:i/>
          <w:sz w:val="24"/>
          <w:szCs w:val="24"/>
          <w:lang w:val="en-ZA"/>
        </w:rPr>
        <w:t>Zhuwarara</w:t>
      </w:r>
      <w:r w:rsidRPr="00B52A94">
        <w:rPr>
          <w:rFonts w:ascii="Times New Roman" w:hAnsi="Times New Roman" w:cs="Times New Roman"/>
          <w:sz w:val="24"/>
          <w:szCs w:val="24"/>
          <w:lang w:val="en-ZA"/>
        </w:rPr>
        <w:t>, for the appellant</w:t>
      </w:r>
      <w:r w:rsidR="00F50290" w:rsidRPr="00B52A94">
        <w:rPr>
          <w:rFonts w:ascii="Times New Roman" w:hAnsi="Times New Roman" w:cs="Times New Roman"/>
          <w:sz w:val="24"/>
          <w:szCs w:val="24"/>
          <w:lang w:val="en-ZA"/>
        </w:rPr>
        <w:tab/>
      </w:r>
    </w:p>
    <w:p w:rsidR="000C1167" w:rsidRPr="00B52A94" w:rsidRDefault="00AD2C23" w:rsidP="00693166">
      <w:pPr>
        <w:tabs>
          <w:tab w:val="left" w:pos="2475"/>
        </w:tabs>
        <w:spacing w:after="0" w:line="480" w:lineRule="auto"/>
        <w:jc w:val="both"/>
        <w:rPr>
          <w:rFonts w:ascii="Times New Roman" w:hAnsi="Times New Roman" w:cs="Times New Roman"/>
          <w:sz w:val="24"/>
          <w:szCs w:val="24"/>
          <w:lang w:val="en-ZA"/>
        </w:rPr>
      </w:pPr>
      <w:r w:rsidRPr="00B52A94">
        <w:rPr>
          <w:rFonts w:ascii="Times New Roman" w:hAnsi="Times New Roman" w:cs="Times New Roman"/>
          <w:i/>
          <w:sz w:val="24"/>
          <w:szCs w:val="24"/>
          <w:lang w:val="en-ZA"/>
        </w:rPr>
        <w:t>L. Uriri</w:t>
      </w:r>
      <w:r w:rsidR="000C1167" w:rsidRPr="00B52A94">
        <w:rPr>
          <w:rFonts w:ascii="Times New Roman" w:hAnsi="Times New Roman" w:cs="Times New Roman"/>
          <w:sz w:val="24"/>
          <w:szCs w:val="24"/>
          <w:lang w:val="en-ZA"/>
        </w:rPr>
        <w:t>, for the first respondent</w:t>
      </w:r>
    </w:p>
    <w:p w:rsidR="007A2021" w:rsidRPr="00B52A94" w:rsidRDefault="007A2021" w:rsidP="00693166">
      <w:pPr>
        <w:tabs>
          <w:tab w:val="left" w:pos="2475"/>
        </w:tabs>
        <w:spacing w:after="0" w:line="480" w:lineRule="auto"/>
        <w:jc w:val="both"/>
        <w:rPr>
          <w:rFonts w:ascii="Times New Roman" w:hAnsi="Times New Roman" w:cs="Times New Roman"/>
          <w:sz w:val="24"/>
          <w:szCs w:val="24"/>
          <w:lang w:val="en-ZA"/>
        </w:rPr>
      </w:pPr>
    </w:p>
    <w:p w:rsidR="007A2021" w:rsidRPr="00B52A94" w:rsidRDefault="007A2021" w:rsidP="00693166">
      <w:pPr>
        <w:tabs>
          <w:tab w:val="left" w:pos="2475"/>
        </w:tabs>
        <w:spacing w:after="0" w:line="480" w:lineRule="auto"/>
        <w:jc w:val="both"/>
        <w:rPr>
          <w:rFonts w:ascii="Times New Roman" w:hAnsi="Times New Roman" w:cs="Times New Roman"/>
          <w:sz w:val="24"/>
          <w:szCs w:val="24"/>
          <w:lang w:val="en-ZA"/>
        </w:rPr>
      </w:pPr>
    </w:p>
    <w:p w:rsidR="00BC56B2" w:rsidRPr="00B52A94" w:rsidRDefault="007A2021" w:rsidP="00693166">
      <w:pPr>
        <w:spacing w:after="0" w:line="480" w:lineRule="auto"/>
        <w:jc w:val="both"/>
        <w:rPr>
          <w:rFonts w:ascii="Times New Roman" w:hAnsi="Times New Roman" w:cs="Times New Roman"/>
          <w:sz w:val="24"/>
          <w:szCs w:val="24"/>
          <w:lang w:val="en-ZA"/>
        </w:rPr>
      </w:pPr>
      <w:r w:rsidRPr="00B52A94">
        <w:rPr>
          <w:rFonts w:ascii="Times New Roman" w:hAnsi="Times New Roman" w:cs="Times New Roman"/>
          <w:b/>
          <w:sz w:val="24"/>
          <w:szCs w:val="24"/>
          <w:lang w:val="en-ZA"/>
        </w:rPr>
        <w:tab/>
      </w:r>
      <w:r w:rsidRPr="00B52A94">
        <w:rPr>
          <w:rFonts w:ascii="Times New Roman" w:hAnsi="Times New Roman" w:cs="Times New Roman"/>
          <w:b/>
          <w:sz w:val="24"/>
          <w:szCs w:val="24"/>
          <w:lang w:val="en-ZA"/>
        </w:rPr>
        <w:tab/>
      </w:r>
      <w:r w:rsidR="008D5E58" w:rsidRPr="00B52A94">
        <w:rPr>
          <w:rFonts w:ascii="Times New Roman" w:hAnsi="Times New Roman" w:cs="Times New Roman"/>
          <w:b/>
          <w:sz w:val="24"/>
          <w:szCs w:val="24"/>
          <w:lang w:val="en-ZA"/>
        </w:rPr>
        <w:t>GOWORA JA</w:t>
      </w:r>
      <w:r w:rsidRPr="00B52A94">
        <w:rPr>
          <w:rFonts w:ascii="Times New Roman" w:hAnsi="Times New Roman" w:cs="Times New Roman"/>
          <w:sz w:val="24"/>
          <w:szCs w:val="24"/>
          <w:lang w:val="en-ZA"/>
        </w:rPr>
        <w:t>:</w:t>
      </w:r>
      <w:r w:rsidRPr="00B52A94">
        <w:rPr>
          <w:rFonts w:ascii="Times New Roman" w:hAnsi="Times New Roman" w:cs="Times New Roman"/>
          <w:sz w:val="24"/>
          <w:szCs w:val="24"/>
          <w:lang w:val="en-ZA"/>
        </w:rPr>
        <w:tab/>
      </w:r>
      <w:r w:rsidR="005E7940" w:rsidRPr="00B52A94">
        <w:rPr>
          <w:rFonts w:ascii="Times New Roman" w:hAnsi="Times New Roman" w:cs="Times New Roman"/>
          <w:sz w:val="24"/>
          <w:szCs w:val="24"/>
          <w:lang w:val="en-ZA"/>
        </w:rPr>
        <w:t xml:space="preserve">This was an appeal against the whole judgment of the </w:t>
      </w:r>
      <w:r w:rsidR="004545CF" w:rsidRPr="00B52A94">
        <w:rPr>
          <w:rFonts w:ascii="Times New Roman" w:hAnsi="Times New Roman" w:cs="Times New Roman"/>
          <w:sz w:val="24"/>
          <w:szCs w:val="24"/>
          <w:lang w:val="en-ZA"/>
        </w:rPr>
        <w:t>High Court</w:t>
      </w:r>
      <w:r w:rsidR="005E7940" w:rsidRPr="00B52A94">
        <w:rPr>
          <w:rFonts w:ascii="Times New Roman" w:hAnsi="Times New Roman" w:cs="Times New Roman"/>
          <w:sz w:val="24"/>
          <w:szCs w:val="24"/>
          <w:lang w:val="en-ZA"/>
        </w:rPr>
        <w:t xml:space="preserve"> delivered </w:t>
      </w:r>
      <w:r w:rsidR="004545CF" w:rsidRPr="00B52A94">
        <w:rPr>
          <w:rFonts w:ascii="Times New Roman" w:hAnsi="Times New Roman" w:cs="Times New Roman"/>
          <w:sz w:val="24"/>
          <w:szCs w:val="24"/>
          <w:lang w:val="en-ZA"/>
        </w:rPr>
        <w:t>on 13</w:t>
      </w:r>
      <w:r w:rsidR="00E76334" w:rsidRPr="00B52A94">
        <w:rPr>
          <w:rFonts w:ascii="Times New Roman" w:hAnsi="Times New Roman" w:cs="Times New Roman"/>
          <w:sz w:val="24"/>
          <w:szCs w:val="24"/>
          <w:lang w:val="en-ZA"/>
        </w:rPr>
        <w:t xml:space="preserve"> May 2015</w:t>
      </w:r>
      <w:r w:rsidR="005E7940" w:rsidRPr="00B52A94">
        <w:rPr>
          <w:rFonts w:ascii="Times New Roman" w:hAnsi="Times New Roman" w:cs="Times New Roman"/>
          <w:sz w:val="24"/>
          <w:szCs w:val="24"/>
          <w:lang w:val="en-ZA"/>
        </w:rPr>
        <w:t>. After perusing the record and hearing the su</w:t>
      </w:r>
      <w:r w:rsidRPr="00B52A94">
        <w:rPr>
          <w:rFonts w:ascii="Times New Roman" w:hAnsi="Times New Roman" w:cs="Times New Roman"/>
          <w:sz w:val="24"/>
          <w:szCs w:val="24"/>
          <w:lang w:val="en-ZA"/>
        </w:rPr>
        <w:t>bmissions of the parties, this C</w:t>
      </w:r>
      <w:r w:rsidR="005E7940" w:rsidRPr="00B52A94">
        <w:rPr>
          <w:rFonts w:ascii="Times New Roman" w:hAnsi="Times New Roman" w:cs="Times New Roman"/>
          <w:sz w:val="24"/>
          <w:szCs w:val="24"/>
          <w:lang w:val="en-ZA"/>
        </w:rPr>
        <w:t>ourt allowed the appeal and indicated that the reasons would be availed in due course. The followin</w:t>
      </w:r>
      <w:r w:rsidRPr="00B52A94">
        <w:rPr>
          <w:rFonts w:ascii="Times New Roman" w:hAnsi="Times New Roman" w:cs="Times New Roman"/>
          <w:sz w:val="24"/>
          <w:szCs w:val="24"/>
          <w:lang w:val="en-ZA"/>
        </w:rPr>
        <w:t>g are the reasons for the order:</w:t>
      </w:r>
    </w:p>
    <w:p w:rsidR="007A2021" w:rsidRPr="00B52A94" w:rsidRDefault="007A2021" w:rsidP="00693166">
      <w:pPr>
        <w:spacing w:after="0" w:line="480" w:lineRule="auto"/>
        <w:jc w:val="both"/>
        <w:rPr>
          <w:rFonts w:ascii="Times New Roman" w:hAnsi="Times New Roman" w:cs="Times New Roman"/>
          <w:sz w:val="24"/>
          <w:szCs w:val="24"/>
          <w:lang w:val="en-ZA"/>
        </w:rPr>
      </w:pPr>
    </w:p>
    <w:p w:rsidR="001E04DB" w:rsidRDefault="007A2021"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BC56B2" w:rsidRPr="00B52A94">
        <w:rPr>
          <w:rFonts w:ascii="Times New Roman" w:hAnsi="Times New Roman" w:cs="Times New Roman"/>
          <w:sz w:val="24"/>
          <w:szCs w:val="24"/>
          <w:lang w:val="en-ZW"/>
        </w:rPr>
        <w:t xml:space="preserve">The appellant entered into an agreement with a </w:t>
      </w:r>
      <w:r w:rsidR="004545CF" w:rsidRPr="00B52A94">
        <w:rPr>
          <w:rFonts w:ascii="Times New Roman" w:hAnsi="Times New Roman" w:cs="Times New Roman"/>
          <w:sz w:val="24"/>
          <w:szCs w:val="24"/>
          <w:lang w:val="en-ZW"/>
        </w:rPr>
        <w:t>company called Farmcro</w:t>
      </w:r>
      <w:r w:rsidR="00BC56B2" w:rsidRPr="00B52A94">
        <w:rPr>
          <w:rFonts w:ascii="Times New Roman" w:hAnsi="Times New Roman" w:cs="Times New Roman"/>
          <w:sz w:val="24"/>
          <w:szCs w:val="24"/>
          <w:lang w:val="en-ZW"/>
        </w:rPr>
        <w:t xml:space="preserve">p Enterprises in terms of which </w:t>
      </w:r>
      <w:r w:rsidR="004545CF" w:rsidRPr="00B52A94">
        <w:rPr>
          <w:rFonts w:ascii="Times New Roman" w:hAnsi="Times New Roman" w:cs="Times New Roman"/>
          <w:sz w:val="24"/>
          <w:szCs w:val="24"/>
          <w:lang w:val="en-ZW"/>
        </w:rPr>
        <w:t>Farmc</w:t>
      </w:r>
      <w:r w:rsidR="00BC56B2" w:rsidRPr="00B52A94">
        <w:rPr>
          <w:rFonts w:ascii="Times New Roman" w:hAnsi="Times New Roman" w:cs="Times New Roman"/>
          <w:sz w:val="24"/>
          <w:szCs w:val="24"/>
          <w:lang w:val="en-ZW"/>
        </w:rPr>
        <w:t>r</w:t>
      </w:r>
      <w:r w:rsidR="004545CF" w:rsidRPr="00B52A94">
        <w:rPr>
          <w:rFonts w:ascii="Times New Roman" w:hAnsi="Times New Roman" w:cs="Times New Roman"/>
          <w:sz w:val="24"/>
          <w:szCs w:val="24"/>
          <w:lang w:val="en-ZW"/>
        </w:rPr>
        <w:t>o</w:t>
      </w:r>
      <w:r w:rsidR="00BC56B2" w:rsidRPr="00B52A94">
        <w:rPr>
          <w:rFonts w:ascii="Times New Roman" w:hAnsi="Times New Roman" w:cs="Times New Roman"/>
          <w:sz w:val="24"/>
          <w:szCs w:val="24"/>
          <w:lang w:val="en-ZW"/>
        </w:rPr>
        <w:t xml:space="preserve">p Enterprises would sell fertilizers and crop chemicals on behalf of the appellant after which sale, </w:t>
      </w:r>
      <w:r w:rsidR="00E76334" w:rsidRPr="00B52A94">
        <w:rPr>
          <w:rFonts w:ascii="Times New Roman" w:hAnsi="Times New Roman" w:cs="Times New Roman"/>
          <w:sz w:val="24"/>
          <w:szCs w:val="24"/>
          <w:lang w:val="en-ZW"/>
        </w:rPr>
        <w:t>it</w:t>
      </w:r>
      <w:r w:rsidR="00BC56B2" w:rsidRPr="00B52A94">
        <w:rPr>
          <w:rFonts w:ascii="Times New Roman" w:hAnsi="Times New Roman" w:cs="Times New Roman"/>
          <w:sz w:val="24"/>
          <w:szCs w:val="24"/>
          <w:lang w:val="en-ZW"/>
        </w:rPr>
        <w:t xml:space="preserve"> would remit the proce</w:t>
      </w:r>
      <w:r w:rsidR="00693166">
        <w:rPr>
          <w:rFonts w:ascii="Times New Roman" w:hAnsi="Times New Roman" w:cs="Times New Roman"/>
          <w:sz w:val="24"/>
          <w:szCs w:val="24"/>
          <w:lang w:val="en-ZW"/>
        </w:rPr>
        <w:t>eds to the appellant. On 3 July </w:t>
      </w:r>
      <w:r w:rsidR="00BC56B2" w:rsidRPr="00B52A94">
        <w:rPr>
          <w:rFonts w:ascii="Times New Roman" w:hAnsi="Times New Roman" w:cs="Times New Roman"/>
          <w:sz w:val="24"/>
          <w:szCs w:val="24"/>
          <w:lang w:val="en-ZW"/>
        </w:rPr>
        <w:t xml:space="preserve">2009, the respondent </w:t>
      </w:r>
      <w:r w:rsidR="00D325FD" w:rsidRPr="00B52A94">
        <w:rPr>
          <w:rFonts w:ascii="Times New Roman" w:hAnsi="Times New Roman" w:cs="Times New Roman"/>
          <w:sz w:val="24"/>
          <w:szCs w:val="24"/>
          <w:lang w:val="en-ZW"/>
        </w:rPr>
        <w:t>bound himself</w:t>
      </w:r>
      <w:r w:rsidR="00BC56B2" w:rsidRPr="00B52A94">
        <w:rPr>
          <w:rFonts w:ascii="Times New Roman" w:hAnsi="Times New Roman" w:cs="Times New Roman"/>
          <w:sz w:val="24"/>
          <w:szCs w:val="24"/>
          <w:lang w:val="en-ZW"/>
        </w:rPr>
        <w:t xml:space="preserve"> as surety and co-prin</w:t>
      </w:r>
      <w:r w:rsidR="004545CF" w:rsidRPr="00B52A94">
        <w:rPr>
          <w:rFonts w:ascii="Times New Roman" w:hAnsi="Times New Roman" w:cs="Times New Roman"/>
          <w:sz w:val="24"/>
          <w:szCs w:val="24"/>
          <w:lang w:val="en-ZW"/>
        </w:rPr>
        <w:t xml:space="preserve">cipal debtor </w:t>
      </w:r>
      <w:r w:rsidR="00D325FD" w:rsidRPr="00B52A94">
        <w:rPr>
          <w:rFonts w:ascii="Times New Roman" w:hAnsi="Times New Roman" w:cs="Times New Roman"/>
          <w:sz w:val="24"/>
          <w:szCs w:val="24"/>
          <w:lang w:val="en-ZW"/>
        </w:rPr>
        <w:t>with</w:t>
      </w:r>
      <w:r w:rsidR="004545CF" w:rsidRPr="00B52A94">
        <w:rPr>
          <w:rFonts w:ascii="Times New Roman" w:hAnsi="Times New Roman" w:cs="Times New Roman"/>
          <w:sz w:val="24"/>
          <w:szCs w:val="24"/>
          <w:lang w:val="en-ZW"/>
        </w:rPr>
        <w:t xml:space="preserve"> Farmc</w:t>
      </w:r>
      <w:r w:rsidR="00BC56B2" w:rsidRPr="00B52A94">
        <w:rPr>
          <w:rFonts w:ascii="Times New Roman" w:hAnsi="Times New Roman" w:cs="Times New Roman"/>
          <w:sz w:val="24"/>
          <w:szCs w:val="24"/>
          <w:lang w:val="en-ZW"/>
        </w:rPr>
        <w:t>r</w:t>
      </w:r>
      <w:r w:rsidR="004545CF" w:rsidRPr="00B52A94">
        <w:rPr>
          <w:rFonts w:ascii="Times New Roman" w:hAnsi="Times New Roman" w:cs="Times New Roman"/>
          <w:sz w:val="24"/>
          <w:szCs w:val="24"/>
          <w:lang w:val="en-ZW"/>
        </w:rPr>
        <w:t>o</w:t>
      </w:r>
      <w:r w:rsidR="00BC56B2" w:rsidRPr="00B52A94">
        <w:rPr>
          <w:rFonts w:ascii="Times New Roman" w:hAnsi="Times New Roman" w:cs="Times New Roman"/>
          <w:sz w:val="24"/>
          <w:szCs w:val="24"/>
          <w:lang w:val="en-ZW"/>
        </w:rPr>
        <w:t xml:space="preserve">p </w:t>
      </w:r>
      <w:r w:rsidR="00BC56B2" w:rsidRPr="00B52A94">
        <w:rPr>
          <w:rFonts w:ascii="Times New Roman" w:hAnsi="Times New Roman" w:cs="Times New Roman"/>
          <w:sz w:val="24"/>
          <w:szCs w:val="24"/>
          <w:lang w:val="en-ZW"/>
        </w:rPr>
        <w:lastRenderedPageBreak/>
        <w:t>Enterprises</w:t>
      </w:r>
      <w:r w:rsidR="00551A7A" w:rsidRPr="00B52A94">
        <w:rPr>
          <w:rFonts w:ascii="Times New Roman" w:hAnsi="Times New Roman" w:cs="Times New Roman"/>
          <w:sz w:val="24"/>
          <w:szCs w:val="24"/>
          <w:lang w:val="en-ZW"/>
        </w:rPr>
        <w:t>, (“the company”)</w:t>
      </w:r>
      <w:r w:rsidR="00BC56B2" w:rsidRPr="00B52A94">
        <w:rPr>
          <w:rFonts w:ascii="Times New Roman" w:hAnsi="Times New Roman" w:cs="Times New Roman"/>
          <w:sz w:val="24"/>
          <w:szCs w:val="24"/>
          <w:lang w:val="en-ZW"/>
        </w:rPr>
        <w:t xml:space="preserve"> </w:t>
      </w:r>
      <w:r w:rsidR="00D325FD" w:rsidRPr="00B52A94">
        <w:rPr>
          <w:rFonts w:ascii="Times New Roman" w:hAnsi="Times New Roman" w:cs="Times New Roman"/>
          <w:sz w:val="24"/>
          <w:szCs w:val="24"/>
          <w:lang w:val="en-ZW"/>
        </w:rPr>
        <w:t>for the due performance</w:t>
      </w:r>
      <w:r w:rsidR="00763D72" w:rsidRPr="00B52A94">
        <w:rPr>
          <w:rFonts w:ascii="Times New Roman" w:hAnsi="Times New Roman" w:cs="Times New Roman"/>
          <w:sz w:val="24"/>
          <w:szCs w:val="24"/>
          <w:lang w:val="en-ZW"/>
        </w:rPr>
        <w:t>,</w:t>
      </w:r>
      <w:r w:rsidR="00D325FD" w:rsidRPr="00B52A94">
        <w:rPr>
          <w:rFonts w:ascii="Times New Roman" w:hAnsi="Times New Roman" w:cs="Times New Roman"/>
          <w:sz w:val="24"/>
          <w:szCs w:val="24"/>
          <w:lang w:val="en-ZW"/>
        </w:rPr>
        <w:t xml:space="preserve"> by the latter</w:t>
      </w:r>
      <w:r w:rsidR="00763D72" w:rsidRPr="00B52A94">
        <w:rPr>
          <w:rFonts w:ascii="Times New Roman" w:hAnsi="Times New Roman" w:cs="Times New Roman"/>
          <w:sz w:val="24"/>
          <w:szCs w:val="24"/>
          <w:lang w:val="en-ZW"/>
        </w:rPr>
        <w:t>, of its obligations</w:t>
      </w:r>
      <w:r w:rsidR="00D325FD" w:rsidRPr="00B52A94">
        <w:rPr>
          <w:rFonts w:ascii="Times New Roman" w:hAnsi="Times New Roman" w:cs="Times New Roman"/>
          <w:sz w:val="24"/>
          <w:szCs w:val="24"/>
          <w:lang w:val="en-ZW"/>
        </w:rPr>
        <w:t xml:space="preserve"> in favour of the appellant</w:t>
      </w:r>
      <w:r w:rsidR="00BC56B2" w:rsidRPr="00B52A94">
        <w:rPr>
          <w:rFonts w:ascii="Times New Roman" w:hAnsi="Times New Roman" w:cs="Times New Roman"/>
          <w:sz w:val="24"/>
          <w:szCs w:val="24"/>
          <w:lang w:val="en-ZW"/>
        </w:rPr>
        <w:t>.</w:t>
      </w:r>
      <w:r w:rsidR="001E04DB" w:rsidRPr="00B52A94">
        <w:rPr>
          <w:rFonts w:ascii="Times New Roman" w:hAnsi="Times New Roman" w:cs="Times New Roman"/>
          <w:sz w:val="24"/>
          <w:szCs w:val="24"/>
          <w:lang w:val="en-ZW"/>
        </w:rPr>
        <w:t xml:space="preserve"> </w:t>
      </w:r>
    </w:p>
    <w:p w:rsidR="00693166" w:rsidRPr="00B52A94" w:rsidRDefault="00693166" w:rsidP="00693166">
      <w:pPr>
        <w:spacing w:after="0" w:line="480" w:lineRule="auto"/>
        <w:jc w:val="both"/>
        <w:rPr>
          <w:rFonts w:ascii="Times New Roman" w:hAnsi="Times New Roman" w:cs="Times New Roman"/>
          <w:sz w:val="24"/>
          <w:szCs w:val="24"/>
          <w:lang w:val="en-ZW"/>
        </w:rPr>
      </w:pPr>
    </w:p>
    <w:p w:rsidR="00863CD5" w:rsidRPr="00B52A94" w:rsidRDefault="007A2021"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863CD5" w:rsidRPr="00B52A94">
        <w:rPr>
          <w:rFonts w:ascii="Times New Roman" w:hAnsi="Times New Roman" w:cs="Times New Roman"/>
          <w:sz w:val="24"/>
          <w:szCs w:val="24"/>
          <w:lang w:val="en-ZW"/>
        </w:rPr>
        <w:t>It was alleged that t</w:t>
      </w:r>
      <w:r w:rsidR="001E04DB" w:rsidRPr="00B52A94">
        <w:rPr>
          <w:rFonts w:ascii="Times New Roman" w:hAnsi="Times New Roman" w:cs="Times New Roman"/>
          <w:sz w:val="24"/>
          <w:szCs w:val="24"/>
          <w:lang w:val="en-ZW"/>
        </w:rPr>
        <w:t xml:space="preserve">he company sold fertilisers and crop chemicals on behalf of the appellant </w:t>
      </w:r>
      <w:r w:rsidR="00863CD5" w:rsidRPr="00B52A94">
        <w:rPr>
          <w:rFonts w:ascii="Times New Roman" w:hAnsi="Times New Roman" w:cs="Times New Roman"/>
          <w:sz w:val="24"/>
          <w:szCs w:val="24"/>
          <w:lang w:val="en-ZW"/>
        </w:rPr>
        <w:t xml:space="preserve">between 31 January 2011 and 12 September </w:t>
      </w:r>
      <w:r w:rsidR="00E76334" w:rsidRPr="00B52A94">
        <w:rPr>
          <w:rFonts w:ascii="Times New Roman" w:hAnsi="Times New Roman" w:cs="Times New Roman"/>
          <w:sz w:val="24"/>
          <w:szCs w:val="24"/>
          <w:lang w:val="en-ZW"/>
        </w:rPr>
        <w:t>20</w:t>
      </w:r>
      <w:r w:rsidR="00863CD5" w:rsidRPr="00B52A94">
        <w:rPr>
          <w:rFonts w:ascii="Times New Roman" w:hAnsi="Times New Roman" w:cs="Times New Roman"/>
          <w:sz w:val="24"/>
          <w:szCs w:val="24"/>
          <w:lang w:val="en-ZW"/>
        </w:rPr>
        <w:t xml:space="preserve">11 but failed to account to the appellant for the sum of US$46 717.16. </w:t>
      </w:r>
      <w:r w:rsidR="00BC56B2" w:rsidRPr="00B52A94">
        <w:rPr>
          <w:rFonts w:ascii="Times New Roman" w:hAnsi="Times New Roman" w:cs="Times New Roman"/>
          <w:sz w:val="24"/>
          <w:szCs w:val="24"/>
          <w:lang w:val="en-ZW"/>
        </w:rPr>
        <w:t>On 13 September 2011, the appellant wrote to th</w:t>
      </w:r>
      <w:r w:rsidR="00D325FD" w:rsidRPr="00B52A94">
        <w:rPr>
          <w:rFonts w:ascii="Times New Roman" w:hAnsi="Times New Roman" w:cs="Times New Roman"/>
          <w:sz w:val="24"/>
          <w:szCs w:val="24"/>
          <w:lang w:val="en-ZW"/>
        </w:rPr>
        <w:t>e respondent demanding payment in</w:t>
      </w:r>
      <w:r w:rsidR="00BC56B2" w:rsidRPr="00B52A94">
        <w:rPr>
          <w:rFonts w:ascii="Times New Roman" w:hAnsi="Times New Roman" w:cs="Times New Roman"/>
          <w:sz w:val="24"/>
          <w:szCs w:val="24"/>
          <w:lang w:val="en-ZW"/>
        </w:rPr>
        <w:t xml:space="preserve"> the sum of US$46 717.16 which it stated had become due an</w:t>
      </w:r>
      <w:r w:rsidR="004545CF" w:rsidRPr="00B52A94">
        <w:rPr>
          <w:rFonts w:ascii="Times New Roman" w:hAnsi="Times New Roman" w:cs="Times New Roman"/>
          <w:sz w:val="24"/>
          <w:szCs w:val="24"/>
          <w:lang w:val="en-ZW"/>
        </w:rPr>
        <w:t xml:space="preserve">d payable as a result of </w:t>
      </w:r>
      <w:r w:rsidR="00551A7A" w:rsidRPr="00B52A94">
        <w:rPr>
          <w:rFonts w:ascii="Times New Roman" w:hAnsi="Times New Roman" w:cs="Times New Roman"/>
          <w:sz w:val="24"/>
          <w:szCs w:val="24"/>
          <w:lang w:val="en-ZW"/>
        </w:rPr>
        <w:t xml:space="preserve">the company’s </w:t>
      </w:r>
      <w:r w:rsidR="00BC56B2" w:rsidRPr="00B52A94">
        <w:rPr>
          <w:rFonts w:ascii="Times New Roman" w:hAnsi="Times New Roman" w:cs="Times New Roman"/>
          <w:sz w:val="24"/>
          <w:szCs w:val="24"/>
          <w:lang w:val="en-ZW"/>
        </w:rPr>
        <w:t xml:space="preserve">failure to pay. The demand was made on the basis of the deed of suretyship that the respondent had signed in favour of the appellant. </w:t>
      </w:r>
    </w:p>
    <w:p w:rsidR="007A2021" w:rsidRPr="00B52A94" w:rsidRDefault="007A2021" w:rsidP="00693166">
      <w:pPr>
        <w:spacing w:after="0" w:line="480" w:lineRule="auto"/>
        <w:jc w:val="both"/>
        <w:rPr>
          <w:rFonts w:ascii="Times New Roman" w:hAnsi="Times New Roman" w:cs="Times New Roman"/>
          <w:sz w:val="24"/>
          <w:szCs w:val="24"/>
          <w:lang w:val="en-ZW"/>
        </w:rPr>
      </w:pPr>
    </w:p>
    <w:p w:rsidR="00863CD5" w:rsidRDefault="007A2021"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BC56B2" w:rsidRPr="00B52A94">
        <w:rPr>
          <w:rFonts w:ascii="Times New Roman" w:hAnsi="Times New Roman" w:cs="Times New Roman"/>
          <w:sz w:val="24"/>
          <w:szCs w:val="24"/>
          <w:lang w:val="en-ZW"/>
        </w:rPr>
        <w:t>On 26 September 2011</w:t>
      </w:r>
      <w:r w:rsidR="00502762" w:rsidRPr="00B52A94">
        <w:rPr>
          <w:rFonts w:ascii="Times New Roman" w:hAnsi="Times New Roman" w:cs="Times New Roman"/>
          <w:sz w:val="24"/>
          <w:szCs w:val="24"/>
          <w:lang w:val="en-ZW"/>
        </w:rPr>
        <w:t>,</w:t>
      </w:r>
      <w:r w:rsidR="00BC56B2" w:rsidRPr="00B52A94">
        <w:rPr>
          <w:rFonts w:ascii="Times New Roman" w:hAnsi="Times New Roman" w:cs="Times New Roman"/>
          <w:sz w:val="24"/>
          <w:szCs w:val="24"/>
          <w:lang w:val="en-ZW"/>
        </w:rPr>
        <w:t xml:space="preserve"> the respondent and </w:t>
      </w:r>
      <w:r w:rsidR="00863CD5" w:rsidRPr="00B52A94">
        <w:rPr>
          <w:rFonts w:ascii="Times New Roman" w:hAnsi="Times New Roman" w:cs="Times New Roman"/>
          <w:sz w:val="24"/>
          <w:szCs w:val="24"/>
          <w:lang w:val="en-ZW"/>
        </w:rPr>
        <w:t xml:space="preserve">one </w:t>
      </w:r>
      <w:r w:rsidR="00BC56B2" w:rsidRPr="00B52A94">
        <w:rPr>
          <w:rFonts w:ascii="Times New Roman" w:hAnsi="Times New Roman" w:cs="Times New Roman"/>
          <w:sz w:val="24"/>
          <w:szCs w:val="24"/>
          <w:lang w:val="en-ZW"/>
        </w:rPr>
        <w:t xml:space="preserve">Lazarus Nyakudya wrote a letter to the appellant </w:t>
      </w:r>
      <w:r w:rsidR="00D819AC" w:rsidRPr="00B52A94">
        <w:rPr>
          <w:rFonts w:ascii="Times New Roman" w:hAnsi="Times New Roman" w:cs="Times New Roman"/>
          <w:sz w:val="24"/>
          <w:szCs w:val="24"/>
          <w:lang w:val="en-ZW"/>
        </w:rPr>
        <w:t xml:space="preserve">in which </w:t>
      </w:r>
      <w:r w:rsidR="00BC56B2" w:rsidRPr="00B52A94">
        <w:rPr>
          <w:rFonts w:ascii="Times New Roman" w:hAnsi="Times New Roman" w:cs="Times New Roman"/>
          <w:sz w:val="24"/>
          <w:szCs w:val="24"/>
          <w:lang w:val="en-ZW"/>
        </w:rPr>
        <w:t>they acknowledged their indebtedness to the appellant and also expressed their wish to transfer the suretyship of the</w:t>
      </w:r>
      <w:r w:rsidR="00E92040" w:rsidRPr="00B52A94">
        <w:rPr>
          <w:rFonts w:ascii="Times New Roman" w:hAnsi="Times New Roman" w:cs="Times New Roman"/>
          <w:sz w:val="24"/>
          <w:szCs w:val="24"/>
          <w:lang w:val="en-ZW"/>
        </w:rPr>
        <w:t xml:space="preserve"> respondent to Lazarus Nyakudya</w:t>
      </w:r>
      <w:r w:rsidR="00BC56B2" w:rsidRPr="00B52A94">
        <w:rPr>
          <w:rFonts w:ascii="Times New Roman" w:hAnsi="Times New Roman" w:cs="Times New Roman"/>
          <w:sz w:val="24"/>
          <w:szCs w:val="24"/>
          <w:lang w:val="en-ZW"/>
        </w:rPr>
        <w:t xml:space="preserve">.  On </w:t>
      </w:r>
      <w:r w:rsidR="00863CD5" w:rsidRPr="00B52A94">
        <w:rPr>
          <w:rFonts w:ascii="Times New Roman" w:hAnsi="Times New Roman" w:cs="Times New Roman"/>
          <w:sz w:val="24"/>
          <w:szCs w:val="24"/>
          <w:lang w:val="en-ZW"/>
        </w:rPr>
        <w:t xml:space="preserve">the same day, </w:t>
      </w:r>
      <w:r w:rsidR="00BC56B2" w:rsidRPr="00B52A94">
        <w:rPr>
          <w:rFonts w:ascii="Times New Roman" w:hAnsi="Times New Roman" w:cs="Times New Roman"/>
          <w:sz w:val="24"/>
          <w:szCs w:val="24"/>
          <w:lang w:val="en-ZW"/>
        </w:rPr>
        <w:t>Lazarus Nyakudya signed a deed of suretyship as surety and co-principal d</w:t>
      </w:r>
      <w:r w:rsidR="00D325FD" w:rsidRPr="00B52A94">
        <w:rPr>
          <w:rFonts w:ascii="Times New Roman" w:hAnsi="Times New Roman" w:cs="Times New Roman"/>
          <w:sz w:val="24"/>
          <w:szCs w:val="24"/>
          <w:lang w:val="en-ZW"/>
        </w:rPr>
        <w:t>ebtor with</w:t>
      </w:r>
      <w:r w:rsidR="004545CF" w:rsidRPr="00B52A94">
        <w:rPr>
          <w:rFonts w:ascii="Times New Roman" w:hAnsi="Times New Roman" w:cs="Times New Roman"/>
          <w:sz w:val="24"/>
          <w:szCs w:val="24"/>
          <w:lang w:val="en-ZW"/>
        </w:rPr>
        <w:t xml:space="preserve"> Farmc</w:t>
      </w:r>
      <w:r w:rsidR="00BC56B2" w:rsidRPr="00B52A94">
        <w:rPr>
          <w:rFonts w:ascii="Times New Roman" w:hAnsi="Times New Roman" w:cs="Times New Roman"/>
          <w:sz w:val="24"/>
          <w:szCs w:val="24"/>
          <w:lang w:val="en-ZW"/>
        </w:rPr>
        <w:t>r</w:t>
      </w:r>
      <w:r w:rsidR="004545CF" w:rsidRPr="00B52A94">
        <w:rPr>
          <w:rFonts w:ascii="Times New Roman" w:hAnsi="Times New Roman" w:cs="Times New Roman"/>
          <w:sz w:val="24"/>
          <w:szCs w:val="24"/>
          <w:lang w:val="en-ZW"/>
        </w:rPr>
        <w:t>o</w:t>
      </w:r>
      <w:r w:rsidR="00BC56B2" w:rsidRPr="00B52A94">
        <w:rPr>
          <w:rFonts w:ascii="Times New Roman" w:hAnsi="Times New Roman" w:cs="Times New Roman"/>
          <w:sz w:val="24"/>
          <w:szCs w:val="24"/>
          <w:lang w:val="en-ZW"/>
        </w:rPr>
        <w:t>p Enterprises in favour of the appellant on the same terms as the deed of surety signed by the respondent</w:t>
      </w:r>
      <w:r w:rsidR="00D325FD" w:rsidRPr="00B52A94">
        <w:rPr>
          <w:rFonts w:ascii="Times New Roman" w:hAnsi="Times New Roman" w:cs="Times New Roman"/>
          <w:sz w:val="24"/>
          <w:szCs w:val="24"/>
          <w:lang w:val="en-ZW"/>
        </w:rPr>
        <w:t>,</w:t>
      </w:r>
      <w:r w:rsidR="00BC56B2" w:rsidRPr="00B52A94">
        <w:rPr>
          <w:rFonts w:ascii="Times New Roman" w:hAnsi="Times New Roman" w:cs="Times New Roman"/>
          <w:sz w:val="24"/>
          <w:szCs w:val="24"/>
          <w:lang w:val="en-ZW"/>
        </w:rPr>
        <w:t xml:space="preserve"> save to say that Lazarus Nyakudya expressly renounced all the benefits available to a surety.</w:t>
      </w:r>
    </w:p>
    <w:p w:rsidR="00693166" w:rsidRPr="00B52A94" w:rsidRDefault="00693166" w:rsidP="00693166">
      <w:pPr>
        <w:spacing w:after="0" w:line="480" w:lineRule="auto"/>
        <w:jc w:val="both"/>
        <w:rPr>
          <w:rFonts w:ascii="Times New Roman" w:hAnsi="Times New Roman" w:cs="Times New Roman"/>
          <w:sz w:val="24"/>
          <w:szCs w:val="24"/>
          <w:lang w:val="en-ZW"/>
        </w:rPr>
      </w:pPr>
    </w:p>
    <w:p w:rsidR="00551A7A" w:rsidRPr="00B52A94" w:rsidRDefault="007A2021"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9956AE" w:rsidRPr="00B52A94">
        <w:rPr>
          <w:rFonts w:ascii="Times New Roman" w:hAnsi="Times New Roman" w:cs="Times New Roman"/>
          <w:sz w:val="24"/>
          <w:szCs w:val="24"/>
          <w:lang w:val="en-ZW"/>
        </w:rPr>
        <w:t xml:space="preserve">The appellant issued summons against </w:t>
      </w:r>
      <w:r w:rsidR="00551A7A" w:rsidRPr="00B52A94">
        <w:rPr>
          <w:rFonts w:ascii="Times New Roman" w:hAnsi="Times New Roman" w:cs="Times New Roman"/>
          <w:sz w:val="24"/>
          <w:szCs w:val="24"/>
          <w:lang w:val="en-ZW"/>
        </w:rPr>
        <w:t xml:space="preserve">the company </w:t>
      </w:r>
      <w:r w:rsidR="009956AE" w:rsidRPr="00B52A94">
        <w:rPr>
          <w:rFonts w:ascii="Times New Roman" w:hAnsi="Times New Roman" w:cs="Times New Roman"/>
          <w:sz w:val="24"/>
          <w:szCs w:val="24"/>
          <w:lang w:val="en-ZW"/>
        </w:rPr>
        <w:t>and the respondent</w:t>
      </w:r>
      <w:r w:rsidR="00693166">
        <w:rPr>
          <w:rFonts w:ascii="Times New Roman" w:hAnsi="Times New Roman" w:cs="Times New Roman"/>
          <w:sz w:val="24"/>
          <w:szCs w:val="24"/>
          <w:lang w:val="en-ZW"/>
        </w:rPr>
        <w:t xml:space="preserve"> on 1 </w:t>
      </w:r>
      <w:r w:rsidR="00917309" w:rsidRPr="00B52A94">
        <w:rPr>
          <w:rFonts w:ascii="Times New Roman" w:hAnsi="Times New Roman" w:cs="Times New Roman"/>
          <w:sz w:val="24"/>
          <w:szCs w:val="24"/>
          <w:lang w:val="en-ZW"/>
        </w:rPr>
        <w:t>December 2011 claiming payment of US$46 717.16</w:t>
      </w:r>
      <w:r w:rsidR="009956AE" w:rsidRPr="00B52A94">
        <w:rPr>
          <w:rFonts w:ascii="Times New Roman" w:hAnsi="Times New Roman" w:cs="Times New Roman"/>
          <w:sz w:val="24"/>
          <w:szCs w:val="24"/>
          <w:lang w:val="en-ZW"/>
        </w:rPr>
        <w:t xml:space="preserve">. The former was in default and the appellant obtained judgment in default in the sum claimed. </w:t>
      </w:r>
    </w:p>
    <w:p w:rsidR="0001152F" w:rsidRPr="00B52A94" w:rsidRDefault="0001152F" w:rsidP="00693166">
      <w:pPr>
        <w:spacing w:after="0" w:line="480" w:lineRule="auto"/>
        <w:jc w:val="both"/>
        <w:rPr>
          <w:rFonts w:ascii="Times New Roman" w:hAnsi="Times New Roman" w:cs="Times New Roman"/>
          <w:sz w:val="24"/>
          <w:szCs w:val="24"/>
          <w:lang w:val="en-ZW"/>
        </w:rPr>
      </w:pPr>
    </w:p>
    <w:p w:rsidR="00BC56B2" w:rsidRPr="00B52A94" w:rsidRDefault="00551A7A"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 xml:space="preserve">    </w:t>
      </w:r>
      <w:r w:rsidR="009956AE" w:rsidRPr="00B52A94">
        <w:rPr>
          <w:rFonts w:ascii="Times New Roman" w:hAnsi="Times New Roman" w:cs="Times New Roman"/>
          <w:sz w:val="24"/>
          <w:szCs w:val="24"/>
          <w:lang w:val="en-ZW"/>
        </w:rPr>
        <w:t>The respondent entered an appearance to defend and filed a plea</w:t>
      </w:r>
      <w:r w:rsidR="00917309" w:rsidRPr="00B52A94">
        <w:rPr>
          <w:rFonts w:ascii="Times New Roman" w:hAnsi="Times New Roman" w:cs="Times New Roman"/>
          <w:sz w:val="24"/>
          <w:szCs w:val="24"/>
          <w:lang w:val="en-ZW"/>
        </w:rPr>
        <w:t>. I</w:t>
      </w:r>
      <w:r w:rsidR="00BC56B2" w:rsidRPr="00B52A94">
        <w:rPr>
          <w:rFonts w:ascii="Times New Roman" w:hAnsi="Times New Roman" w:cs="Times New Roman"/>
          <w:sz w:val="24"/>
          <w:szCs w:val="24"/>
          <w:lang w:val="en-ZW"/>
        </w:rPr>
        <w:t>t</w:t>
      </w:r>
      <w:r w:rsidR="00917309" w:rsidRPr="00B52A94">
        <w:rPr>
          <w:rFonts w:ascii="Times New Roman" w:hAnsi="Times New Roman" w:cs="Times New Roman"/>
          <w:sz w:val="24"/>
          <w:szCs w:val="24"/>
          <w:lang w:val="en-ZW"/>
        </w:rPr>
        <w:t xml:space="preserve"> </w:t>
      </w:r>
      <w:r w:rsidR="00BC56B2" w:rsidRPr="00B52A94">
        <w:rPr>
          <w:rFonts w:ascii="Times New Roman" w:hAnsi="Times New Roman" w:cs="Times New Roman"/>
          <w:sz w:val="24"/>
          <w:szCs w:val="24"/>
          <w:lang w:val="en-ZW"/>
        </w:rPr>
        <w:t xml:space="preserve">was respondent’s defence that he had been wrongly cited because the transfer of his suretyship to Lazarus Nyakudya had the effect of absolving </w:t>
      </w:r>
      <w:r w:rsidR="00E92040" w:rsidRPr="00B52A94">
        <w:rPr>
          <w:rFonts w:ascii="Times New Roman" w:hAnsi="Times New Roman" w:cs="Times New Roman"/>
          <w:sz w:val="24"/>
          <w:szCs w:val="24"/>
          <w:lang w:val="en-ZW"/>
        </w:rPr>
        <w:t xml:space="preserve">him </w:t>
      </w:r>
      <w:r w:rsidR="00BC56B2" w:rsidRPr="00B52A94">
        <w:rPr>
          <w:rFonts w:ascii="Times New Roman" w:hAnsi="Times New Roman" w:cs="Times New Roman"/>
          <w:sz w:val="24"/>
          <w:szCs w:val="24"/>
          <w:lang w:val="en-ZW"/>
        </w:rPr>
        <w:t>of his duty as surety towards the appellant.</w:t>
      </w:r>
    </w:p>
    <w:p w:rsidR="007A2021" w:rsidRPr="00B52A94" w:rsidRDefault="007A2021" w:rsidP="00693166">
      <w:pPr>
        <w:spacing w:after="0" w:line="480" w:lineRule="auto"/>
        <w:jc w:val="both"/>
        <w:rPr>
          <w:rFonts w:ascii="Times New Roman" w:hAnsi="Times New Roman" w:cs="Times New Roman"/>
          <w:sz w:val="24"/>
          <w:szCs w:val="24"/>
          <w:lang w:val="en-ZW"/>
        </w:rPr>
      </w:pPr>
    </w:p>
    <w:p w:rsidR="00DB17C6" w:rsidRPr="00B52A94" w:rsidRDefault="004545CF" w:rsidP="00693166">
      <w:pPr>
        <w:spacing w:after="0" w:line="480" w:lineRule="auto"/>
        <w:ind w:firstLine="1560"/>
        <w:jc w:val="both"/>
        <w:rPr>
          <w:rFonts w:ascii="Times New Roman" w:eastAsia="Times New Roman" w:hAnsi="Times New Roman" w:cs="Times New Roman"/>
          <w:sz w:val="24"/>
          <w:szCs w:val="24"/>
          <w:lang w:val="en-ZW" w:eastAsia="en-ZW"/>
        </w:rPr>
      </w:pPr>
      <w:r w:rsidRPr="00B52A94">
        <w:rPr>
          <w:rFonts w:ascii="Times New Roman" w:hAnsi="Times New Roman" w:cs="Times New Roman"/>
          <w:sz w:val="24"/>
          <w:szCs w:val="24"/>
          <w:lang w:val="en-ZW"/>
        </w:rPr>
        <w:t>A</w:t>
      </w:r>
      <w:r w:rsidR="00917309" w:rsidRPr="00B52A94">
        <w:rPr>
          <w:rFonts w:ascii="Times New Roman" w:hAnsi="Times New Roman" w:cs="Times New Roman"/>
          <w:sz w:val="24"/>
          <w:szCs w:val="24"/>
          <w:lang w:val="en-ZW"/>
        </w:rPr>
        <w:t>f</w:t>
      </w:r>
      <w:r w:rsidRPr="00B52A94">
        <w:rPr>
          <w:rFonts w:ascii="Times New Roman" w:hAnsi="Times New Roman" w:cs="Times New Roman"/>
          <w:sz w:val="24"/>
          <w:szCs w:val="24"/>
          <w:lang w:val="en-ZW"/>
        </w:rPr>
        <w:t>t</w:t>
      </w:r>
      <w:r w:rsidR="00917309" w:rsidRPr="00B52A94">
        <w:rPr>
          <w:rFonts w:ascii="Times New Roman" w:hAnsi="Times New Roman" w:cs="Times New Roman"/>
          <w:sz w:val="24"/>
          <w:szCs w:val="24"/>
          <w:lang w:val="en-ZW"/>
        </w:rPr>
        <w:t xml:space="preserve">er </w:t>
      </w:r>
      <w:r w:rsidRPr="00B52A94">
        <w:rPr>
          <w:rFonts w:ascii="Times New Roman" w:hAnsi="Times New Roman" w:cs="Times New Roman"/>
          <w:sz w:val="24"/>
          <w:szCs w:val="24"/>
          <w:lang w:val="en-ZW"/>
        </w:rPr>
        <w:t>the close of pleadings</w:t>
      </w:r>
      <w:r w:rsidR="00502762" w:rsidRPr="00B52A94">
        <w:rPr>
          <w:rFonts w:ascii="Times New Roman" w:hAnsi="Times New Roman" w:cs="Times New Roman"/>
          <w:sz w:val="24"/>
          <w:szCs w:val="24"/>
          <w:lang w:val="en-ZW"/>
        </w:rPr>
        <w:t>,</w:t>
      </w:r>
      <w:r w:rsidRPr="00B52A94">
        <w:rPr>
          <w:rFonts w:ascii="Times New Roman" w:hAnsi="Times New Roman" w:cs="Times New Roman"/>
          <w:sz w:val="24"/>
          <w:szCs w:val="24"/>
          <w:lang w:val="en-ZW"/>
        </w:rPr>
        <w:t xml:space="preserve"> the matter </w:t>
      </w:r>
      <w:r w:rsidR="00917309" w:rsidRPr="00B52A94">
        <w:rPr>
          <w:rFonts w:ascii="Times New Roman" w:hAnsi="Times New Roman" w:cs="Times New Roman"/>
          <w:sz w:val="24"/>
          <w:szCs w:val="24"/>
          <w:lang w:val="en-ZW"/>
        </w:rPr>
        <w:t>was referred to a judge in chambers for the holding of a</w:t>
      </w:r>
      <w:r w:rsidRPr="00B52A94">
        <w:rPr>
          <w:rFonts w:ascii="Times New Roman" w:hAnsi="Times New Roman" w:cs="Times New Roman"/>
          <w:sz w:val="24"/>
          <w:szCs w:val="24"/>
          <w:lang w:val="en-ZW"/>
        </w:rPr>
        <w:t xml:space="preserve"> pre-trial conference</w:t>
      </w:r>
      <w:r w:rsidR="00917309" w:rsidRPr="00B52A94">
        <w:rPr>
          <w:rFonts w:ascii="Times New Roman" w:hAnsi="Times New Roman" w:cs="Times New Roman"/>
          <w:sz w:val="24"/>
          <w:szCs w:val="24"/>
          <w:lang w:val="en-ZW"/>
        </w:rPr>
        <w:t>. The parties</w:t>
      </w:r>
      <w:r w:rsidR="00E92040" w:rsidRPr="00B52A94">
        <w:rPr>
          <w:rFonts w:ascii="Times New Roman" w:hAnsi="Times New Roman" w:cs="Times New Roman"/>
          <w:sz w:val="24"/>
          <w:szCs w:val="24"/>
          <w:lang w:val="en-ZW"/>
        </w:rPr>
        <w:t xml:space="preserve"> agreed </w:t>
      </w:r>
      <w:r w:rsidR="00917309" w:rsidRPr="00B52A94">
        <w:rPr>
          <w:rFonts w:ascii="Times New Roman" w:hAnsi="Times New Roman" w:cs="Times New Roman"/>
          <w:sz w:val="24"/>
          <w:szCs w:val="24"/>
          <w:lang w:val="en-ZW"/>
        </w:rPr>
        <w:t xml:space="preserve">at the pre-trial conference </w:t>
      </w:r>
      <w:r w:rsidR="00E92040" w:rsidRPr="00B52A94">
        <w:rPr>
          <w:rFonts w:ascii="Times New Roman" w:hAnsi="Times New Roman" w:cs="Times New Roman"/>
          <w:sz w:val="24"/>
          <w:szCs w:val="24"/>
          <w:lang w:val="en-ZW"/>
        </w:rPr>
        <w:t xml:space="preserve">that the claim should be reduced to US$40 954.15. The </w:t>
      </w:r>
      <w:r w:rsidR="00917309" w:rsidRPr="00B52A94">
        <w:rPr>
          <w:rFonts w:ascii="Times New Roman" w:hAnsi="Times New Roman" w:cs="Times New Roman"/>
          <w:sz w:val="24"/>
          <w:szCs w:val="24"/>
          <w:lang w:val="en-ZW"/>
        </w:rPr>
        <w:t xml:space="preserve">only </w:t>
      </w:r>
      <w:r w:rsidR="00E92040" w:rsidRPr="00B52A94">
        <w:rPr>
          <w:rFonts w:ascii="Times New Roman" w:hAnsi="Times New Roman" w:cs="Times New Roman"/>
          <w:sz w:val="24"/>
          <w:szCs w:val="24"/>
          <w:lang w:val="en-ZW"/>
        </w:rPr>
        <w:t>issue referred to trial was whether or not the appellant accep</w:t>
      </w:r>
      <w:r w:rsidR="00917309" w:rsidRPr="00B52A94">
        <w:rPr>
          <w:rFonts w:ascii="Times New Roman" w:hAnsi="Times New Roman" w:cs="Times New Roman"/>
          <w:sz w:val="24"/>
          <w:szCs w:val="24"/>
          <w:lang w:val="en-ZW"/>
        </w:rPr>
        <w:t>t</w:t>
      </w:r>
      <w:r w:rsidR="00E92040" w:rsidRPr="00B52A94">
        <w:rPr>
          <w:rFonts w:ascii="Times New Roman" w:hAnsi="Times New Roman" w:cs="Times New Roman"/>
          <w:sz w:val="24"/>
          <w:szCs w:val="24"/>
          <w:lang w:val="en-ZW"/>
        </w:rPr>
        <w:t xml:space="preserve">ed that the respondent was no longer </w:t>
      </w:r>
      <w:r w:rsidR="00917309" w:rsidRPr="00B52A94">
        <w:rPr>
          <w:rFonts w:ascii="Times New Roman" w:hAnsi="Times New Roman" w:cs="Times New Roman"/>
          <w:sz w:val="24"/>
          <w:szCs w:val="24"/>
          <w:lang w:val="en-ZW"/>
        </w:rPr>
        <w:t xml:space="preserve">bound to the appellant as a </w:t>
      </w:r>
      <w:r w:rsidR="00E92040" w:rsidRPr="00B52A94">
        <w:rPr>
          <w:rFonts w:ascii="Times New Roman" w:hAnsi="Times New Roman" w:cs="Times New Roman"/>
          <w:sz w:val="24"/>
          <w:szCs w:val="24"/>
          <w:lang w:val="en-ZW"/>
        </w:rPr>
        <w:t xml:space="preserve">surety </w:t>
      </w:r>
      <w:r w:rsidR="00551A7A" w:rsidRPr="00B52A94">
        <w:rPr>
          <w:rFonts w:ascii="Times New Roman" w:hAnsi="Times New Roman" w:cs="Times New Roman"/>
          <w:sz w:val="24"/>
          <w:szCs w:val="24"/>
          <w:lang w:val="en-ZW"/>
        </w:rPr>
        <w:t xml:space="preserve">and co-principal debtor whether he </w:t>
      </w:r>
      <w:r w:rsidR="00E92040" w:rsidRPr="00B52A94">
        <w:rPr>
          <w:rFonts w:ascii="Times New Roman" w:hAnsi="Times New Roman" w:cs="Times New Roman"/>
          <w:sz w:val="24"/>
          <w:szCs w:val="24"/>
          <w:lang w:val="en-ZW"/>
        </w:rPr>
        <w:t xml:space="preserve">was </w:t>
      </w:r>
      <w:r w:rsidR="00917309" w:rsidRPr="00B52A94">
        <w:rPr>
          <w:rFonts w:ascii="Times New Roman" w:hAnsi="Times New Roman" w:cs="Times New Roman"/>
          <w:sz w:val="24"/>
          <w:szCs w:val="24"/>
          <w:lang w:val="en-ZW"/>
        </w:rPr>
        <w:t xml:space="preserve">properly </w:t>
      </w:r>
      <w:r w:rsidR="00E92040" w:rsidRPr="00B52A94">
        <w:rPr>
          <w:rFonts w:ascii="Times New Roman" w:hAnsi="Times New Roman" w:cs="Times New Roman"/>
          <w:sz w:val="24"/>
          <w:szCs w:val="24"/>
          <w:lang w:val="en-ZW"/>
        </w:rPr>
        <w:t xml:space="preserve">substituted by Lazarus Nyakudya. </w:t>
      </w:r>
      <w:r w:rsidR="00917309" w:rsidRPr="00B52A94">
        <w:rPr>
          <w:rFonts w:ascii="Times New Roman" w:hAnsi="Times New Roman" w:cs="Times New Roman"/>
          <w:sz w:val="24"/>
          <w:szCs w:val="24"/>
          <w:lang w:val="en-ZW"/>
        </w:rPr>
        <w:t xml:space="preserve">As a consequence the </w:t>
      </w:r>
      <w:r w:rsidR="00E92040" w:rsidRPr="00B52A94">
        <w:rPr>
          <w:rFonts w:ascii="Times New Roman" w:hAnsi="Times New Roman" w:cs="Times New Roman"/>
          <w:sz w:val="24"/>
          <w:szCs w:val="24"/>
          <w:lang w:val="en-ZW"/>
        </w:rPr>
        <w:t xml:space="preserve">focus </w:t>
      </w:r>
      <w:r w:rsidR="00917309" w:rsidRPr="00B52A94">
        <w:rPr>
          <w:rFonts w:ascii="Times New Roman" w:hAnsi="Times New Roman" w:cs="Times New Roman"/>
          <w:sz w:val="24"/>
          <w:szCs w:val="24"/>
          <w:lang w:val="en-ZW"/>
        </w:rPr>
        <w:t xml:space="preserve">for trial </w:t>
      </w:r>
      <w:r w:rsidR="00E92040" w:rsidRPr="00B52A94">
        <w:rPr>
          <w:rFonts w:ascii="Times New Roman" w:hAnsi="Times New Roman" w:cs="Times New Roman"/>
          <w:sz w:val="24"/>
          <w:szCs w:val="24"/>
          <w:lang w:val="en-ZW"/>
        </w:rPr>
        <w:t xml:space="preserve">was the liability of the respondent. </w:t>
      </w:r>
    </w:p>
    <w:p w:rsidR="00750261" w:rsidRPr="00B52A94" w:rsidRDefault="00750261" w:rsidP="00693166">
      <w:pPr>
        <w:spacing w:after="0" w:line="480" w:lineRule="auto"/>
        <w:jc w:val="both"/>
        <w:rPr>
          <w:rFonts w:ascii="Times New Roman" w:eastAsia="Times New Roman" w:hAnsi="Times New Roman" w:cs="Times New Roman"/>
          <w:sz w:val="24"/>
          <w:szCs w:val="24"/>
          <w:lang w:val="en-ZW" w:eastAsia="en-ZW"/>
        </w:rPr>
      </w:pPr>
    </w:p>
    <w:p w:rsidR="00BC56B2" w:rsidRPr="00B52A94" w:rsidRDefault="001E5255" w:rsidP="00693166">
      <w:pPr>
        <w:spacing w:after="0" w:line="480" w:lineRule="auto"/>
        <w:ind w:firstLine="1560"/>
        <w:jc w:val="both"/>
        <w:rPr>
          <w:rFonts w:ascii="Times New Roman" w:eastAsia="Times New Roman" w:hAnsi="Times New Roman" w:cs="Times New Roman"/>
          <w:sz w:val="24"/>
          <w:szCs w:val="24"/>
          <w:lang w:val="en-ZW" w:eastAsia="en-ZW"/>
        </w:rPr>
      </w:pPr>
      <w:r w:rsidRPr="00B52A94">
        <w:rPr>
          <w:rFonts w:ascii="Times New Roman" w:eastAsia="Times New Roman" w:hAnsi="Times New Roman" w:cs="Times New Roman"/>
          <w:sz w:val="24"/>
          <w:szCs w:val="24"/>
          <w:lang w:val="en-ZW" w:eastAsia="en-ZW"/>
        </w:rPr>
        <w:t xml:space="preserve">Both parties called witnesses in support of their positions. The respondent also called as a witness a former employee of the appellant. </w:t>
      </w:r>
      <w:r w:rsidR="00750261" w:rsidRPr="00B52A94">
        <w:rPr>
          <w:rFonts w:ascii="Times New Roman" w:eastAsia="Times New Roman" w:hAnsi="Times New Roman" w:cs="Times New Roman"/>
          <w:sz w:val="24"/>
          <w:szCs w:val="24"/>
          <w:lang w:val="en-ZW" w:eastAsia="en-ZW"/>
        </w:rPr>
        <w:t xml:space="preserve">The court </w:t>
      </w:r>
      <w:r w:rsidR="00750261" w:rsidRPr="00B52A94">
        <w:rPr>
          <w:rFonts w:ascii="Times New Roman" w:eastAsia="Times New Roman" w:hAnsi="Times New Roman" w:cs="Times New Roman"/>
          <w:i/>
          <w:sz w:val="24"/>
          <w:szCs w:val="24"/>
          <w:lang w:val="en-ZW" w:eastAsia="en-ZW"/>
        </w:rPr>
        <w:t>a quo</w:t>
      </w:r>
      <w:r w:rsidR="00750261" w:rsidRPr="00B52A94">
        <w:rPr>
          <w:rFonts w:ascii="Times New Roman" w:eastAsia="Times New Roman" w:hAnsi="Times New Roman" w:cs="Times New Roman"/>
          <w:sz w:val="24"/>
          <w:szCs w:val="24"/>
          <w:lang w:val="en-ZW" w:eastAsia="en-ZW"/>
        </w:rPr>
        <w:t xml:space="preserve"> made a finding that the evidence</w:t>
      </w:r>
      <w:r w:rsidR="00F86CCD" w:rsidRPr="00B52A94">
        <w:rPr>
          <w:rFonts w:ascii="Times New Roman" w:eastAsia="Times New Roman" w:hAnsi="Times New Roman" w:cs="Times New Roman"/>
          <w:sz w:val="24"/>
          <w:szCs w:val="24"/>
          <w:lang w:val="en-ZW" w:eastAsia="en-ZW"/>
        </w:rPr>
        <w:t xml:space="preserve"> showed that by accepting a second deed of surety</w:t>
      </w:r>
      <w:r w:rsidR="00DE1EC9" w:rsidRPr="00B52A94">
        <w:rPr>
          <w:rFonts w:ascii="Times New Roman" w:eastAsia="Times New Roman" w:hAnsi="Times New Roman" w:cs="Times New Roman"/>
          <w:sz w:val="24"/>
          <w:szCs w:val="24"/>
          <w:lang w:val="en-ZW" w:eastAsia="en-ZW"/>
        </w:rPr>
        <w:t xml:space="preserve"> </w:t>
      </w:r>
      <w:r w:rsidR="00F86CCD" w:rsidRPr="00B52A94">
        <w:rPr>
          <w:rFonts w:ascii="Times New Roman" w:eastAsia="Times New Roman" w:hAnsi="Times New Roman" w:cs="Times New Roman"/>
          <w:sz w:val="24"/>
          <w:szCs w:val="24"/>
          <w:lang w:val="en-ZW" w:eastAsia="en-ZW"/>
        </w:rPr>
        <w:t>from Lazarus Nyakudya</w:t>
      </w:r>
      <w:r w:rsidR="00693166">
        <w:rPr>
          <w:rFonts w:ascii="Times New Roman" w:eastAsia="Times New Roman" w:hAnsi="Times New Roman" w:cs="Times New Roman"/>
          <w:sz w:val="24"/>
          <w:szCs w:val="24"/>
          <w:lang w:val="en-ZW" w:eastAsia="en-ZW"/>
        </w:rPr>
        <w:t xml:space="preserve"> on 26 </w:t>
      </w:r>
      <w:r w:rsidR="00F86CCD" w:rsidRPr="00B52A94">
        <w:rPr>
          <w:rFonts w:ascii="Times New Roman" w:eastAsia="Times New Roman" w:hAnsi="Times New Roman" w:cs="Times New Roman"/>
          <w:sz w:val="24"/>
          <w:szCs w:val="24"/>
          <w:lang w:val="en-ZW" w:eastAsia="en-ZW"/>
        </w:rPr>
        <w:t>September 2011, the appellant had exonerated the respondent of any form of liability. It held that the correct debtor was Lazarus Nyakudya because</w:t>
      </w:r>
      <w:r w:rsidR="00750261" w:rsidRPr="00B52A94">
        <w:rPr>
          <w:rFonts w:ascii="Times New Roman" w:eastAsia="Times New Roman" w:hAnsi="Times New Roman" w:cs="Times New Roman"/>
          <w:sz w:val="24"/>
          <w:szCs w:val="24"/>
          <w:lang w:val="en-ZW" w:eastAsia="en-ZW"/>
        </w:rPr>
        <w:t xml:space="preserve"> the first deed of surety signed by the respondent was </w:t>
      </w:r>
      <w:r w:rsidR="00F86CCD" w:rsidRPr="00B52A94">
        <w:rPr>
          <w:rFonts w:ascii="Times New Roman" w:eastAsia="Times New Roman" w:hAnsi="Times New Roman" w:cs="Times New Roman"/>
          <w:sz w:val="24"/>
          <w:szCs w:val="24"/>
          <w:lang w:val="en-ZW" w:eastAsia="en-ZW"/>
        </w:rPr>
        <w:t xml:space="preserve">compromised by the second which was signed by Lazarus Nyakudya. In the result, the appellant’s claim was dismissed. Aggrieved by this decision, </w:t>
      </w:r>
      <w:r w:rsidR="007A2021" w:rsidRPr="00B52A94">
        <w:rPr>
          <w:rFonts w:ascii="Times New Roman" w:eastAsia="Times New Roman" w:hAnsi="Times New Roman" w:cs="Times New Roman"/>
          <w:sz w:val="24"/>
          <w:szCs w:val="24"/>
          <w:lang w:val="en-ZW" w:eastAsia="en-ZW"/>
        </w:rPr>
        <w:t>the appellant appealed to this C</w:t>
      </w:r>
      <w:r w:rsidR="00F86CCD" w:rsidRPr="00B52A94">
        <w:rPr>
          <w:rFonts w:ascii="Times New Roman" w:eastAsia="Times New Roman" w:hAnsi="Times New Roman" w:cs="Times New Roman"/>
          <w:sz w:val="24"/>
          <w:szCs w:val="24"/>
          <w:lang w:val="en-ZW" w:eastAsia="en-ZW"/>
        </w:rPr>
        <w:t>ourt on the following grounds:</w:t>
      </w:r>
    </w:p>
    <w:p w:rsidR="00C10D0F" w:rsidRPr="00B52A94" w:rsidRDefault="00C10D0F" w:rsidP="00693166">
      <w:pPr>
        <w:numPr>
          <w:ilvl w:val="0"/>
          <w:numId w:val="14"/>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Learned Judge misdirected himself when he found that the Deed of Suretyship signed by the respondent on 3 July 2009 had been cancelled when in fact there was no evidence to demonstrate that the Deed of Suretyship had been cancelled.</w:t>
      </w:r>
    </w:p>
    <w:p w:rsidR="00C10D0F" w:rsidRPr="00B52A94" w:rsidRDefault="00C10D0F" w:rsidP="00693166">
      <w:pPr>
        <w:numPr>
          <w:ilvl w:val="0"/>
          <w:numId w:val="14"/>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The Learned Judge erred and misdirected himself by failing to pay due regard to the provisions of clause 5 of the Deed of Suretyship which provided that it would remain in force until the appellant had agreed in writing to cancel the Deed of Suretyship. There was no written document cancelling the aforesaid Deed of Suretyship.</w:t>
      </w:r>
    </w:p>
    <w:p w:rsidR="00C10D0F" w:rsidRPr="00B52A94" w:rsidRDefault="00C10D0F" w:rsidP="00693166">
      <w:pPr>
        <w:numPr>
          <w:ilvl w:val="0"/>
          <w:numId w:val="14"/>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Learned Judge misdirected himself by finding that there was a novation when the respondent had not alleged that the new Deed of Suretyship that was signed by Lazarus Nyakudya created a novation of the principal debt. The deed of Suretyship signed by the Respondent could not have been terminated by the Deed of Suretyship signed by Lazarus Nyakudya which said nothing about it.</w:t>
      </w:r>
    </w:p>
    <w:p w:rsidR="00C10D0F" w:rsidRPr="00B52A94" w:rsidRDefault="00C10D0F" w:rsidP="00693166">
      <w:pPr>
        <w:numPr>
          <w:ilvl w:val="0"/>
          <w:numId w:val="14"/>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Learned Judge fell into error as the conduct of the parties quite clearly was not consistent with the intention to create a novation as the appellant did not cancel the original Deed of Suretyship.</w:t>
      </w:r>
    </w:p>
    <w:p w:rsidR="00C10D0F" w:rsidRPr="00B52A94" w:rsidRDefault="00C10D0F" w:rsidP="00693166">
      <w:pPr>
        <w:numPr>
          <w:ilvl w:val="0"/>
          <w:numId w:val="14"/>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The Learned Judge erred by admitting a letter written by the appellant’s Treasury Accountant to its Legal Practitioners as this evidence was inadmissible in terms of </w:t>
      </w:r>
      <w:r w:rsidR="007A2021" w:rsidRPr="00B52A94">
        <w:rPr>
          <w:rFonts w:ascii="Times New Roman" w:hAnsi="Times New Roman" w:cs="Times New Roman"/>
          <w:sz w:val="24"/>
          <w:szCs w:val="24"/>
          <w:lang w:val="en-ZW"/>
        </w:rPr>
        <w:t>s</w:t>
      </w:r>
      <w:r w:rsidRPr="00B52A94">
        <w:rPr>
          <w:rFonts w:ascii="Times New Roman" w:hAnsi="Times New Roman" w:cs="Times New Roman"/>
          <w:sz w:val="24"/>
          <w:szCs w:val="24"/>
          <w:lang w:val="en-ZW"/>
        </w:rPr>
        <w:t xml:space="preserve"> 8(6) of the Civil Evidence Act [</w:t>
      </w:r>
      <w:r w:rsidRPr="00B52A94">
        <w:rPr>
          <w:rFonts w:ascii="Times New Roman" w:hAnsi="Times New Roman" w:cs="Times New Roman"/>
          <w:i/>
          <w:sz w:val="24"/>
          <w:szCs w:val="24"/>
          <w:lang w:val="en-ZW"/>
        </w:rPr>
        <w:t>Chapter 8:01</w:t>
      </w:r>
      <w:r w:rsidRPr="00B52A94">
        <w:rPr>
          <w:rFonts w:ascii="Times New Roman" w:hAnsi="Times New Roman" w:cs="Times New Roman"/>
          <w:sz w:val="24"/>
          <w:szCs w:val="24"/>
          <w:lang w:val="en-ZW"/>
        </w:rPr>
        <w:t>].</w:t>
      </w:r>
    </w:p>
    <w:p w:rsidR="007A2021" w:rsidRPr="00B52A94" w:rsidRDefault="007A2021" w:rsidP="00693166">
      <w:pPr>
        <w:spacing w:after="0" w:line="480" w:lineRule="auto"/>
        <w:jc w:val="both"/>
        <w:rPr>
          <w:rFonts w:ascii="Times New Roman" w:hAnsi="Times New Roman" w:cs="Times New Roman"/>
          <w:sz w:val="24"/>
          <w:szCs w:val="24"/>
          <w:lang w:val="en-ZW"/>
        </w:rPr>
      </w:pPr>
    </w:p>
    <w:p w:rsidR="00F86CCD" w:rsidRPr="00B52A94" w:rsidRDefault="00F86CCD"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From the grounds of appeal, there were two issues for determination. These were:</w:t>
      </w:r>
    </w:p>
    <w:p w:rsidR="00C10D0F" w:rsidRPr="00B52A94" w:rsidRDefault="00C10D0F" w:rsidP="00693166">
      <w:pPr>
        <w:numPr>
          <w:ilvl w:val="0"/>
          <w:numId w:val="15"/>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Whether there was a transfer of suretyship from the respondent to Lazarus Nyakudya.</w:t>
      </w:r>
    </w:p>
    <w:p w:rsidR="00C10D0F" w:rsidRPr="00B52A94" w:rsidRDefault="00C10D0F" w:rsidP="00693166">
      <w:pPr>
        <w:numPr>
          <w:ilvl w:val="0"/>
          <w:numId w:val="15"/>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Whether there was a violation of s 8(</w:t>
      </w:r>
      <w:r w:rsidR="00E92040" w:rsidRPr="00B52A94">
        <w:rPr>
          <w:rFonts w:ascii="Times New Roman" w:hAnsi="Times New Roman" w:cs="Times New Roman"/>
          <w:sz w:val="24"/>
          <w:szCs w:val="24"/>
          <w:lang w:val="en-ZW"/>
        </w:rPr>
        <w:t>2</w:t>
      </w:r>
      <w:r w:rsidRPr="00B52A94">
        <w:rPr>
          <w:rFonts w:ascii="Times New Roman" w:hAnsi="Times New Roman" w:cs="Times New Roman"/>
          <w:sz w:val="24"/>
          <w:szCs w:val="24"/>
          <w:lang w:val="en-ZW"/>
        </w:rPr>
        <w:t>) of the Civil Evidence Act [</w:t>
      </w:r>
      <w:r w:rsidRPr="00B52A94">
        <w:rPr>
          <w:rFonts w:ascii="Times New Roman" w:hAnsi="Times New Roman" w:cs="Times New Roman"/>
          <w:i/>
          <w:sz w:val="24"/>
          <w:szCs w:val="24"/>
          <w:lang w:val="en-ZW"/>
        </w:rPr>
        <w:t>Chapter 8:01</w:t>
      </w:r>
      <w:r w:rsidRPr="00B52A94">
        <w:rPr>
          <w:rFonts w:ascii="Times New Roman" w:hAnsi="Times New Roman" w:cs="Times New Roman"/>
          <w:sz w:val="24"/>
          <w:szCs w:val="24"/>
          <w:lang w:val="en-ZW"/>
        </w:rPr>
        <w:t>].</w:t>
      </w:r>
    </w:p>
    <w:p w:rsidR="007A2021" w:rsidRPr="00B52A94" w:rsidRDefault="007A2021" w:rsidP="00693166">
      <w:pPr>
        <w:spacing w:after="0" w:line="480" w:lineRule="auto"/>
        <w:jc w:val="both"/>
        <w:rPr>
          <w:rFonts w:ascii="Times New Roman" w:hAnsi="Times New Roman" w:cs="Times New Roman"/>
          <w:sz w:val="24"/>
          <w:szCs w:val="24"/>
          <w:lang w:val="en-ZW"/>
        </w:rPr>
      </w:pPr>
    </w:p>
    <w:p w:rsidR="00F86CCD" w:rsidRPr="00B52A94" w:rsidRDefault="00F86CCD"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I shall deal with the issues raised. </w:t>
      </w:r>
    </w:p>
    <w:p w:rsidR="00C10D0F" w:rsidRPr="00B52A94" w:rsidRDefault="00C10D0F" w:rsidP="00693166">
      <w:pPr>
        <w:numPr>
          <w:ilvl w:val="0"/>
          <w:numId w:val="16"/>
        </w:numPr>
        <w:spacing w:after="0" w:line="480" w:lineRule="auto"/>
        <w:ind w:left="567" w:hanging="567"/>
        <w:jc w:val="both"/>
        <w:rPr>
          <w:rFonts w:ascii="Times New Roman" w:hAnsi="Times New Roman" w:cs="Times New Roman"/>
          <w:b/>
          <w:sz w:val="24"/>
          <w:szCs w:val="24"/>
          <w:lang w:val="en-ZW"/>
        </w:rPr>
      </w:pPr>
      <w:r w:rsidRPr="00B52A94">
        <w:rPr>
          <w:rFonts w:ascii="Times New Roman" w:hAnsi="Times New Roman" w:cs="Times New Roman"/>
          <w:b/>
          <w:sz w:val="24"/>
          <w:szCs w:val="24"/>
          <w:lang w:val="en-ZW"/>
        </w:rPr>
        <w:t>Whether there was a transfer of suretyship from the respondent to Lazarus Nyakudya.</w:t>
      </w:r>
    </w:p>
    <w:p w:rsidR="00132ABE" w:rsidRPr="00B52A94" w:rsidRDefault="00132ABE" w:rsidP="00693166">
      <w:pPr>
        <w:tabs>
          <w:tab w:val="left" w:pos="2475"/>
        </w:tabs>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 xml:space="preserve">The appellant’s case was that without the respondent producing a written cancellation </w:t>
      </w:r>
      <w:r w:rsidR="00551A7A" w:rsidRPr="00B52A94">
        <w:rPr>
          <w:rFonts w:ascii="Times New Roman" w:hAnsi="Times New Roman" w:cs="Times New Roman"/>
          <w:sz w:val="24"/>
          <w:szCs w:val="24"/>
          <w:lang w:val="en-ZW"/>
        </w:rPr>
        <w:t xml:space="preserve">of the </w:t>
      </w:r>
      <w:r w:rsidRPr="00B52A94">
        <w:rPr>
          <w:rFonts w:ascii="Times New Roman" w:hAnsi="Times New Roman" w:cs="Times New Roman"/>
          <w:sz w:val="24"/>
          <w:szCs w:val="24"/>
          <w:lang w:val="en-ZW"/>
        </w:rPr>
        <w:t xml:space="preserve">agreement as </w:t>
      </w:r>
      <w:r w:rsidR="00551A7A" w:rsidRPr="00B52A94">
        <w:rPr>
          <w:rFonts w:ascii="Times New Roman" w:hAnsi="Times New Roman" w:cs="Times New Roman"/>
          <w:sz w:val="24"/>
          <w:szCs w:val="24"/>
          <w:lang w:val="en-ZW"/>
        </w:rPr>
        <w:t>required in</w:t>
      </w:r>
      <w:r w:rsidRPr="00B52A94">
        <w:rPr>
          <w:rFonts w:ascii="Times New Roman" w:hAnsi="Times New Roman" w:cs="Times New Roman"/>
          <w:sz w:val="24"/>
          <w:szCs w:val="24"/>
          <w:lang w:val="en-ZW"/>
        </w:rPr>
        <w:t xml:space="preserve"> clause 5 of the Deed of suretyship signed by the respondent, the deed of suretyship still bound the respondent thus </w:t>
      </w:r>
      <w:r w:rsidR="000D36F1" w:rsidRPr="00B52A94">
        <w:rPr>
          <w:rFonts w:ascii="Times New Roman" w:hAnsi="Times New Roman" w:cs="Times New Roman"/>
          <w:sz w:val="24"/>
          <w:szCs w:val="24"/>
          <w:lang w:val="en-ZW"/>
        </w:rPr>
        <w:t>the court a quo erred in dismissing its claim against him</w:t>
      </w:r>
      <w:r w:rsidRPr="00B52A94">
        <w:rPr>
          <w:rFonts w:ascii="Times New Roman" w:hAnsi="Times New Roman" w:cs="Times New Roman"/>
          <w:sz w:val="24"/>
          <w:szCs w:val="24"/>
          <w:lang w:val="en-ZW"/>
        </w:rPr>
        <w:t>. Clause 5 of the deed</w:t>
      </w:r>
      <w:r w:rsidR="00E05A47" w:rsidRPr="00B52A94">
        <w:rPr>
          <w:rFonts w:ascii="Times New Roman" w:hAnsi="Times New Roman" w:cs="Times New Roman"/>
          <w:sz w:val="24"/>
          <w:szCs w:val="24"/>
          <w:lang w:val="en-ZW"/>
        </w:rPr>
        <w:t xml:space="preserve"> of suretyship reads as follows:</w:t>
      </w:r>
    </w:p>
    <w:p w:rsidR="00132ABE" w:rsidRPr="00B52A94" w:rsidRDefault="00132ABE"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Surety shall remain in full force as a continuing security, notwithstanding an intermediate settlement or fluctuations in the amounts outstanding from time to time by the Debtor in terms of the contract in place, notwithstanding the death or legal disability of me, until the said ZFC Limited has agreed in writing to cancel this suretyship and the suretyship shall further remain in force as a continuing security, binding upon me, notwithstanding that it may on any ground in whole or in part have ceased to be binding on me.”</w:t>
      </w:r>
    </w:p>
    <w:p w:rsidR="00E05A47" w:rsidRPr="00B52A94" w:rsidRDefault="00E05A47" w:rsidP="00693166">
      <w:pPr>
        <w:tabs>
          <w:tab w:val="left" w:pos="2475"/>
        </w:tabs>
        <w:spacing w:after="0" w:line="480" w:lineRule="auto"/>
        <w:jc w:val="both"/>
        <w:rPr>
          <w:rFonts w:ascii="Times New Roman" w:hAnsi="Times New Roman" w:cs="Times New Roman"/>
          <w:sz w:val="24"/>
          <w:szCs w:val="24"/>
          <w:lang w:val="en-ZW"/>
        </w:rPr>
      </w:pPr>
    </w:p>
    <w:p w:rsidR="00E05A47" w:rsidRPr="00B52A94" w:rsidRDefault="00E05A47" w:rsidP="00693166">
      <w:pPr>
        <w:tabs>
          <w:tab w:val="left" w:pos="2475"/>
        </w:tabs>
        <w:spacing w:after="0" w:line="240" w:lineRule="auto"/>
        <w:jc w:val="both"/>
        <w:rPr>
          <w:rFonts w:ascii="Times New Roman" w:hAnsi="Times New Roman" w:cs="Times New Roman"/>
          <w:sz w:val="24"/>
          <w:szCs w:val="24"/>
          <w:lang w:val="en-ZW"/>
        </w:rPr>
      </w:pPr>
    </w:p>
    <w:p w:rsidR="000D36F1"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0D36F1" w:rsidRPr="00B52A94">
        <w:rPr>
          <w:rFonts w:ascii="Times New Roman" w:hAnsi="Times New Roman" w:cs="Times New Roman"/>
          <w:sz w:val="24"/>
          <w:szCs w:val="24"/>
          <w:lang w:val="en-ZW"/>
        </w:rPr>
        <w:t xml:space="preserve">On the basis of this clause the appellant argued that it did not cancel the deed of surety in writing and thus the respondent remained indebted. It relied on the case of </w:t>
      </w:r>
      <w:r w:rsidR="000D36F1" w:rsidRPr="00B52A94">
        <w:rPr>
          <w:rFonts w:ascii="Times New Roman" w:hAnsi="Times New Roman" w:cs="Times New Roman"/>
          <w:i/>
          <w:sz w:val="24"/>
          <w:szCs w:val="24"/>
          <w:lang w:val="en-ZW"/>
        </w:rPr>
        <w:t xml:space="preserve">Muchabaiwa v Grab Enterprises (Pvt) Ltd </w:t>
      </w:r>
      <w:r w:rsidR="000D36F1" w:rsidRPr="00B52A94">
        <w:rPr>
          <w:rFonts w:ascii="Times New Roman" w:hAnsi="Times New Roman" w:cs="Times New Roman"/>
          <w:sz w:val="24"/>
          <w:szCs w:val="24"/>
          <w:lang w:val="en-ZW"/>
        </w:rPr>
        <w:t>1996 (2) ZLR 691 (SC) in which KORSAH JA stated:</w:t>
      </w:r>
    </w:p>
    <w:p w:rsidR="000D36F1" w:rsidRPr="00B52A94" w:rsidRDefault="000D36F1" w:rsidP="00693166">
      <w:pPr>
        <w:spacing w:after="0" w:line="240" w:lineRule="auto"/>
        <w:ind w:left="720"/>
        <w:jc w:val="both"/>
        <w:rPr>
          <w:rFonts w:ascii="Times New Roman" w:hAnsi="Times New Roman" w:cs="Times New Roman"/>
          <w:sz w:val="24"/>
          <w:szCs w:val="24"/>
        </w:rPr>
      </w:pPr>
      <w:r w:rsidRPr="00B52A94">
        <w:rPr>
          <w:rFonts w:ascii="Times New Roman" w:hAnsi="Times New Roman" w:cs="Times New Roman"/>
          <w:sz w:val="24"/>
          <w:szCs w:val="24"/>
          <w:lang w:val="en-ZW"/>
        </w:rPr>
        <w:t>“</w:t>
      </w:r>
      <w:r w:rsidRPr="00B52A94">
        <w:rPr>
          <w:rFonts w:ascii="Times New Roman" w:hAnsi="Times New Roman" w:cs="Times New Roman"/>
          <w:sz w:val="24"/>
          <w:szCs w:val="24"/>
        </w:rPr>
        <w:t xml:space="preserve">The general principle which applies to contracts, and commonly designated as </w:t>
      </w:r>
      <w:r w:rsidRPr="00B52A94">
        <w:rPr>
          <w:rFonts w:ascii="Times New Roman" w:hAnsi="Times New Roman" w:cs="Times New Roman"/>
          <w:i/>
          <w:sz w:val="24"/>
          <w:szCs w:val="24"/>
        </w:rPr>
        <w:t>caveat subscriptor</w:t>
      </w:r>
      <w:r w:rsidRPr="00B52A94">
        <w:rPr>
          <w:rFonts w:ascii="Times New Roman" w:hAnsi="Times New Roman" w:cs="Times New Roman"/>
          <w:sz w:val="24"/>
          <w:szCs w:val="24"/>
        </w:rPr>
        <w:t xml:space="preserve">, is that a party to the contract is bound by his signature, whether or not he has read or understood the contract, or the contract was signed with blank spaces later to be filled in. Expatiating on this principle in </w:t>
      </w:r>
      <w:r w:rsidRPr="00B52A94">
        <w:rPr>
          <w:rFonts w:ascii="Times New Roman" w:hAnsi="Times New Roman" w:cs="Times New Roman"/>
          <w:i/>
          <w:sz w:val="24"/>
          <w:szCs w:val="24"/>
        </w:rPr>
        <w:t>National and Grindlays Bank v Yelverton</w:t>
      </w:r>
      <w:r w:rsidRPr="00B52A94">
        <w:rPr>
          <w:rFonts w:ascii="Times New Roman" w:hAnsi="Times New Roman" w:cs="Times New Roman"/>
          <w:sz w:val="24"/>
          <w:szCs w:val="24"/>
        </w:rPr>
        <w:t xml:space="preserve"> 1972 (1) RLR 365 (G) at 367; 1972 (4) SA 114 (R) at 116G-H, </w:t>
      </w:r>
      <w:r w:rsidR="00E05A47" w:rsidRPr="00B52A94">
        <w:rPr>
          <w:rFonts w:ascii="Times New Roman" w:hAnsi="Times New Roman" w:cs="Times New Roman"/>
          <w:sz w:val="24"/>
          <w:szCs w:val="24"/>
        </w:rPr>
        <w:t>DAVIES</w:t>
      </w:r>
      <w:r w:rsidRPr="00B52A94">
        <w:rPr>
          <w:rFonts w:ascii="Times New Roman" w:hAnsi="Times New Roman" w:cs="Times New Roman"/>
          <w:sz w:val="24"/>
          <w:szCs w:val="24"/>
        </w:rPr>
        <w:t xml:space="preserve"> J cited with approval, the following statement by </w:t>
      </w:r>
      <w:r w:rsidR="00E05A47" w:rsidRPr="00B52A94">
        <w:rPr>
          <w:rFonts w:ascii="Times New Roman" w:hAnsi="Times New Roman" w:cs="Times New Roman"/>
          <w:sz w:val="24"/>
          <w:szCs w:val="24"/>
        </w:rPr>
        <w:t>INNES</w:t>
      </w:r>
      <w:r w:rsidRPr="00B52A94">
        <w:rPr>
          <w:rFonts w:ascii="Times New Roman" w:hAnsi="Times New Roman" w:cs="Times New Roman"/>
          <w:sz w:val="24"/>
          <w:szCs w:val="24"/>
        </w:rPr>
        <w:t xml:space="preserve"> CJ in </w:t>
      </w:r>
      <w:r w:rsidRPr="00B52A94">
        <w:rPr>
          <w:rFonts w:ascii="Times New Roman" w:hAnsi="Times New Roman" w:cs="Times New Roman"/>
          <w:i/>
          <w:sz w:val="24"/>
          <w:szCs w:val="24"/>
        </w:rPr>
        <w:t>Burger v Central South Africa Railways</w:t>
      </w:r>
      <w:r w:rsidRPr="00B52A94">
        <w:rPr>
          <w:rFonts w:ascii="Times New Roman" w:hAnsi="Times New Roman" w:cs="Times New Roman"/>
          <w:sz w:val="24"/>
          <w:szCs w:val="24"/>
        </w:rPr>
        <w:t xml:space="preserve"> 1903 TS 571 and 578 (decided before the promulgation of s 6 of the General Laws Amendment Act):</w:t>
      </w:r>
    </w:p>
    <w:p w:rsidR="000D36F1" w:rsidRPr="00B52A94" w:rsidRDefault="000D36F1" w:rsidP="00693166">
      <w:pPr>
        <w:spacing w:after="0" w:line="240" w:lineRule="auto"/>
        <w:ind w:left="1440"/>
        <w:jc w:val="both"/>
        <w:rPr>
          <w:rFonts w:ascii="Times New Roman" w:hAnsi="Times New Roman" w:cs="Times New Roman"/>
          <w:sz w:val="24"/>
          <w:szCs w:val="24"/>
        </w:rPr>
      </w:pPr>
      <w:r w:rsidRPr="00B52A94">
        <w:rPr>
          <w:rFonts w:ascii="Times New Roman" w:hAnsi="Times New Roman" w:cs="Times New Roman"/>
          <w:sz w:val="24"/>
          <w:szCs w:val="24"/>
        </w:rPr>
        <w:t>“It is a sound principle of law that a man, when he signs a contract, is taken to be bound by the ordinary meaning and effects of the words which appear over his signature.”</w:t>
      </w:r>
      <w:r w:rsidR="00E05A47" w:rsidRPr="00B52A94">
        <w:rPr>
          <w:rFonts w:ascii="Times New Roman" w:hAnsi="Times New Roman" w:cs="Times New Roman"/>
          <w:sz w:val="24"/>
          <w:szCs w:val="24"/>
        </w:rPr>
        <w:t>”</w:t>
      </w:r>
    </w:p>
    <w:p w:rsidR="00E05A47" w:rsidRPr="00B52A94" w:rsidRDefault="00E05A47" w:rsidP="00693166">
      <w:pPr>
        <w:tabs>
          <w:tab w:val="left" w:pos="2475"/>
        </w:tabs>
        <w:spacing w:after="0" w:line="480" w:lineRule="auto"/>
        <w:ind w:left="1440"/>
        <w:jc w:val="both"/>
        <w:rPr>
          <w:rFonts w:ascii="Times New Roman" w:hAnsi="Times New Roman" w:cs="Times New Roman"/>
          <w:sz w:val="24"/>
          <w:szCs w:val="24"/>
        </w:rPr>
      </w:pPr>
    </w:p>
    <w:p w:rsidR="00E05A47" w:rsidRPr="00B52A94" w:rsidRDefault="00E05A47" w:rsidP="00693166">
      <w:pPr>
        <w:tabs>
          <w:tab w:val="left" w:pos="2475"/>
        </w:tabs>
        <w:spacing w:after="0" w:line="240" w:lineRule="auto"/>
        <w:ind w:left="1440"/>
        <w:jc w:val="both"/>
        <w:rPr>
          <w:rFonts w:ascii="Times New Roman" w:hAnsi="Times New Roman" w:cs="Times New Roman"/>
          <w:sz w:val="24"/>
          <w:szCs w:val="24"/>
        </w:rPr>
      </w:pPr>
    </w:p>
    <w:p w:rsidR="006E2982" w:rsidRPr="00B52A94" w:rsidRDefault="00E05A47" w:rsidP="00693166">
      <w:pPr>
        <w:spacing w:after="0" w:line="480" w:lineRule="auto"/>
        <w:jc w:val="both"/>
        <w:rPr>
          <w:rFonts w:ascii="Times New Roman" w:hAnsi="Times New Roman" w:cs="Times New Roman"/>
          <w:sz w:val="24"/>
          <w:szCs w:val="24"/>
        </w:rPr>
      </w:pPr>
      <w:r w:rsidRPr="00B52A94">
        <w:rPr>
          <w:rFonts w:ascii="Times New Roman" w:hAnsi="Times New Roman" w:cs="Times New Roman"/>
          <w:sz w:val="24"/>
          <w:szCs w:val="24"/>
        </w:rPr>
        <w:tab/>
      </w:r>
      <w:r w:rsidRPr="00B52A94">
        <w:rPr>
          <w:rFonts w:ascii="Times New Roman" w:hAnsi="Times New Roman" w:cs="Times New Roman"/>
          <w:sz w:val="24"/>
          <w:szCs w:val="24"/>
        </w:rPr>
        <w:tab/>
      </w:r>
      <w:r w:rsidR="000D36F1" w:rsidRPr="00B52A94">
        <w:rPr>
          <w:rFonts w:ascii="Times New Roman" w:hAnsi="Times New Roman" w:cs="Times New Roman"/>
          <w:sz w:val="24"/>
          <w:szCs w:val="24"/>
        </w:rPr>
        <w:t>This a</w:t>
      </w:r>
      <w:r w:rsidR="00551A7A" w:rsidRPr="00B52A94">
        <w:rPr>
          <w:rFonts w:ascii="Times New Roman" w:hAnsi="Times New Roman" w:cs="Times New Roman"/>
          <w:sz w:val="24"/>
          <w:szCs w:val="24"/>
        </w:rPr>
        <w:t>uthority</w:t>
      </w:r>
      <w:r w:rsidR="000D36F1" w:rsidRPr="00B52A94">
        <w:rPr>
          <w:rFonts w:ascii="Times New Roman" w:hAnsi="Times New Roman" w:cs="Times New Roman"/>
          <w:sz w:val="24"/>
          <w:szCs w:val="24"/>
        </w:rPr>
        <w:t xml:space="preserve"> highlights the principle that </w:t>
      </w:r>
      <w:r w:rsidR="006E2982" w:rsidRPr="00B52A94">
        <w:rPr>
          <w:rFonts w:ascii="Times New Roman" w:hAnsi="Times New Roman" w:cs="Times New Roman"/>
          <w:sz w:val="24"/>
          <w:szCs w:val="24"/>
        </w:rPr>
        <w:t>the signatory to an agreement is bound by the impression of assent created by his or her signature in the mind of the contract enforcer. The appellant therefore ave</w:t>
      </w:r>
      <w:r w:rsidR="00C85A06" w:rsidRPr="00B52A94">
        <w:rPr>
          <w:rFonts w:ascii="Times New Roman" w:hAnsi="Times New Roman" w:cs="Times New Roman"/>
          <w:sz w:val="24"/>
          <w:szCs w:val="24"/>
        </w:rPr>
        <w:t>r</w:t>
      </w:r>
      <w:r w:rsidR="006E2982" w:rsidRPr="00B52A94">
        <w:rPr>
          <w:rFonts w:ascii="Times New Roman" w:hAnsi="Times New Roman" w:cs="Times New Roman"/>
          <w:sz w:val="24"/>
          <w:szCs w:val="24"/>
        </w:rPr>
        <w:t xml:space="preserve">red that the parties were bound by clause 5 and </w:t>
      </w:r>
      <w:r w:rsidR="00551A7A" w:rsidRPr="00B52A94">
        <w:rPr>
          <w:rFonts w:ascii="Times New Roman" w:hAnsi="Times New Roman" w:cs="Times New Roman"/>
          <w:sz w:val="24"/>
          <w:szCs w:val="24"/>
        </w:rPr>
        <w:t xml:space="preserve">that the </w:t>
      </w:r>
      <w:r w:rsidR="006E2982" w:rsidRPr="00B52A94">
        <w:rPr>
          <w:rFonts w:ascii="Times New Roman" w:hAnsi="Times New Roman" w:cs="Times New Roman"/>
          <w:sz w:val="24"/>
          <w:szCs w:val="24"/>
        </w:rPr>
        <w:t xml:space="preserve">deed of suretyship should have been cancelled in writing by the appellant </w:t>
      </w:r>
      <w:r w:rsidR="00551A7A" w:rsidRPr="00B52A94">
        <w:rPr>
          <w:rFonts w:ascii="Times New Roman" w:hAnsi="Times New Roman" w:cs="Times New Roman"/>
          <w:sz w:val="24"/>
          <w:szCs w:val="24"/>
        </w:rPr>
        <w:t xml:space="preserve">in order </w:t>
      </w:r>
      <w:r w:rsidR="006E2982" w:rsidRPr="00B52A94">
        <w:rPr>
          <w:rFonts w:ascii="Times New Roman" w:hAnsi="Times New Roman" w:cs="Times New Roman"/>
          <w:sz w:val="24"/>
          <w:szCs w:val="24"/>
        </w:rPr>
        <w:t xml:space="preserve">to absolve the respondent from liability. </w:t>
      </w:r>
    </w:p>
    <w:p w:rsidR="00C10D0F"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rPr>
        <w:lastRenderedPageBreak/>
        <w:tab/>
      </w:r>
      <w:r w:rsidRPr="00B52A94">
        <w:rPr>
          <w:rFonts w:ascii="Times New Roman" w:hAnsi="Times New Roman" w:cs="Times New Roman"/>
          <w:sz w:val="24"/>
          <w:szCs w:val="24"/>
        </w:rPr>
        <w:tab/>
      </w:r>
      <w:r w:rsidR="006E2982" w:rsidRPr="00B52A94">
        <w:rPr>
          <w:rFonts w:ascii="Times New Roman" w:hAnsi="Times New Roman" w:cs="Times New Roman"/>
          <w:sz w:val="24"/>
          <w:szCs w:val="24"/>
        </w:rPr>
        <w:t xml:space="preserve">The </w:t>
      </w:r>
      <w:r w:rsidR="000B52CE" w:rsidRPr="00B52A94">
        <w:rPr>
          <w:rFonts w:ascii="Times New Roman" w:hAnsi="Times New Roman" w:cs="Times New Roman"/>
          <w:sz w:val="24"/>
          <w:szCs w:val="24"/>
        </w:rPr>
        <w:t>respondent</w:t>
      </w:r>
      <w:r w:rsidR="006E2982" w:rsidRPr="00B52A94">
        <w:rPr>
          <w:rFonts w:ascii="Times New Roman" w:hAnsi="Times New Roman" w:cs="Times New Roman"/>
          <w:sz w:val="24"/>
          <w:szCs w:val="24"/>
        </w:rPr>
        <w:t xml:space="preserve">, </w:t>
      </w:r>
      <w:r w:rsidR="00551A7A" w:rsidRPr="00B52A94">
        <w:rPr>
          <w:rFonts w:ascii="Times New Roman" w:hAnsi="Times New Roman" w:cs="Times New Roman"/>
          <w:i/>
          <w:sz w:val="24"/>
          <w:szCs w:val="24"/>
        </w:rPr>
        <w:t>per contra</w:t>
      </w:r>
      <w:r w:rsidR="00551A7A" w:rsidRPr="00B52A94">
        <w:rPr>
          <w:rFonts w:ascii="Times New Roman" w:hAnsi="Times New Roman" w:cs="Times New Roman"/>
          <w:sz w:val="24"/>
          <w:szCs w:val="24"/>
        </w:rPr>
        <w:t>,</w:t>
      </w:r>
      <w:r w:rsidR="00DE1EC9" w:rsidRPr="00B52A94">
        <w:rPr>
          <w:rFonts w:ascii="Times New Roman" w:hAnsi="Times New Roman" w:cs="Times New Roman"/>
          <w:sz w:val="24"/>
          <w:szCs w:val="24"/>
        </w:rPr>
        <w:t xml:space="preserve"> </w:t>
      </w:r>
      <w:r w:rsidR="006E2982" w:rsidRPr="00B52A94">
        <w:rPr>
          <w:rFonts w:ascii="Times New Roman" w:hAnsi="Times New Roman" w:cs="Times New Roman"/>
          <w:sz w:val="24"/>
          <w:szCs w:val="24"/>
        </w:rPr>
        <w:t xml:space="preserve">argued that the appellant’s conduct showed that it exonerated him from liability and accepted the transfer of suretyship from him to Lazarus Nyakudya.  </w:t>
      </w:r>
      <w:r w:rsidR="000B52CE" w:rsidRPr="00B52A94">
        <w:rPr>
          <w:rFonts w:ascii="Times New Roman" w:hAnsi="Times New Roman" w:cs="Times New Roman"/>
          <w:sz w:val="24"/>
          <w:szCs w:val="24"/>
          <w:lang w:val="en-ZW"/>
        </w:rPr>
        <w:t>He argue</w:t>
      </w:r>
      <w:r w:rsidR="00F052E3" w:rsidRPr="00B52A94">
        <w:rPr>
          <w:rFonts w:ascii="Times New Roman" w:hAnsi="Times New Roman" w:cs="Times New Roman"/>
          <w:sz w:val="24"/>
          <w:szCs w:val="24"/>
          <w:lang w:val="en-ZW"/>
        </w:rPr>
        <w:t>d</w:t>
      </w:r>
      <w:r w:rsidR="000B52CE" w:rsidRPr="00B52A94">
        <w:rPr>
          <w:rFonts w:ascii="Times New Roman" w:hAnsi="Times New Roman" w:cs="Times New Roman"/>
          <w:sz w:val="24"/>
          <w:szCs w:val="24"/>
          <w:lang w:val="en-ZW"/>
        </w:rPr>
        <w:t xml:space="preserve"> that o</w:t>
      </w:r>
      <w:r w:rsidR="00C10D0F" w:rsidRPr="00B52A94">
        <w:rPr>
          <w:rFonts w:ascii="Times New Roman" w:hAnsi="Times New Roman" w:cs="Times New Roman"/>
          <w:sz w:val="24"/>
          <w:szCs w:val="24"/>
          <w:lang w:val="en-ZW"/>
        </w:rPr>
        <w:t>n 26 Se</w:t>
      </w:r>
      <w:r w:rsidR="000B52CE" w:rsidRPr="00B52A94">
        <w:rPr>
          <w:rFonts w:ascii="Times New Roman" w:hAnsi="Times New Roman" w:cs="Times New Roman"/>
          <w:sz w:val="24"/>
          <w:szCs w:val="24"/>
          <w:lang w:val="en-ZW"/>
        </w:rPr>
        <w:t xml:space="preserve">ptember 2011, he </w:t>
      </w:r>
      <w:r w:rsidR="00C10D0F" w:rsidRPr="00B52A94">
        <w:rPr>
          <w:rFonts w:ascii="Times New Roman" w:hAnsi="Times New Roman" w:cs="Times New Roman"/>
          <w:sz w:val="24"/>
          <w:szCs w:val="24"/>
          <w:lang w:val="en-ZW"/>
        </w:rPr>
        <w:t>wrote a letter addressed to the appellant</w:t>
      </w:r>
      <w:r w:rsidR="000B52CE" w:rsidRPr="00B52A94">
        <w:rPr>
          <w:rFonts w:ascii="Times New Roman" w:hAnsi="Times New Roman" w:cs="Times New Roman"/>
          <w:sz w:val="24"/>
          <w:szCs w:val="24"/>
          <w:vertAlign w:val="superscript"/>
          <w:lang w:val="en-ZW"/>
        </w:rPr>
        <w:t xml:space="preserve"> </w:t>
      </w:r>
      <w:r w:rsidR="000B52CE" w:rsidRPr="00B52A94">
        <w:rPr>
          <w:rFonts w:ascii="Times New Roman" w:hAnsi="Times New Roman" w:cs="Times New Roman"/>
          <w:sz w:val="24"/>
          <w:szCs w:val="24"/>
          <w:lang w:val="en-ZW"/>
        </w:rPr>
        <w:t xml:space="preserve">with Lazarus Nyakudya a </w:t>
      </w:r>
      <w:r w:rsidRPr="00B52A94">
        <w:rPr>
          <w:rFonts w:ascii="Times New Roman" w:hAnsi="Times New Roman" w:cs="Times New Roman"/>
          <w:sz w:val="24"/>
          <w:szCs w:val="24"/>
          <w:lang w:val="en-ZW"/>
        </w:rPr>
        <w:t>part of which read:</w:t>
      </w:r>
    </w:p>
    <w:p w:rsidR="00C10D0F" w:rsidRPr="00B52A94" w:rsidRDefault="00C10D0F"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w:t>
      </w:r>
      <w:r w:rsidR="00E05A47" w:rsidRPr="00B52A94">
        <w:rPr>
          <w:rFonts w:ascii="Times New Roman" w:hAnsi="Times New Roman" w:cs="Times New Roman"/>
          <w:sz w:val="24"/>
          <w:szCs w:val="24"/>
          <w:lang w:val="en-ZW"/>
        </w:rPr>
        <w:t xml:space="preserve"> </w:t>
      </w:r>
      <w:r w:rsidRPr="00B52A94">
        <w:rPr>
          <w:rFonts w:ascii="Times New Roman" w:hAnsi="Times New Roman" w:cs="Times New Roman"/>
          <w:sz w:val="24"/>
          <w:szCs w:val="24"/>
          <w:lang w:val="en-ZW"/>
        </w:rPr>
        <w:t>As such, we wish to register the transfer of surety to Mr Lazarus Nyakudya who will arrange the debt repayment arrangements with ZFC.”</w:t>
      </w: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C10D0F"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C10D0F" w:rsidRPr="00B52A94">
        <w:rPr>
          <w:rFonts w:ascii="Times New Roman" w:hAnsi="Times New Roman" w:cs="Times New Roman"/>
          <w:sz w:val="24"/>
          <w:szCs w:val="24"/>
          <w:lang w:val="en-ZW"/>
        </w:rPr>
        <w:t xml:space="preserve">The respondent </w:t>
      </w:r>
      <w:r w:rsidR="000B52CE" w:rsidRPr="00B52A94">
        <w:rPr>
          <w:rFonts w:ascii="Times New Roman" w:hAnsi="Times New Roman" w:cs="Times New Roman"/>
          <w:sz w:val="24"/>
          <w:szCs w:val="24"/>
          <w:lang w:val="en-ZW"/>
        </w:rPr>
        <w:t>submitted that this letter communicated their intention to transfer the suretyship to Lazarus Nyakudya and the communication from Chitauro that his superiors agreed to such transfer was proof that he was exonerated from liability. The respondent also argued, that the letter from the appellant to its legal practitioners showed that the liability had shifted from the respondent to Lazarus Nyakudya.</w:t>
      </w:r>
      <w:r w:rsidR="00F052E3" w:rsidRPr="00B52A94">
        <w:rPr>
          <w:rFonts w:ascii="Times New Roman" w:hAnsi="Times New Roman" w:cs="Times New Roman"/>
          <w:sz w:val="24"/>
          <w:szCs w:val="24"/>
          <w:lang w:val="en-ZW"/>
        </w:rPr>
        <w:t xml:space="preserve"> </w:t>
      </w:r>
      <w:r w:rsidR="000B52CE" w:rsidRPr="00B52A94">
        <w:rPr>
          <w:rFonts w:ascii="Times New Roman" w:hAnsi="Times New Roman" w:cs="Times New Roman"/>
          <w:sz w:val="24"/>
          <w:szCs w:val="24"/>
          <w:lang w:val="en-ZW"/>
        </w:rPr>
        <w:t>The letter stated the following:</w:t>
      </w:r>
    </w:p>
    <w:p w:rsidR="00C10D0F" w:rsidRPr="00B52A94" w:rsidRDefault="00C10D0F"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“Re: HANDED OVER DEBTOR: FARMCORP ENTERPRISE RESPONSE</w:t>
      </w: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C10D0F" w:rsidRPr="00B52A94" w:rsidRDefault="00C10D0F"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Please find attached the response from the above mentioned debtor. They have acknowledged the debt and written a letter to transfer the surety from Tapiwa Joel Furusa, to one, Lazarus Nyakudya.</w:t>
      </w: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C10D0F" w:rsidRPr="00B52A94" w:rsidRDefault="00C10D0F"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May you procee</w:t>
      </w:r>
      <w:r w:rsidR="00693166">
        <w:rPr>
          <w:rFonts w:ascii="Times New Roman" w:hAnsi="Times New Roman" w:cs="Times New Roman"/>
          <w:sz w:val="24"/>
          <w:szCs w:val="24"/>
          <w:lang w:val="en-ZW"/>
        </w:rPr>
        <w:t>d with the recovery of the debt.</w:t>
      </w:r>
      <w:r w:rsidRPr="00B52A94">
        <w:rPr>
          <w:rFonts w:ascii="Times New Roman" w:hAnsi="Times New Roman" w:cs="Times New Roman"/>
          <w:sz w:val="24"/>
          <w:szCs w:val="24"/>
          <w:lang w:val="en-ZW"/>
        </w:rPr>
        <w:t xml:space="preserve"> We hope the information available will aid you in this case</w:t>
      </w:r>
      <w:r w:rsidR="00E05A47" w:rsidRPr="00B52A94">
        <w:rPr>
          <w:rFonts w:ascii="Times New Roman" w:hAnsi="Times New Roman" w:cs="Times New Roman"/>
          <w:sz w:val="24"/>
          <w:szCs w:val="24"/>
          <w:lang w:val="en-ZW"/>
        </w:rPr>
        <w:t xml:space="preserve"> </w:t>
      </w:r>
      <w:r w:rsidR="0023100D" w:rsidRPr="00B52A94">
        <w:rPr>
          <w:rFonts w:ascii="Times New Roman" w:hAnsi="Times New Roman" w:cs="Times New Roman"/>
          <w:sz w:val="24"/>
          <w:szCs w:val="24"/>
          <w:lang w:val="en-ZW"/>
        </w:rPr>
        <w:t>…</w:t>
      </w:r>
      <w:r w:rsidR="000B52CE" w:rsidRPr="00B52A94">
        <w:rPr>
          <w:rFonts w:ascii="Times New Roman" w:hAnsi="Times New Roman" w:cs="Times New Roman"/>
          <w:sz w:val="24"/>
          <w:szCs w:val="24"/>
          <w:lang w:val="en-ZW"/>
        </w:rPr>
        <w:t>”</w:t>
      </w: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E05A47" w:rsidRPr="00B52A94" w:rsidRDefault="00E05A47" w:rsidP="00693166">
      <w:pPr>
        <w:tabs>
          <w:tab w:val="left" w:pos="2475"/>
        </w:tabs>
        <w:spacing w:after="0" w:line="240" w:lineRule="auto"/>
        <w:ind w:left="720"/>
        <w:jc w:val="both"/>
        <w:rPr>
          <w:rFonts w:ascii="Times New Roman" w:hAnsi="Times New Roman" w:cs="Times New Roman"/>
          <w:sz w:val="24"/>
          <w:szCs w:val="24"/>
          <w:lang w:val="en-ZW"/>
        </w:rPr>
      </w:pPr>
    </w:p>
    <w:p w:rsidR="0023100D"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0001152F" w:rsidRPr="00B52A94">
        <w:rPr>
          <w:rFonts w:ascii="Times New Roman" w:hAnsi="Times New Roman" w:cs="Times New Roman"/>
          <w:sz w:val="24"/>
          <w:szCs w:val="24"/>
          <w:lang w:val="en-ZW"/>
        </w:rPr>
        <w:tab/>
      </w:r>
      <w:r w:rsidR="0023100D" w:rsidRPr="00B52A94">
        <w:rPr>
          <w:rFonts w:ascii="Times New Roman" w:hAnsi="Times New Roman" w:cs="Times New Roman"/>
          <w:sz w:val="24"/>
          <w:szCs w:val="24"/>
          <w:lang w:val="en-ZW"/>
        </w:rPr>
        <w:t xml:space="preserve">It is on the basis of that letter that the respondent submitted that the appellant accepted that </w:t>
      </w:r>
      <w:r w:rsidR="00966F1A" w:rsidRPr="00B52A94">
        <w:rPr>
          <w:rFonts w:ascii="Times New Roman" w:hAnsi="Times New Roman" w:cs="Times New Roman"/>
          <w:sz w:val="24"/>
          <w:szCs w:val="24"/>
          <w:lang w:val="en-ZW"/>
        </w:rPr>
        <w:t>his obligation as a surety</w:t>
      </w:r>
      <w:r w:rsidR="0023100D" w:rsidRPr="00B52A94">
        <w:rPr>
          <w:rFonts w:ascii="Times New Roman" w:hAnsi="Times New Roman" w:cs="Times New Roman"/>
          <w:sz w:val="24"/>
          <w:szCs w:val="24"/>
          <w:lang w:val="en-ZW"/>
        </w:rPr>
        <w:t xml:space="preserve"> had been transferred to Lazarus Nyakudya </w:t>
      </w:r>
      <w:r w:rsidR="00763D72" w:rsidRPr="00B52A94">
        <w:rPr>
          <w:rFonts w:ascii="Times New Roman" w:hAnsi="Times New Roman" w:cs="Times New Roman"/>
          <w:sz w:val="24"/>
          <w:szCs w:val="24"/>
          <w:lang w:val="en-ZW"/>
        </w:rPr>
        <w:t>and that this</w:t>
      </w:r>
      <w:r w:rsidR="0023100D" w:rsidRPr="00B52A94">
        <w:rPr>
          <w:rFonts w:ascii="Times New Roman" w:hAnsi="Times New Roman" w:cs="Times New Roman"/>
          <w:sz w:val="24"/>
          <w:szCs w:val="24"/>
          <w:lang w:val="en-ZW"/>
        </w:rPr>
        <w:t xml:space="preserve"> </w:t>
      </w:r>
      <w:r w:rsidR="00D325FD" w:rsidRPr="00B52A94">
        <w:rPr>
          <w:rFonts w:ascii="Times New Roman" w:hAnsi="Times New Roman" w:cs="Times New Roman"/>
          <w:sz w:val="24"/>
          <w:szCs w:val="24"/>
          <w:lang w:val="en-ZW"/>
        </w:rPr>
        <w:t>wa</w:t>
      </w:r>
      <w:r w:rsidR="0023100D" w:rsidRPr="00B52A94">
        <w:rPr>
          <w:rFonts w:ascii="Times New Roman" w:hAnsi="Times New Roman" w:cs="Times New Roman"/>
          <w:sz w:val="24"/>
          <w:szCs w:val="24"/>
          <w:lang w:val="en-ZW"/>
        </w:rPr>
        <w:t xml:space="preserve">s also confirmed by </w:t>
      </w:r>
      <w:r w:rsidR="00C10D0F" w:rsidRPr="00B52A94">
        <w:rPr>
          <w:rFonts w:ascii="Times New Roman" w:hAnsi="Times New Roman" w:cs="Times New Roman"/>
          <w:sz w:val="24"/>
          <w:szCs w:val="24"/>
          <w:lang w:val="en-ZW"/>
        </w:rPr>
        <w:t>the deed of surety signed by Lazarus Nyakudya</w:t>
      </w:r>
      <w:r w:rsidR="0023100D" w:rsidRPr="00B52A94">
        <w:rPr>
          <w:rFonts w:ascii="Times New Roman" w:hAnsi="Times New Roman" w:cs="Times New Roman"/>
          <w:sz w:val="24"/>
          <w:szCs w:val="24"/>
          <w:lang w:val="en-ZW"/>
        </w:rPr>
        <w:t xml:space="preserve">. The question that </w:t>
      </w:r>
      <w:r w:rsidR="00154468" w:rsidRPr="00B52A94">
        <w:rPr>
          <w:rFonts w:ascii="Times New Roman" w:hAnsi="Times New Roman" w:cs="Times New Roman"/>
          <w:sz w:val="24"/>
          <w:szCs w:val="24"/>
          <w:lang w:val="en-ZW"/>
        </w:rPr>
        <w:t xml:space="preserve">thus </w:t>
      </w:r>
      <w:r w:rsidR="0023100D" w:rsidRPr="00B52A94">
        <w:rPr>
          <w:rFonts w:ascii="Times New Roman" w:hAnsi="Times New Roman" w:cs="Times New Roman"/>
          <w:sz w:val="24"/>
          <w:szCs w:val="24"/>
          <w:lang w:val="en-ZW"/>
        </w:rPr>
        <w:t>lies for determina</w:t>
      </w:r>
      <w:r w:rsidRPr="00B52A94">
        <w:rPr>
          <w:rFonts w:ascii="Times New Roman" w:hAnsi="Times New Roman" w:cs="Times New Roman"/>
          <w:sz w:val="24"/>
          <w:szCs w:val="24"/>
          <w:lang w:val="en-ZW"/>
        </w:rPr>
        <w:t>tion by this C</w:t>
      </w:r>
      <w:r w:rsidR="00154468" w:rsidRPr="00B52A94">
        <w:rPr>
          <w:rFonts w:ascii="Times New Roman" w:hAnsi="Times New Roman" w:cs="Times New Roman"/>
          <w:sz w:val="24"/>
          <w:szCs w:val="24"/>
          <w:lang w:val="en-ZW"/>
        </w:rPr>
        <w:t>ourt is whether the documents and evidence produced by the respondent in</w:t>
      </w:r>
      <w:r w:rsidR="00F052E3" w:rsidRPr="00B52A94">
        <w:rPr>
          <w:rFonts w:ascii="Times New Roman" w:hAnsi="Times New Roman" w:cs="Times New Roman"/>
          <w:sz w:val="24"/>
          <w:szCs w:val="24"/>
          <w:lang w:val="en-ZW"/>
        </w:rPr>
        <w:t xml:space="preserve"> the court </w:t>
      </w:r>
      <w:r w:rsidR="00F052E3" w:rsidRPr="00B52A94">
        <w:rPr>
          <w:rFonts w:ascii="Times New Roman" w:hAnsi="Times New Roman" w:cs="Times New Roman"/>
          <w:i/>
          <w:sz w:val="24"/>
          <w:szCs w:val="24"/>
          <w:lang w:val="en-ZW"/>
        </w:rPr>
        <w:t>a quo</w:t>
      </w:r>
      <w:r w:rsidR="00F052E3" w:rsidRPr="00B52A94">
        <w:rPr>
          <w:rFonts w:ascii="Times New Roman" w:hAnsi="Times New Roman" w:cs="Times New Roman"/>
          <w:sz w:val="24"/>
          <w:szCs w:val="24"/>
          <w:lang w:val="en-ZW"/>
        </w:rPr>
        <w:t xml:space="preserve"> show that </w:t>
      </w:r>
      <w:r w:rsidR="00154468" w:rsidRPr="00B52A94">
        <w:rPr>
          <w:rFonts w:ascii="Times New Roman" w:hAnsi="Times New Roman" w:cs="Times New Roman"/>
          <w:sz w:val="24"/>
          <w:szCs w:val="24"/>
          <w:lang w:val="en-ZW"/>
        </w:rPr>
        <w:t>his deed of suretyship was cancelled.</w:t>
      </w:r>
    </w:p>
    <w:p w:rsidR="0001152F" w:rsidRPr="00B52A94" w:rsidRDefault="0001152F" w:rsidP="00693166">
      <w:pPr>
        <w:spacing w:after="0" w:line="480" w:lineRule="auto"/>
        <w:jc w:val="both"/>
        <w:rPr>
          <w:rFonts w:ascii="Times New Roman" w:hAnsi="Times New Roman" w:cs="Times New Roman"/>
          <w:sz w:val="24"/>
          <w:szCs w:val="24"/>
          <w:lang w:val="en-ZW"/>
        </w:rPr>
      </w:pPr>
    </w:p>
    <w:p w:rsidR="00E526BB" w:rsidRPr="00B52A94" w:rsidRDefault="00DD2865"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 xml:space="preserve">The respondent called one Pondai Chitauro to testify on his behalf. He was formerly employed by the appellant as a debtor’s clerk. He had dealt with the respondent during the relevant period and he was the clerk seized with the Farmcrop debt. It was he who received the letter from the respondent and Nyakudya proposing the transfer of the suretyship from the respondent to Nyakudya. He had given the letter in question to the appellant’s treasury accountant who instructed him to permit Nyakudya to execute a deed of suretyship. However under cross-examination he accepted that there never was a formal letter from the appellant cancelling the deed of suretyship executed by the respondent. </w:t>
      </w:r>
    </w:p>
    <w:p w:rsidR="0001152F" w:rsidRPr="00B52A94" w:rsidRDefault="0001152F" w:rsidP="00693166">
      <w:pPr>
        <w:spacing w:after="0" w:line="480" w:lineRule="auto"/>
        <w:ind w:firstLine="1134"/>
        <w:jc w:val="both"/>
        <w:rPr>
          <w:rFonts w:ascii="Times New Roman" w:hAnsi="Times New Roman" w:cs="Times New Roman"/>
          <w:sz w:val="24"/>
          <w:szCs w:val="24"/>
          <w:lang w:val="en-ZW"/>
        </w:rPr>
      </w:pPr>
    </w:p>
    <w:p w:rsidR="00B51AC1" w:rsidRPr="00B52A94" w:rsidRDefault="00B51AC1"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The parties were bound by the clause which stipulated that the deed of suretyship would be cancelled in writing by the appellant and it was admitted by all witnesses who testified on behalf of the respondent that there was no document which explicitly stated that the appellant had cancelled the deed of suretyship. That alone is evidence that the respondent still remained liable in terms of the deed of suretyship. </w:t>
      </w:r>
    </w:p>
    <w:p w:rsidR="00B51AC1" w:rsidRPr="00B52A94" w:rsidRDefault="00B51AC1" w:rsidP="00693166">
      <w:pPr>
        <w:spacing w:after="0" w:line="480" w:lineRule="auto"/>
        <w:jc w:val="both"/>
        <w:rPr>
          <w:rFonts w:ascii="Times New Roman" w:hAnsi="Times New Roman" w:cs="Times New Roman"/>
          <w:sz w:val="24"/>
          <w:szCs w:val="24"/>
          <w:lang w:val="en-ZW"/>
        </w:rPr>
      </w:pPr>
    </w:p>
    <w:p w:rsidR="00443271" w:rsidRPr="00B52A94" w:rsidRDefault="00E05A47" w:rsidP="00693166">
      <w:pPr>
        <w:spacing w:after="0" w:line="480" w:lineRule="auto"/>
        <w:jc w:val="both"/>
        <w:rPr>
          <w:rFonts w:ascii="Times New Roman" w:hAnsi="Times New Roman" w:cs="Times New Roman"/>
          <w:b/>
          <w:sz w:val="24"/>
          <w:szCs w:val="24"/>
          <w:lang w:val="en-ZW"/>
        </w:rPr>
      </w:pPr>
      <w:r w:rsidRPr="00B52A94">
        <w:rPr>
          <w:rFonts w:ascii="Times New Roman" w:hAnsi="Times New Roman" w:cs="Times New Roman"/>
          <w:sz w:val="24"/>
          <w:szCs w:val="24"/>
          <w:lang w:val="en-ZW"/>
        </w:rPr>
        <w:tab/>
      </w:r>
      <w:r w:rsidR="0001152F" w:rsidRPr="00B52A94">
        <w:rPr>
          <w:rFonts w:ascii="Times New Roman" w:hAnsi="Times New Roman" w:cs="Times New Roman"/>
          <w:sz w:val="24"/>
          <w:szCs w:val="24"/>
          <w:lang w:val="en-ZW"/>
        </w:rPr>
        <w:tab/>
      </w:r>
      <w:r w:rsidR="00443271" w:rsidRPr="00B52A94">
        <w:rPr>
          <w:rFonts w:ascii="Times New Roman" w:hAnsi="Times New Roman" w:cs="Times New Roman"/>
          <w:sz w:val="24"/>
          <w:szCs w:val="24"/>
          <w:lang w:val="en-ZW"/>
        </w:rPr>
        <w:t>As correctly stated by counsel for the appellant, the letter it wrote to its legal practitioners was colo</w:t>
      </w:r>
      <w:r w:rsidR="00DD2865" w:rsidRPr="00B52A94">
        <w:rPr>
          <w:rFonts w:ascii="Times New Roman" w:hAnsi="Times New Roman" w:cs="Times New Roman"/>
          <w:sz w:val="24"/>
          <w:szCs w:val="24"/>
          <w:lang w:val="en-ZW"/>
        </w:rPr>
        <w:t>u</w:t>
      </w:r>
      <w:r w:rsidR="00443271" w:rsidRPr="00B52A94">
        <w:rPr>
          <w:rFonts w:ascii="Times New Roman" w:hAnsi="Times New Roman" w:cs="Times New Roman"/>
          <w:sz w:val="24"/>
          <w:szCs w:val="24"/>
          <w:lang w:val="en-ZW"/>
        </w:rPr>
        <w:t xml:space="preserve">rless and did not reflect that the appellant cancelled the agreement of sale. It merely stated that Farmcrop had written a letter to transfer suretyship from the respondent to Lazarus Nyakudya.  </w:t>
      </w:r>
      <w:r w:rsidR="00F052E3" w:rsidRPr="00B52A94">
        <w:rPr>
          <w:rFonts w:ascii="Times New Roman" w:hAnsi="Times New Roman" w:cs="Times New Roman"/>
          <w:sz w:val="24"/>
          <w:szCs w:val="24"/>
          <w:lang w:val="en-ZW"/>
        </w:rPr>
        <w:t xml:space="preserve">It was erroneous for the court </w:t>
      </w:r>
      <w:r w:rsidR="00F052E3" w:rsidRPr="00B52A94">
        <w:rPr>
          <w:rFonts w:ascii="Times New Roman" w:hAnsi="Times New Roman" w:cs="Times New Roman"/>
          <w:i/>
          <w:sz w:val="24"/>
          <w:szCs w:val="24"/>
          <w:lang w:val="en-ZW"/>
        </w:rPr>
        <w:t>a quo</w:t>
      </w:r>
      <w:r w:rsidR="00F052E3" w:rsidRPr="00B52A94">
        <w:rPr>
          <w:rFonts w:ascii="Times New Roman" w:hAnsi="Times New Roman" w:cs="Times New Roman"/>
          <w:sz w:val="24"/>
          <w:szCs w:val="24"/>
          <w:lang w:val="en-ZW"/>
        </w:rPr>
        <w:t xml:space="preserve"> to attach meaning to the letter which is not clear from its wording. </w:t>
      </w:r>
      <w:r w:rsidR="00443271" w:rsidRPr="00B52A94">
        <w:rPr>
          <w:rFonts w:ascii="Times New Roman" w:hAnsi="Times New Roman" w:cs="Times New Roman"/>
          <w:sz w:val="24"/>
          <w:szCs w:val="24"/>
          <w:lang w:val="en-ZW"/>
        </w:rPr>
        <w:t>The remarks of G</w:t>
      </w:r>
      <w:r w:rsidR="001E5255" w:rsidRPr="00B52A94">
        <w:rPr>
          <w:rFonts w:ascii="Times New Roman" w:hAnsi="Times New Roman" w:cs="Times New Roman"/>
          <w:sz w:val="24"/>
          <w:szCs w:val="24"/>
          <w:lang w:val="en-ZW"/>
        </w:rPr>
        <w:t>UBBAY</w:t>
      </w:r>
      <w:r w:rsidR="00443271" w:rsidRPr="00B52A94">
        <w:rPr>
          <w:rFonts w:ascii="Times New Roman" w:hAnsi="Times New Roman" w:cs="Times New Roman"/>
          <w:sz w:val="24"/>
          <w:szCs w:val="24"/>
          <w:lang w:val="en-ZW"/>
        </w:rPr>
        <w:t xml:space="preserve"> JA (as he then was) in</w:t>
      </w:r>
      <w:r w:rsidR="00443271" w:rsidRPr="00B52A94">
        <w:rPr>
          <w:rFonts w:ascii="Times New Roman" w:hAnsi="Times New Roman" w:cs="Times New Roman"/>
          <w:b/>
          <w:sz w:val="24"/>
          <w:szCs w:val="24"/>
          <w:lang w:val="en-ZW"/>
        </w:rPr>
        <w:t xml:space="preserve"> </w:t>
      </w:r>
      <w:r w:rsidR="00443271" w:rsidRPr="00B52A94">
        <w:rPr>
          <w:rFonts w:ascii="Times New Roman" w:hAnsi="Times New Roman" w:cs="Times New Roman"/>
          <w:i/>
          <w:sz w:val="24"/>
          <w:szCs w:val="24"/>
          <w:lang w:val="en-ZW"/>
        </w:rPr>
        <w:t xml:space="preserve">Mxumalo &amp; Ors v Guni </w:t>
      </w:r>
      <w:r w:rsidR="00443271" w:rsidRPr="00B52A94">
        <w:rPr>
          <w:rFonts w:ascii="Times New Roman" w:hAnsi="Times New Roman" w:cs="Times New Roman"/>
          <w:sz w:val="24"/>
          <w:szCs w:val="24"/>
          <w:lang w:val="en-ZW"/>
        </w:rPr>
        <w:t>1987 (2) ZLR 1 (S) at 8</w:t>
      </w:r>
      <w:r w:rsidR="00443271" w:rsidRPr="00B52A94">
        <w:rPr>
          <w:rFonts w:ascii="Times New Roman" w:hAnsi="Times New Roman" w:cs="Times New Roman"/>
          <w:b/>
          <w:sz w:val="24"/>
          <w:szCs w:val="24"/>
          <w:lang w:val="en-ZW"/>
        </w:rPr>
        <w:t xml:space="preserve"> </w:t>
      </w:r>
      <w:r w:rsidR="00443271" w:rsidRPr="00B52A94">
        <w:rPr>
          <w:rFonts w:ascii="Times New Roman" w:hAnsi="Times New Roman" w:cs="Times New Roman"/>
          <w:sz w:val="24"/>
          <w:szCs w:val="24"/>
          <w:lang w:val="en-ZW"/>
        </w:rPr>
        <w:t>come to mind</w:t>
      </w:r>
      <w:r w:rsidR="00443271" w:rsidRPr="00B52A94">
        <w:rPr>
          <w:rFonts w:ascii="Times New Roman" w:hAnsi="Times New Roman" w:cs="Times New Roman"/>
          <w:b/>
          <w:sz w:val="24"/>
          <w:szCs w:val="24"/>
          <w:lang w:val="en-ZW"/>
        </w:rPr>
        <w:t xml:space="preserve">. </w:t>
      </w:r>
      <w:r w:rsidR="00443271" w:rsidRPr="00B52A94">
        <w:rPr>
          <w:rFonts w:ascii="Times New Roman" w:hAnsi="Times New Roman" w:cs="Times New Roman"/>
          <w:sz w:val="24"/>
          <w:szCs w:val="24"/>
          <w:lang w:val="en-ZW"/>
        </w:rPr>
        <w:t>He stated:-</w:t>
      </w:r>
    </w:p>
    <w:p w:rsidR="00443271" w:rsidRPr="00B52A94" w:rsidRDefault="00443271" w:rsidP="00693166">
      <w:pPr>
        <w:tabs>
          <w:tab w:val="left" w:pos="2475"/>
        </w:tabs>
        <w:spacing w:after="0" w:line="240" w:lineRule="auto"/>
        <w:ind w:left="720"/>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language used is plain and unambiguous and the intention of the Law Society is to be gathered there from. It is not for a court to surmise that the Law Society may have had an intention other than that which clearly emerges from the language used.”</w:t>
      </w:r>
    </w:p>
    <w:p w:rsidR="00E526BB" w:rsidRPr="00B52A94" w:rsidRDefault="00E526BB" w:rsidP="00693166">
      <w:pPr>
        <w:tabs>
          <w:tab w:val="left" w:pos="2475"/>
        </w:tabs>
        <w:spacing w:after="0" w:line="240" w:lineRule="auto"/>
        <w:ind w:left="720"/>
        <w:jc w:val="both"/>
        <w:rPr>
          <w:rFonts w:ascii="Times New Roman" w:hAnsi="Times New Roman" w:cs="Times New Roman"/>
          <w:sz w:val="24"/>
          <w:szCs w:val="24"/>
          <w:lang w:val="en-ZW"/>
        </w:rPr>
      </w:pPr>
    </w:p>
    <w:p w:rsidR="00443271"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ab/>
      </w:r>
      <w:r w:rsidRPr="00B52A94">
        <w:rPr>
          <w:rFonts w:ascii="Times New Roman" w:hAnsi="Times New Roman" w:cs="Times New Roman"/>
          <w:sz w:val="24"/>
          <w:szCs w:val="24"/>
          <w:lang w:val="en-ZW"/>
        </w:rPr>
        <w:tab/>
      </w:r>
      <w:r w:rsidR="00443271" w:rsidRPr="00B52A94">
        <w:rPr>
          <w:rFonts w:ascii="Times New Roman" w:hAnsi="Times New Roman" w:cs="Times New Roman"/>
          <w:sz w:val="24"/>
          <w:szCs w:val="24"/>
          <w:lang w:val="en-ZW"/>
        </w:rPr>
        <w:t xml:space="preserve">These remarks are apposite. It was not for the court </w:t>
      </w:r>
      <w:r w:rsidR="00443271" w:rsidRPr="00B52A94">
        <w:rPr>
          <w:rFonts w:ascii="Times New Roman" w:hAnsi="Times New Roman" w:cs="Times New Roman"/>
          <w:i/>
          <w:sz w:val="24"/>
          <w:szCs w:val="24"/>
          <w:lang w:val="en-ZW"/>
        </w:rPr>
        <w:t>a quo</w:t>
      </w:r>
      <w:r w:rsidR="00443271" w:rsidRPr="00B52A94">
        <w:rPr>
          <w:rFonts w:ascii="Times New Roman" w:hAnsi="Times New Roman" w:cs="Times New Roman"/>
          <w:sz w:val="24"/>
          <w:szCs w:val="24"/>
          <w:lang w:val="en-ZW"/>
        </w:rPr>
        <w:t xml:space="preserve"> to read the letter to mean that </w:t>
      </w:r>
      <w:r w:rsidR="00E606F2" w:rsidRPr="00B52A94">
        <w:rPr>
          <w:rFonts w:ascii="Times New Roman" w:hAnsi="Times New Roman" w:cs="Times New Roman"/>
          <w:sz w:val="24"/>
          <w:szCs w:val="24"/>
          <w:lang w:val="en-ZW"/>
        </w:rPr>
        <w:t>the appellant had accepted the purported transfer of suretyship</w:t>
      </w:r>
      <w:r w:rsidR="0001152F" w:rsidRPr="00B52A94">
        <w:rPr>
          <w:rFonts w:ascii="Times New Roman" w:hAnsi="Times New Roman" w:cs="Times New Roman"/>
          <w:sz w:val="24"/>
          <w:szCs w:val="24"/>
          <w:lang w:val="en-ZW"/>
        </w:rPr>
        <w:t xml:space="preserve"> from the respondent to Lazarus </w:t>
      </w:r>
      <w:r w:rsidR="00E606F2" w:rsidRPr="00B52A94">
        <w:rPr>
          <w:rFonts w:ascii="Times New Roman" w:hAnsi="Times New Roman" w:cs="Times New Roman"/>
          <w:sz w:val="24"/>
          <w:szCs w:val="24"/>
          <w:lang w:val="en-ZW"/>
        </w:rPr>
        <w:t xml:space="preserve">Nyakudya. The clear language used in the letter does not reflect such an intention. </w:t>
      </w:r>
    </w:p>
    <w:p w:rsidR="0001152F" w:rsidRPr="00B52A94" w:rsidRDefault="0001152F" w:rsidP="00693166">
      <w:pPr>
        <w:spacing w:after="0" w:line="480" w:lineRule="auto"/>
        <w:jc w:val="both"/>
        <w:rPr>
          <w:rFonts w:ascii="Times New Roman" w:hAnsi="Times New Roman" w:cs="Times New Roman"/>
          <w:sz w:val="24"/>
          <w:szCs w:val="24"/>
          <w:lang w:val="en-ZW"/>
        </w:rPr>
      </w:pPr>
    </w:p>
    <w:p w:rsidR="007B0932" w:rsidRPr="00B52A94" w:rsidRDefault="00E05A47"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ab/>
      </w:r>
      <w:r w:rsidRPr="00B52A94">
        <w:rPr>
          <w:rFonts w:ascii="Times New Roman" w:hAnsi="Times New Roman" w:cs="Times New Roman"/>
          <w:sz w:val="24"/>
          <w:szCs w:val="24"/>
          <w:lang w:val="en-ZW"/>
        </w:rPr>
        <w:tab/>
      </w:r>
      <w:r w:rsidR="00E606F2" w:rsidRPr="00B52A94">
        <w:rPr>
          <w:rFonts w:ascii="Times New Roman" w:hAnsi="Times New Roman" w:cs="Times New Roman"/>
          <w:sz w:val="24"/>
          <w:szCs w:val="24"/>
          <w:lang w:val="en-ZW"/>
        </w:rPr>
        <w:t>The court</w:t>
      </w:r>
      <w:r w:rsidR="007B0932" w:rsidRPr="00B52A94">
        <w:rPr>
          <w:rFonts w:ascii="Times New Roman" w:hAnsi="Times New Roman" w:cs="Times New Roman"/>
          <w:sz w:val="24"/>
          <w:szCs w:val="24"/>
          <w:lang w:val="en-ZW"/>
        </w:rPr>
        <w:t xml:space="preserve"> </w:t>
      </w:r>
      <w:r w:rsidR="007B0932" w:rsidRPr="00B52A94">
        <w:rPr>
          <w:rFonts w:ascii="Times New Roman" w:hAnsi="Times New Roman" w:cs="Times New Roman"/>
          <w:i/>
          <w:sz w:val="24"/>
          <w:szCs w:val="24"/>
          <w:lang w:val="en-ZW"/>
        </w:rPr>
        <w:t>a quo</w:t>
      </w:r>
      <w:r w:rsidR="007B0932" w:rsidRPr="00B52A94">
        <w:rPr>
          <w:rFonts w:ascii="Times New Roman" w:hAnsi="Times New Roman" w:cs="Times New Roman"/>
          <w:sz w:val="24"/>
          <w:szCs w:val="24"/>
          <w:lang w:val="en-ZW"/>
        </w:rPr>
        <w:t xml:space="preserve"> also erred in making a </w:t>
      </w:r>
      <w:r w:rsidR="00E606F2" w:rsidRPr="00B52A94">
        <w:rPr>
          <w:rFonts w:ascii="Times New Roman" w:hAnsi="Times New Roman" w:cs="Times New Roman"/>
          <w:sz w:val="24"/>
          <w:szCs w:val="24"/>
          <w:lang w:val="en-ZW"/>
        </w:rPr>
        <w:t xml:space="preserve">finding that the first deed of suretyship signed by the respondent was compromised by the one signed by Lazarus Nyakudya. </w:t>
      </w:r>
      <w:r w:rsidR="007B0932" w:rsidRPr="00B52A94">
        <w:rPr>
          <w:rFonts w:ascii="Times New Roman" w:hAnsi="Times New Roman" w:cs="Times New Roman"/>
          <w:sz w:val="24"/>
          <w:szCs w:val="24"/>
          <w:lang w:val="en-ZW"/>
        </w:rPr>
        <w:t>Compromise is defined by R.H Christie in ‘The Law of Contract in South Africa’ 3</w:t>
      </w:r>
      <w:r w:rsidR="007B0932" w:rsidRPr="00B52A94">
        <w:rPr>
          <w:rFonts w:ascii="Times New Roman" w:hAnsi="Times New Roman" w:cs="Times New Roman"/>
          <w:sz w:val="24"/>
          <w:szCs w:val="24"/>
          <w:vertAlign w:val="superscript"/>
          <w:lang w:val="en-ZW"/>
        </w:rPr>
        <w:t>rd</w:t>
      </w:r>
      <w:r w:rsidR="007B0932" w:rsidRPr="00B52A94">
        <w:rPr>
          <w:rFonts w:ascii="Times New Roman" w:hAnsi="Times New Roman" w:cs="Times New Roman"/>
          <w:sz w:val="24"/>
          <w:szCs w:val="24"/>
          <w:lang w:val="en-ZW"/>
        </w:rPr>
        <w:t xml:space="preserve"> edition at page 505 as follows:</w:t>
      </w:r>
    </w:p>
    <w:p w:rsidR="007B0932" w:rsidRPr="00B52A94" w:rsidRDefault="007B0932" w:rsidP="00693166">
      <w:pPr>
        <w:spacing w:after="0" w:line="240" w:lineRule="auto"/>
        <w:ind w:left="567"/>
        <w:jc w:val="both"/>
        <w:rPr>
          <w:rFonts w:ascii="Times New Roman" w:eastAsia="Times New Roman" w:hAnsi="Times New Roman" w:cs="Times New Roman"/>
          <w:sz w:val="24"/>
          <w:szCs w:val="24"/>
          <w:lang w:val="en-ZW" w:eastAsia="en-ZW"/>
        </w:rPr>
      </w:pPr>
      <w:r w:rsidRPr="00B52A94">
        <w:rPr>
          <w:rFonts w:ascii="Times New Roman" w:hAnsi="Times New Roman" w:cs="Times New Roman"/>
          <w:sz w:val="24"/>
          <w:szCs w:val="24"/>
          <w:lang w:val="en-ZW"/>
        </w:rPr>
        <w:t>“</w:t>
      </w:r>
      <w:r w:rsidRPr="00B52A94">
        <w:rPr>
          <w:rFonts w:ascii="Times New Roman" w:eastAsia="Times New Roman" w:hAnsi="Times New Roman" w:cs="Times New Roman"/>
          <w:sz w:val="24"/>
          <w:szCs w:val="24"/>
          <w:lang w:val="en-ZW" w:eastAsia="en-ZW"/>
        </w:rPr>
        <w:t xml:space="preserve">Compromise, or </w:t>
      </w:r>
      <w:r w:rsidRPr="00B52A94">
        <w:rPr>
          <w:rFonts w:ascii="Times New Roman" w:eastAsia="Times New Roman" w:hAnsi="Times New Roman" w:cs="Times New Roman"/>
          <w:i/>
          <w:sz w:val="24"/>
          <w:szCs w:val="24"/>
          <w:lang w:val="en-ZW" w:eastAsia="en-ZW"/>
        </w:rPr>
        <w:t>transactio</w:t>
      </w:r>
      <w:r w:rsidRPr="00B52A94">
        <w:rPr>
          <w:rFonts w:ascii="Times New Roman" w:eastAsia="Times New Roman" w:hAnsi="Times New Roman" w:cs="Times New Roman"/>
          <w:sz w:val="24"/>
          <w:szCs w:val="24"/>
          <w:lang w:val="en-ZW" w:eastAsia="en-ZW"/>
        </w:rPr>
        <w:t>, is the settlement by agreement of disputed obligations, whether contractual or otherwise.  If any off</w:t>
      </w:r>
      <w:r w:rsidR="00F52FA3" w:rsidRPr="00B52A94">
        <w:rPr>
          <w:rFonts w:ascii="Times New Roman" w:eastAsia="Times New Roman" w:hAnsi="Times New Roman" w:cs="Times New Roman"/>
          <w:sz w:val="24"/>
          <w:szCs w:val="24"/>
          <w:lang w:val="en-ZW" w:eastAsia="en-ZW"/>
        </w:rPr>
        <w:t>er to settle in particular term</w:t>
      </w:r>
      <w:r w:rsidRPr="00B52A94">
        <w:rPr>
          <w:rFonts w:ascii="Times New Roman" w:eastAsia="Times New Roman" w:hAnsi="Times New Roman" w:cs="Times New Roman"/>
          <w:sz w:val="24"/>
          <w:szCs w:val="24"/>
          <w:lang w:val="en-ZW" w:eastAsia="en-ZW"/>
        </w:rPr>
        <w:t>s is not accepted, the offeree cannot treat an inseparable part of the offer and sue on it.  Even a criminal charge may be settled by the process known as plea bargaining and the resulting compromise will be enforceable.  It is a form of novation differing from the ordinary novation in that the obligations novated by the compromise must previously have been disputed or uncertain, the essence of the compromise being the final settlement of the dispute or uncertainty.”</w:t>
      </w:r>
    </w:p>
    <w:p w:rsidR="00F52FA3" w:rsidRPr="00B52A94" w:rsidRDefault="00F52FA3" w:rsidP="00693166">
      <w:pPr>
        <w:spacing w:after="0" w:line="240" w:lineRule="auto"/>
        <w:ind w:left="567"/>
        <w:jc w:val="both"/>
        <w:rPr>
          <w:rFonts w:ascii="Times New Roman" w:eastAsia="Times New Roman" w:hAnsi="Times New Roman" w:cs="Times New Roman"/>
          <w:sz w:val="24"/>
          <w:szCs w:val="24"/>
          <w:lang w:val="en-ZW" w:eastAsia="en-ZW"/>
        </w:rPr>
      </w:pPr>
    </w:p>
    <w:p w:rsidR="00F52FA3" w:rsidRPr="00B52A94" w:rsidRDefault="00F52FA3" w:rsidP="00693166">
      <w:pPr>
        <w:spacing w:after="0" w:line="240" w:lineRule="auto"/>
        <w:ind w:left="567"/>
        <w:jc w:val="both"/>
        <w:rPr>
          <w:rFonts w:ascii="Times New Roman" w:eastAsia="Times New Roman" w:hAnsi="Times New Roman" w:cs="Times New Roman"/>
          <w:sz w:val="24"/>
          <w:szCs w:val="24"/>
          <w:lang w:val="en-ZW" w:eastAsia="en-ZW"/>
        </w:rPr>
      </w:pPr>
    </w:p>
    <w:p w:rsidR="00F52FA3" w:rsidRPr="00B52A94" w:rsidRDefault="00F52FA3" w:rsidP="00693166">
      <w:pPr>
        <w:spacing w:after="0" w:line="240" w:lineRule="auto"/>
        <w:ind w:left="567"/>
        <w:jc w:val="both"/>
        <w:rPr>
          <w:rFonts w:ascii="Times New Roman" w:eastAsia="Times New Roman" w:hAnsi="Times New Roman" w:cs="Times New Roman"/>
          <w:sz w:val="24"/>
          <w:szCs w:val="24"/>
          <w:lang w:val="en-ZW" w:eastAsia="en-ZW"/>
        </w:rPr>
      </w:pPr>
    </w:p>
    <w:p w:rsidR="00E36373" w:rsidRPr="00B52A94" w:rsidRDefault="00F52FA3" w:rsidP="00693166">
      <w:pPr>
        <w:spacing w:after="0" w:line="480" w:lineRule="auto"/>
        <w:jc w:val="both"/>
        <w:rPr>
          <w:rFonts w:ascii="Times New Roman" w:eastAsia="Times New Roman" w:hAnsi="Times New Roman" w:cs="Times New Roman"/>
          <w:sz w:val="24"/>
          <w:szCs w:val="24"/>
          <w:lang w:val="en-ZW" w:eastAsia="en-ZW"/>
        </w:rPr>
      </w:pPr>
      <w:r w:rsidRPr="00B52A94">
        <w:rPr>
          <w:rFonts w:ascii="Times New Roman" w:eastAsia="Times New Roman" w:hAnsi="Times New Roman" w:cs="Times New Roman"/>
          <w:sz w:val="24"/>
          <w:szCs w:val="24"/>
          <w:lang w:val="en-ZW" w:eastAsia="en-ZW"/>
        </w:rPr>
        <w:tab/>
      </w:r>
      <w:r w:rsidRPr="00B52A94">
        <w:rPr>
          <w:rFonts w:ascii="Times New Roman" w:eastAsia="Times New Roman" w:hAnsi="Times New Roman" w:cs="Times New Roman"/>
          <w:sz w:val="24"/>
          <w:szCs w:val="24"/>
          <w:lang w:val="en-ZW" w:eastAsia="en-ZW"/>
        </w:rPr>
        <w:tab/>
      </w:r>
      <w:r w:rsidR="00AF6BB4" w:rsidRPr="00B52A94">
        <w:rPr>
          <w:rFonts w:ascii="Times New Roman" w:eastAsia="Times New Roman" w:hAnsi="Times New Roman" w:cs="Times New Roman"/>
          <w:sz w:val="24"/>
          <w:szCs w:val="24"/>
          <w:lang w:val="en-ZW" w:eastAsia="en-ZW"/>
        </w:rPr>
        <w:t xml:space="preserve">What is derived from the </w:t>
      </w:r>
      <w:r w:rsidR="00966F1A" w:rsidRPr="00B52A94">
        <w:rPr>
          <w:rFonts w:ascii="Times New Roman" w:eastAsia="Times New Roman" w:hAnsi="Times New Roman" w:cs="Times New Roman"/>
          <w:sz w:val="24"/>
          <w:szCs w:val="24"/>
          <w:lang w:val="en-ZW" w:eastAsia="en-ZW"/>
        </w:rPr>
        <w:t xml:space="preserve">above </w:t>
      </w:r>
      <w:r w:rsidR="00AF6BB4" w:rsidRPr="00B52A94">
        <w:rPr>
          <w:rFonts w:ascii="Times New Roman" w:eastAsia="Times New Roman" w:hAnsi="Times New Roman" w:cs="Times New Roman"/>
          <w:sz w:val="24"/>
          <w:szCs w:val="24"/>
          <w:lang w:val="en-ZW" w:eastAsia="en-ZW"/>
        </w:rPr>
        <w:t>definition is that a compromise is a settlement of a disputed obligation through another agreement</w:t>
      </w:r>
      <w:r w:rsidR="00F052E3" w:rsidRPr="00B52A94">
        <w:rPr>
          <w:rFonts w:ascii="Times New Roman" w:eastAsia="Times New Roman" w:hAnsi="Times New Roman" w:cs="Times New Roman"/>
          <w:sz w:val="24"/>
          <w:szCs w:val="24"/>
          <w:lang w:val="en-ZW" w:eastAsia="en-ZW"/>
        </w:rPr>
        <w:t xml:space="preserve"> which then replaces the principal agreement</w:t>
      </w:r>
      <w:r w:rsidR="00AF6BB4" w:rsidRPr="00B52A94">
        <w:rPr>
          <w:rFonts w:ascii="Times New Roman" w:eastAsia="Times New Roman" w:hAnsi="Times New Roman" w:cs="Times New Roman"/>
          <w:sz w:val="24"/>
          <w:szCs w:val="24"/>
          <w:lang w:val="en-ZW" w:eastAsia="en-ZW"/>
        </w:rPr>
        <w:t xml:space="preserve">. </w:t>
      </w:r>
      <w:r w:rsidR="00AF6BB4" w:rsidRPr="00B52A94">
        <w:rPr>
          <w:rFonts w:ascii="Times New Roman" w:eastAsia="Times New Roman" w:hAnsi="Times New Roman" w:cs="Times New Roman"/>
          <w:i/>
          <w:sz w:val="24"/>
          <w:szCs w:val="24"/>
          <w:lang w:val="en-ZW" w:eastAsia="en-ZW"/>
        </w:rPr>
        <w:t>In casu</w:t>
      </w:r>
      <w:r w:rsidR="00AF6BB4" w:rsidRPr="00B52A94">
        <w:rPr>
          <w:rFonts w:ascii="Times New Roman" w:eastAsia="Times New Roman" w:hAnsi="Times New Roman" w:cs="Times New Roman"/>
          <w:sz w:val="24"/>
          <w:szCs w:val="24"/>
          <w:lang w:val="en-ZW" w:eastAsia="en-ZW"/>
        </w:rPr>
        <w:t>, the appellant accepted the d</w:t>
      </w:r>
      <w:r w:rsidR="0001152F" w:rsidRPr="00B52A94">
        <w:rPr>
          <w:rFonts w:ascii="Times New Roman" w:eastAsia="Times New Roman" w:hAnsi="Times New Roman" w:cs="Times New Roman"/>
          <w:sz w:val="24"/>
          <w:szCs w:val="24"/>
          <w:lang w:val="en-ZW" w:eastAsia="en-ZW"/>
        </w:rPr>
        <w:t>eed of surety signed by Lazarus </w:t>
      </w:r>
      <w:r w:rsidR="00AF6BB4" w:rsidRPr="00B52A94">
        <w:rPr>
          <w:rFonts w:ascii="Times New Roman" w:eastAsia="Times New Roman" w:hAnsi="Times New Roman" w:cs="Times New Roman"/>
          <w:sz w:val="24"/>
          <w:szCs w:val="24"/>
          <w:lang w:val="en-ZW" w:eastAsia="en-ZW"/>
        </w:rPr>
        <w:t xml:space="preserve">Nyakudya but did not cancel the first deed </w:t>
      </w:r>
      <w:r w:rsidR="00966F1A" w:rsidRPr="00B52A94">
        <w:rPr>
          <w:rFonts w:ascii="Times New Roman" w:eastAsia="Times New Roman" w:hAnsi="Times New Roman" w:cs="Times New Roman"/>
          <w:sz w:val="24"/>
          <w:szCs w:val="24"/>
          <w:lang w:val="en-ZW" w:eastAsia="en-ZW"/>
        </w:rPr>
        <w:t>executed</w:t>
      </w:r>
      <w:r w:rsidR="00AF6BB4" w:rsidRPr="00B52A94">
        <w:rPr>
          <w:rFonts w:ascii="Times New Roman" w:eastAsia="Times New Roman" w:hAnsi="Times New Roman" w:cs="Times New Roman"/>
          <w:sz w:val="24"/>
          <w:szCs w:val="24"/>
          <w:lang w:val="en-ZW" w:eastAsia="en-ZW"/>
        </w:rPr>
        <w:t xml:space="preserve"> by the respondent. </w:t>
      </w:r>
      <w:r w:rsidR="00966F1A" w:rsidRPr="00B52A94">
        <w:rPr>
          <w:rFonts w:ascii="Times New Roman" w:eastAsia="Times New Roman" w:hAnsi="Times New Roman" w:cs="Times New Roman"/>
          <w:sz w:val="24"/>
          <w:szCs w:val="24"/>
          <w:lang w:val="en-ZW" w:eastAsia="en-ZW"/>
        </w:rPr>
        <w:t xml:space="preserve">Consequently </w:t>
      </w:r>
      <w:r w:rsidR="00AF6BB4" w:rsidRPr="00B52A94">
        <w:rPr>
          <w:rFonts w:ascii="Times New Roman" w:eastAsia="Times New Roman" w:hAnsi="Times New Roman" w:cs="Times New Roman"/>
          <w:sz w:val="24"/>
          <w:szCs w:val="24"/>
          <w:lang w:val="en-ZW" w:eastAsia="en-ZW"/>
        </w:rPr>
        <w:t xml:space="preserve">there was no compromise because as already highlighted, the appellant had to cancel the deed of suretyship in writing </w:t>
      </w:r>
      <w:r w:rsidR="00966F1A" w:rsidRPr="00B52A94">
        <w:rPr>
          <w:rFonts w:ascii="Times New Roman" w:eastAsia="Times New Roman" w:hAnsi="Times New Roman" w:cs="Times New Roman"/>
          <w:sz w:val="24"/>
          <w:szCs w:val="24"/>
          <w:lang w:val="en-ZW" w:eastAsia="en-ZW"/>
        </w:rPr>
        <w:t>to make it valid</w:t>
      </w:r>
      <w:r w:rsidR="00AF6BB4" w:rsidRPr="00B52A94">
        <w:rPr>
          <w:rFonts w:ascii="Times New Roman" w:eastAsia="Times New Roman" w:hAnsi="Times New Roman" w:cs="Times New Roman"/>
          <w:sz w:val="24"/>
          <w:szCs w:val="24"/>
          <w:lang w:val="en-ZW" w:eastAsia="en-ZW"/>
        </w:rPr>
        <w:t xml:space="preserve">. </w:t>
      </w:r>
      <w:r w:rsidR="00DD2865" w:rsidRPr="00B52A94">
        <w:rPr>
          <w:rFonts w:ascii="Times New Roman" w:eastAsia="Times New Roman" w:hAnsi="Times New Roman" w:cs="Times New Roman"/>
          <w:sz w:val="24"/>
          <w:szCs w:val="24"/>
          <w:lang w:val="en-ZW" w:eastAsia="en-ZW"/>
        </w:rPr>
        <w:t>That this is a correct reflection of the true status between the parties is borne out by the evidence of the respondent himself</w:t>
      </w:r>
      <w:r w:rsidR="00E36373" w:rsidRPr="00B52A94">
        <w:rPr>
          <w:rFonts w:ascii="Times New Roman" w:eastAsia="Times New Roman" w:hAnsi="Times New Roman" w:cs="Times New Roman"/>
          <w:sz w:val="24"/>
          <w:szCs w:val="24"/>
          <w:lang w:val="en-ZW" w:eastAsia="en-ZW"/>
        </w:rPr>
        <w:t xml:space="preserve"> and Nyakudya</w:t>
      </w:r>
      <w:r w:rsidR="00DD2865" w:rsidRPr="00B52A94">
        <w:rPr>
          <w:rFonts w:ascii="Times New Roman" w:eastAsia="Times New Roman" w:hAnsi="Times New Roman" w:cs="Times New Roman"/>
          <w:sz w:val="24"/>
          <w:szCs w:val="24"/>
          <w:lang w:val="en-ZW" w:eastAsia="en-ZW"/>
        </w:rPr>
        <w:t>.</w:t>
      </w:r>
      <w:r w:rsidR="00E36373" w:rsidRPr="00B52A94">
        <w:rPr>
          <w:rFonts w:ascii="Times New Roman" w:eastAsia="Times New Roman" w:hAnsi="Times New Roman" w:cs="Times New Roman"/>
          <w:sz w:val="24"/>
          <w:szCs w:val="24"/>
          <w:lang w:val="en-ZW" w:eastAsia="en-ZW"/>
        </w:rPr>
        <w:t xml:space="preserve"> </w:t>
      </w:r>
    </w:p>
    <w:p w:rsidR="0001152F" w:rsidRPr="00B52A94" w:rsidRDefault="0001152F" w:rsidP="00693166">
      <w:pPr>
        <w:spacing w:after="0" w:line="480" w:lineRule="auto"/>
        <w:jc w:val="both"/>
        <w:rPr>
          <w:rFonts w:ascii="Times New Roman" w:eastAsia="Times New Roman" w:hAnsi="Times New Roman" w:cs="Times New Roman"/>
          <w:sz w:val="24"/>
          <w:szCs w:val="24"/>
          <w:lang w:val="en-ZW" w:eastAsia="en-ZW"/>
        </w:rPr>
      </w:pPr>
    </w:p>
    <w:p w:rsidR="00F52FA3" w:rsidRPr="00B52A94" w:rsidRDefault="00F52FA3" w:rsidP="00693166">
      <w:pPr>
        <w:spacing w:after="0" w:line="480" w:lineRule="auto"/>
        <w:jc w:val="both"/>
        <w:rPr>
          <w:rFonts w:ascii="Times New Roman" w:eastAsia="Times New Roman" w:hAnsi="Times New Roman" w:cs="Times New Roman"/>
          <w:sz w:val="24"/>
          <w:szCs w:val="24"/>
          <w:lang w:val="en-ZW" w:eastAsia="en-ZW"/>
        </w:rPr>
      </w:pPr>
      <w:r w:rsidRPr="00B52A94">
        <w:rPr>
          <w:rFonts w:ascii="Times New Roman" w:eastAsia="Times New Roman" w:hAnsi="Times New Roman" w:cs="Times New Roman"/>
          <w:sz w:val="24"/>
          <w:szCs w:val="24"/>
          <w:lang w:val="en-ZW" w:eastAsia="en-ZW"/>
        </w:rPr>
        <w:tab/>
      </w:r>
      <w:r w:rsidRPr="00B52A94">
        <w:rPr>
          <w:rFonts w:ascii="Times New Roman" w:eastAsia="Times New Roman" w:hAnsi="Times New Roman" w:cs="Times New Roman"/>
          <w:sz w:val="24"/>
          <w:szCs w:val="24"/>
          <w:lang w:val="en-ZW" w:eastAsia="en-ZW"/>
        </w:rPr>
        <w:tab/>
      </w:r>
      <w:r w:rsidR="00E36373" w:rsidRPr="00B52A94">
        <w:rPr>
          <w:rFonts w:ascii="Times New Roman" w:eastAsia="Times New Roman" w:hAnsi="Times New Roman" w:cs="Times New Roman"/>
          <w:sz w:val="24"/>
          <w:szCs w:val="24"/>
          <w:lang w:val="en-ZW" w:eastAsia="en-ZW"/>
        </w:rPr>
        <w:t xml:space="preserve">The respondent accepted that in terms of clause 5 of the deed, the appellant had to agree in writing to the cancellation of the suretyship. He also admitted that the letter written by the </w:t>
      </w:r>
      <w:r w:rsidR="00E36373" w:rsidRPr="00B52A94">
        <w:rPr>
          <w:rFonts w:ascii="Times New Roman" w:eastAsia="Times New Roman" w:hAnsi="Times New Roman" w:cs="Times New Roman"/>
          <w:sz w:val="24"/>
          <w:szCs w:val="24"/>
          <w:lang w:val="en-ZW" w:eastAsia="en-ZW"/>
        </w:rPr>
        <w:lastRenderedPageBreak/>
        <w:t xml:space="preserve">appellant to its legal practitioners did not expressly state that it had agreed to the transfer of his indebtedness to Nyakudya. </w:t>
      </w:r>
      <w:r w:rsidRPr="00B52A94">
        <w:rPr>
          <w:rFonts w:ascii="Times New Roman" w:eastAsia="Times New Roman" w:hAnsi="Times New Roman" w:cs="Times New Roman"/>
          <w:sz w:val="24"/>
          <w:szCs w:val="24"/>
          <w:lang w:val="en-ZW" w:eastAsia="en-ZW"/>
        </w:rPr>
        <w:t>H</w:t>
      </w:r>
      <w:r w:rsidR="00E36373" w:rsidRPr="00B52A94">
        <w:rPr>
          <w:rFonts w:ascii="Times New Roman" w:eastAsia="Times New Roman" w:hAnsi="Times New Roman" w:cs="Times New Roman"/>
          <w:sz w:val="24"/>
          <w:szCs w:val="24"/>
          <w:lang w:val="en-ZW" w:eastAsia="en-ZW"/>
        </w:rPr>
        <w:t>e was relying on an explanation given to him by Chitauro. Further</w:t>
      </w:r>
      <w:r w:rsidR="00763D72" w:rsidRPr="00B52A94">
        <w:rPr>
          <w:rFonts w:ascii="Times New Roman" w:eastAsia="Times New Roman" w:hAnsi="Times New Roman" w:cs="Times New Roman"/>
          <w:sz w:val="24"/>
          <w:szCs w:val="24"/>
          <w:lang w:val="en-ZW" w:eastAsia="en-ZW"/>
        </w:rPr>
        <w:t>,</w:t>
      </w:r>
      <w:r w:rsidR="00E36373" w:rsidRPr="00B52A94">
        <w:rPr>
          <w:rFonts w:ascii="Times New Roman" w:eastAsia="Times New Roman" w:hAnsi="Times New Roman" w:cs="Times New Roman"/>
          <w:sz w:val="24"/>
          <w:szCs w:val="24"/>
          <w:lang w:val="en-ZW" w:eastAsia="en-ZW"/>
        </w:rPr>
        <w:t xml:space="preserve"> to compound matters, by the time he and Nyakudya wrote the letter proposing the transfer of his indebtedness the debt was already due as a letter of demand had been sent to him.</w:t>
      </w:r>
    </w:p>
    <w:p w:rsidR="00DD2865" w:rsidRPr="00B52A94" w:rsidRDefault="00DD2865" w:rsidP="00693166">
      <w:pPr>
        <w:spacing w:after="0" w:line="480" w:lineRule="auto"/>
        <w:jc w:val="both"/>
        <w:rPr>
          <w:rFonts w:ascii="Times New Roman" w:eastAsia="Times New Roman" w:hAnsi="Times New Roman" w:cs="Times New Roman"/>
          <w:sz w:val="24"/>
          <w:szCs w:val="24"/>
          <w:lang w:val="en-ZW" w:eastAsia="en-ZW"/>
        </w:rPr>
      </w:pPr>
      <w:r w:rsidRPr="00B52A94">
        <w:rPr>
          <w:rFonts w:ascii="Times New Roman" w:eastAsia="Times New Roman" w:hAnsi="Times New Roman" w:cs="Times New Roman"/>
          <w:sz w:val="24"/>
          <w:szCs w:val="24"/>
          <w:lang w:val="en-ZW" w:eastAsia="en-ZW"/>
        </w:rPr>
        <w:t xml:space="preserve"> </w:t>
      </w:r>
    </w:p>
    <w:p w:rsidR="00E36373" w:rsidRPr="00B52A94" w:rsidRDefault="00F52FA3" w:rsidP="00693166">
      <w:pPr>
        <w:spacing w:after="0" w:line="480" w:lineRule="auto"/>
        <w:jc w:val="both"/>
        <w:rPr>
          <w:rFonts w:ascii="Times New Roman" w:eastAsia="Times New Roman" w:hAnsi="Times New Roman" w:cs="Times New Roman"/>
          <w:sz w:val="24"/>
          <w:szCs w:val="24"/>
          <w:lang w:val="en-ZW" w:eastAsia="en-ZW"/>
        </w:rPr>
      </w:pPr>
      <w:r w:rsidRPr="00B52A94">
        <w:rPr>
          <w:rFonts w:ascii="Times New Roman" w:eastAsia="Times New Roman" w:hAnsi="Times New Roman" w:cs="Times New Roman"/>
          <w:sz w:val="24"/>
          <w:szCs w:val="24"/>
          <w:lang w:val="en-ZW" w:eastAsia="en-ZW"/>
        </w:rPr>
        <w:tab/>
      </w:r>
      <w:r w:rsidRPr="00B52A94">
        <w:rPr>
          <w:rFonts w:ascii="Times New Roman" w:eastAsia="Times New Roman" w:hAnsi="Times New Roman" w:cs="Times New Roman"/>
          <w:sz w:val="24"/>
          <w:szCs w:val="24"/>
          <w:lang w:val="en-ZW" w:eastAsia="en-ZW"/>
        </w:rPr>
        <w:tab/>
      </w:r>
      <w:r w:rsidR="00E36373" w:rsidRPr="00B52A94">
        <w:rPr>
          <w:rFonts w:ascii="Times New Roman" w:eastAsia="Times New Roman" w:hAnsi="Times New Roman" w:cs="Times New Roman"/>
          <w:sz w:val="24"/>
          <w:szCs w:val="24"/>
          <w:lang w:val="en-ZW" w:eastAsia="en-ZW"/>
        </w:rPr>
        <w:t>Nyakudya’s evidence was to the effect that the debt had been transferred and that he had assumed liability in the place of the respondent. He accepted however that at no stage did the appellant state or intimate that it had cancelled the deed executed by the respondent.</w:t>
      </w:r>
    </w:p>
    <w:p w:rsidR="00F52FA3" w:rsidRPr="00B52A94" w:rsidRDefault="00F52FA3" w:rsidP="00693166">
      <w:pPr>
        <w:spacing w:after="0" w:line="480" w:lineRule="auto"/>
        <w:jc w:val="both"/>
        <w:rPr>
          <w:rFonts w:ascii="Times New Roman" w:eastAsia="Times New Roman" w:hAnsi="Times New Roman" w:cs="Times New Roman"/>
          <w:sz w:val="24"/>
          <w:szCs w:val="24"/>
          <w:lang w:val="en-ZW" w:eastAsia="en-ZW"/>
        </w:rPr>
      </w:pPr>
    </w:p>
    <w:p w:rsidR="00AF6BB4" w:rsidRPr="00B52A94" w:rsidRDefault="00F52FA3" w:rsidP="00693166">
      <w:pPr>
        <w:spacing w:after="0" w:line="480" w:lineRule="auto"/>
        <w:jc w:val="both"/>
        <w:rPr>
          <w:rFonts w:ascii="Times New Roman" w:eastAsia="Times New Roman" w:hAnsi="Times New Roman" w:cs="Times New Roman"/>
          <w:sz w:val="24"/>
          <w:szCs w:val="24"/>
          <w:lang w:eastAsia="en-ZW"/>
        </w:rPr>
      </w:pPr>
      <w:r w:rsidRPr="00B52A94">
        <w:rPr>
          <w:rFonts w:ascii="Times New Roman" w:eastAsia="Times New Roman" w:hAnsi="Times New Roman" w:cs="Times New Roman"/>
          <w:sz w:val="24"/>
          <w:szCs w:val="24"/>
          <w:lang w:val="en-ZW" w:eastAsia="en-ZW"/>
        </w:rPr>
        <w:tab/>
      </w:r>
      <w:r w:rsidRPr="00B52A94">
        <w:rPr>
          <w:rFonts w:ascii="Times New Roman" w:eastAsia="Times New Roman" w:hAnsi="Times New Roman" w:cs="Times New Roman"/>
          <w:sz w:val="24"/>
          <w:szCs w:val="24"/>
          <w:lang w:val="en-ZW" w:eastAsia="en-ZW"/>
        </w:rPr>
        <w:tab/>
      </w:r>
      <w:r w:rsidR="00AF6BB4" w:rsidRPr="00B52A94">
        <w:rPr>
          <w:rFonts w:ascii="Times New Roman" w:eastAsia="Times New Roman" w:hAnsi="Times New Roman" w:cs="Times New Roman"/>
          <w:sz w:val="24"/>
          <w:szCs w:val="24"/>
          <w:lang w:val="en-ZW" w:eastAsia="en-ZW"/>
        </w:rPr>
        <w:t xml:space="preserve">The court </w:t>
      </w:r>
      <w:r w:rsidR="00AF6BB4" w:rsidRPr="00B52A94">
        <w:rPr>
          <w:rFonts w:ascii="Times New Roman" w:eastAsia="Times New Roman" w:hAnsi="Times New Roman" w:cs="Times New Roman"/>
          <w:i/>
          <w:sz w:val="24"/>
          <w:szCs w:val="24"/>
          <w:lang w:val="en-ZW" w:eastAsia="en-ZW"/>
        </w:rPr>
        <w:t>a quo</w:t>
      </w:r>
      <w:r w:rsidR="00AF6BB4" w:rsidRPr="00B52A94">
        <w:rPr>
          <w:rFonts w:ascii="Times New Roman" w:eastAsia="Times New Roman" w:hAnsi="Times New Roman" w:cs="Times New Roman"/>
          <w:sz w:val="24"/>
          <w:szCs w:val="24"/>
          <w:lang w:val="en-ZW" w:eastAsia="en-ZW"/>
        </w:rPr>
        <w:t xml:space="preserve"> failed</w:t>
      </w:r>
      <w:r w:rsidR="00763D72" w:rsidRPr="00B52A94">
        <w:rPr>
          <w:rFonts w:ascii="Times New Roman" w:eastAsia="Times New Roman" w:hAnsi="Times New Roman" w:cs="Times New Roman"/>
          <w:sz w:val="24"/>
          <w:szCs w:val="24"/>
          <w:lang w:val="en-ZW" w:eastAsia="en-ZW"/>
        </w:rPr>
        <w:t xml:space="preserve"> to</w:t>
      </w:r>
      <w:r w:rsidR="00AF6BB4" w:rsidRPr="00B52A94">
        <w:rPr>
          <w:rFonts w:ascii="Times New Roman" w:eastAsia="Times New Roman" w:hAnsi="Times New Roman" w:cs="Times New Roman"/>
          <w:sz w:val="24"/>
          <w:szCs w:val="24"/>
          <w:lang w:val="en-ZW" w:eastAsia="en-ZW"/>
        </w:rPr>
        <w:t xml:space="preserve"> give due weight to the critical point that the deed of suretyship could only be cancel</w:t>
      </w:r>
      <w:r w:rsidR="00F052E3" w:rsidRPr="00B52A94">
        <w:rPr>
          <w:rFonts w:ascii="Times New Roman" w:eastAsia="Times New Roman" w:hAnsi="Times New Roman" w:cs="Times New Roman"/>
          <w:sz w:val="24"/>
          <w:szCs w:val="24"/>
          <w:lang w:val="en-ZW" w:eastAsia="en-ZW"/>
        </w:rPr>
        <w:t>l</w:t>
      </w:r>
      <w:r w:rsidR="00AF6BB4" w:rsidRPr="00B52A94">
        <w:rPr>
          <w:rFonts w:ascii="Times New Roman" w:eastAsia="Times New Roman" w:hAnsi="Times New Roman" w:cs="Times New Roman"/>
          <w:sz w:val="24"/>
          <w:szCs w:val="24"/>
          <w:lang w:val="en-ZW" w:eastAsia="en-ZW"/>
        </w:rPr>
        <w:t xml:space="preserve">ed by the appellant in writing in terms of clause 5 of the deed. </w:t>
      </w:r>
      <w:r w:rsidR="00AF6BB4" w:rsidRPr="00B52A94">
        <w:rPr>
          <w:rFonts w:ascii="Times New Roman" w:eastAsia="Times New Roman" w:hAnsi="Times New Roman" w:cs="Times New Roman"/>
          <w:sz w:val="24"/>
          <w:szCs w:val="24"/>
          <w:lang w:eastAsia="en-ZW"/>
        </w:rPr>
        <w:t>Contracts are sacrosanct unless the evidence shows that they were not entered into freely and voluntarily.</w:t>
      </w:r>
      <w:r w:rsidR="00D87897" w:rsidRPr="00B52A94">
        <w:rPr>
          <w:rFonts w:ascii="Times New Roman" w:eastAsia="Times New Roman" w:hAnsi="Times New Roman" w:cs="Times New Roman"/>
          <w:sz w:val="24"/>
          <w:szCs w:val="24"/>
          <w:lang w:eastAsia="en-ZW"/>
        </w:rPr>
        <w:t xml:space="preserve"> R.H Christie in </w:t>
      </w:r>
      <w:r w:rsidR="00D87897" w:rsidRPr="00B52A94">
        <w:rPr>
          <w:rFonts w:ascii="Times New Roman" w:eastAsia="Times New Roman" w:hAnsi="Times New Roman" w:cs="Times New Roman"/>
          <w:i/>
          <w:iCs/>
          <w:sz w:val="24"/>
          <w:szCs w:val="24"/>
          <w:lang w:eastAsia="en-ZW"/>
        </w:rPr>
        <w:t xml:space="preserve">Business Law in Zimbabwe </w:t>
      </w:r>
      <w:r w:rsidR="00D87897" w:rsidRPr="00B52A94">
        <w:rPr>
          <w:rFonts w:ascii="Times New Roman" w:eastAsia="Times New Roman" w:hAnsi="Times New Roman" w:cs="Times New Roman"/>
          <w:iCs/>
          <w:sz w:val="24"/>
          <w:szCs w:val="24"/>
          <w:lang w:eastAsia="en-ZW"/>
        </w:rPr>
        <w:t>at page 67 states:</w:t>
      </w:r>
    </w:p>
    <w:p w:rsidR="00F52FA3" w:rsidRPr="00B52A94" w:rsidRDefault="00AF6BB4" w:rsidP="00693166">
      <w:pPr>
        <w:spacing w:after="0" w:line="240" w:lineRule="auto"/>
        <w:ind w:left="567"/>
        <w:jc w:val="both"/>
        <w:rPr>
          <w:rFonts w:ascii="Times New Roman" w:eastAsia="Times New Roman" w:hAnsi="Times New Roman" w:cs="Times New Roman"/>
          <w:sz w:val="24"/>
          <w:szCs w:val="24"/>
          <w:lang w:eastAsia="en-ZW"/>
        </w:rPr>
      </w:pPr>
      <w:r w:rsidRPr="00B52A94">
        <w:rPr>
          <w:rFonts w:ascii="Times New Roman" w:eastAsia="Times New Roman" w:hAnsi="Times New Roman" w:cs="Times New Roman"/>
          <w:sz w:val="24"/>
          <w:szCs w:val="24"/>
          <w:lang w:eastAsia="en-ZW"/>
        </w:rPr>
        <w:t>“The business world has come to rely on the principle that</w:t>
      </w:r>
      <w:r w:rsidR="00D87897" w:rsidRPr="00B52A94">
        <w:rPr>
          <w:rFonts w:ascii="Times New Roman" w:eastAsia="Times New Roman" w:hAnsi="Times New Roman" w:cs="Times New Roman"/>
          <w:sz w:val="24"/>
          <w:szCs w:val="24"/>
          <w:lang w:eastAsia="en-ZW"/>
        </w:rPr>
        <w:t xml:space="preserve"> </w:t>
      </w:r>
      <w:r w:rsidRPr="00B52A94">
        <w:rPr>
          <w:rFonts w:ascii="Times New Roman" w:eastAsia="Times New Roman" w:hAnsi="Times New Roman" w:cs="Times New Roman"/>
          <w:sz w:val="24"/>
          <w:szCs w:val="24"/>
          <w:lang w:eastAsia="en-ZW"/>
        </w:rPr>
        <w:t>a signature on a written contract binds the</w:t>
      </w:r>
      <w:r w:rsidR="00D87897" w:rsidRPr="00B52A94">
        <w:rPr>
          <w:rFonts w:ascii="Times New Roman" w:eastAsia="Times New Roman" w:hAnsi="Times New Roman" w:cs="Times New Roman"/>
          <w:sz w:val="24"/>
          <w:szCs w:val="24"/>
          <w:lang w:eastAsia="en-ZW"/>
        </w:rPr>
        <w:t xml:space="preserve"> </w:t>
      </w:r>
      <w:r w:rsidRPr="00B52A94">
        <w:rPr>
          <w:rFonts w:ascii="Times New Roman" w:eastAsia="Times New Roman" w:hAnsi="Times New Roman" w:cs="Times New Roman"/>
          <w:sz w:val="24"/>
          <w:szCs w:val="24"/>
          <w:lang w:eastAsia="en-ZW"/>
        </w:rPr>
        <w:t>signatory to the terms of the contra</w:t>
      </w:r>
      <w:r w:rsidR="00F052E3" w:rsidRPr="00B52A94">
        <w:rPr>
          <w:rFonts w:ascii="Times New Roman" w:eastAsia="Times New Roman" w:hAnsi="Times New Roman" w:cs="Times New Roman"/>
          <w:sz w:val="24"/>
          <w:szCs w:val="24"/>
          <w:lang w:eastAsia="en-ZW"/>
        </w:rPr>
        <w:t>c</w:t>
      </w:r>
      <w:r w:rsidRPr="00B52A94">
        <w:rPr>
          <w:rFonts w:ascii="Times New Roman" w:eastAsia="Times New Roman" w:hAnsi="Times New Roman" w:cs="Times New Roman"/>
          <w:sz w:val="24"/>
          <w:szCs w:val="24"/>
          <w:lang w:eastAsia="en-ZW"/>
        </w:rPr>
        <w:t>t and if this principle were not upheld any business enterprises would become hazardous</w:t>
      </w:r>
      <w:r w:rsidR="00D87897" w:rsidRPr="00B52A94">
        <w:rPr>
          <w:rFonts w:ascii="Times New Roman" w:eastAsia="Times New Roman" w:hAnsi="Times New Roman" w:cs="Times New Roman"/>
          <w:sz w:val="24"/>
          <w:szCs w:val="24"/>
          <w:lang w:eastAsia="en-ZW"/>
        </w:rPr>
        <w:t xml:space="preserve"> </w:t>
      </w:r>
      <w:r w:rsidRPr="00B52A94">
        <w:rPr>
          <w:rFonts w:ascii="Times New Roman" w:eastAsia="Times New Roman" w:hAnsi="Times New Roman" w:cs="Times New Roman"/>
          <w:sz w:val="24"/>
          <w:szCs w:val="24"/>
          <w:lang w:eastAsia="en-ZW"/>
        </w:rPr>
        <w:t xml:space="preserve">in the extreme. The general rule, sometimes known as </w:t>
      </w:r>
      <w:r w:rsidRPr="00B52A94">
        <w:rPr>
          <w:rFonts w:ascii="Times New Roman" w:eastAsia="Times New Roman" w:hAnsi="Times New Roman" w:cs="Times New Roman"/>
          <w:i/>
          <w:sz w:val="24"/>
          <w:szCs w:val="24"/>
          <w:lang w:eastAsia="en-ZW"/>
        </w:rPr>
        <w:t>caveat subscriptor</w:t>
      </w:r>
      <w:r w:rsidR="00D87897" w:rsidRPr="00B52A94">
        <w:rPr>
          <w:rFonts w:ascii="Times New Roman" w:eastAsia="Times New Roman" w:hAnsi="Times New Roman" w:cs="Times New Roman"/>
          <w:sz w:val="24"/>
          <w:szCs w:val="24"/>
          <w:lang w:eastAsia="en-ZW"/>
        </w:rPr>
        <w:t xml:space="preserve"> </w:t>
      </w:r>
      <w:r w:rsidRPr="00B52A94">
        <w:rPr>
          <w:rFonts w:ascii="Times New Roman" w:eastAsia="Times New Roman" w:hAnsi="Times New Roman" w:cs="Times New Roman"/>
          <w:sz w:val="24"/>
          <w:szCs w:val="24"/>
          <w:lang w:eastAsia="en-ZW"/>
        </w:rPr>
        <w:t>rule is therefore that a party to a contract is bound by his</w:t>
      </w:r>
      <w:r w:rsidR="00C91879" w:rsidRPr="00B52A94">
        <w:rPr>
          <w:rFonts w:ascii="Times New Roman" w:eastAsia="Times New Roman" w:hAnsi="Times New Roman" w:cs="Times New Roman"/>
          <w:sz w:val="24"/>
          <w:szCs w:val="24"/>
          <w:lang w:eastAsia="en-ZW"/>
        </w:rPr>
        <w:t xml:space="preserve"> </w:t>
      </w:r>
      <w:r w:rsidRPr="00B52A94">
        <w:rPr>
          <w:rFonts w:ascii="Times New Roman" w:eastAsia="Times New Roman" w:hAnsi="Times New Roman" w:cs="Times New Roman"/>
          <w:sz w:val="24"/>
          <w:szCs w:val="24"/>
          <w:lang w:eastAsia="en-ZW"/>
        </w:rPr>
        <w:t xml:space="preserve">signature whether or not he has </w:t>
      </w:r>
      <w:r w:rsidR="00F52FA3" w:rsidRPr="00B52A94">
        <w:rPr>
          <w:rFonts w:ascii="Times New Roman" w:eastAsia="Times New Roman" w:hAnsi="Times New Roman" w:cs="Times New Roman"/>
          <w:sz w:val="24"/>
          <w:szCs w:val="24"/>
          <w:lang w:eastAsia="en-ZW"/>
        </w:rPr>
        <w:t>read or understood the contract</w:t>
      </w:r>
      <w:r w:rsidRPr="00B52A94">
        <w:rPr>
          <w:rFonts w:ascii="Times New Roman" w:eastAsia="Times New Roman" w:hAnsi="Times New Roman" w:cs="Times New Roman"/>
          <w:sz w:val="24"/>
          <w:szCs w:val="24"/>
          <w:lang w:eastAsia="en-ZW"/>
        </w:rPr>
        <w:t>.</w:t>
      </w:r>
      <w:r w:rsidR="00F52FA3" w:rsidRPr="00B52A94">
        <w:rPr>
          <w:rFonts w:ascii="Times New Roman" w:eastAsia="Times New Roman" w:hAnsi="Times New Roman" w:cs="Times New Roman"/>
          <w:sz w:val="24"/>
          <w:szCs w:val="24"/>
          <w:lang w:eastAsia="en-ZW"/>
        </w:rPr>
        <w:t>”</w:t>
      </w:r>
    </w:p>
    <w:p w:rsidR="00AF6BB4" w:rsidRPr="00B52A94" w:rsidRDefault="00AF6BB4" w:rsidP="00693166">
      <w:pPr>
        <w:spacing w:after="0" w:line="480" w:lineRule="auto"/>
        <w:ind w:left="567"/>
        <w:jc w:val="both"/>
        <w:rPr>
          <w:rFonts w:ascii="Times New Roman" w:eastAsia="Times New Roman" w:hAnsi="Times New Roman" w:cs="Times New Roman"/>
          <w:sz w:val="24"/>
          <w:szCs w:val="24"/>
          <w:lang w:eastAsia="en-ZW"/>
        </w:rPr>
      </w:pPr>
      <w:r w:rsidRPr="00B52A94">
        <w:rPr>
          <w:rFonts w:ascii="Times New Roman" w:eastAsia="Times New Roman" w:hAnsi="Times New Roman" w:cs="Times New Roman"/>
          <w:sz w:val="24"/>
          <w:szCs w:val="24"/>
          <w:lang w:eastAsia="en-ZW"/>
        </w:rPr>
        <w:t xml:space="preserve"> </w:t>
      </w:r>
    </w:p>
    <w:p w:rsidR="00F52FA3" w:rsidRPr="00B52A94" w:rsidRDefault="00F52FA3" w:rsidP="00693166">
      <w:pPr>
        <w:spacing w:after="0" w:line="240" w:lineRule="auto"/>
        <w:ind w:left="567"/>
        <w:jc w:val="both"/>
        <w:rPr>
          <w:rFonts w:ascii="Times New Roman" w:eastAsia="Times New Roman" w:hAnsi="Times New Roman" w:cs="Times New Roman"/>
          <w:sz w:val="24"/>
          <w:szCs w:val="24"/>
          <w:lang w:eastAsia="en-ZW"/>
        </w:rPr>
      </w:pPr>
    </w:p>
    <w:p w:rsidR="00D87897" w:rsidRPr="00B52A94" w:rsidRDefault="00F52FA3" w:rsidP="00693166">
      <w:pPr>
        <w:spacing w:after="0" w:line="480" w:lineRule="auto"/>
        <w:jc w:val="both"/>
        <w:rPr>
          <w:rFonts w:ascii="Times New Roman" w:eastAsia="Times New Roman" w:hAnsi="Times New Roman" w:cs="Times New Roman"/>
          <w:sz w:val="24"/>
          <w:szCs w:val="24"/>
          <w:lang w:eastAsia="en-ZW"/>
        </w:rPr>
      </w:pPr>
      <w:r w:rsidRPr="00B52A94">
        <w:rPr>
          <w:rFonts w:ascii="Times New Roman" w:eastAsia="Times New Roman" w:hAnsi="Times New Roman" w:cs="Times New Roman"/>
          <w:sz w:val="24"/>
          <w:szCs w:val="24"/>
          <w:lang w:eastAsia="en-ZW"/>
        </w:rPr>
        <w:tab/>
      </w:r>
      <w:r w:rsidRPr="00B52A94">
        <w:rPr>
          <w:rFonts w:ascii="Times New Roman" w:eastAsia="Times New Roman" w:hAnsi="Times New Roman" w:cs="Times New Roman"/>
          <w:sz w:val="24"/>
          <w:szCs w:val="24"/>
          <w:lang w:eastAsia="en-ZW"/>
        </w:rPr>
        <w:tab/>
      </w:r>
      <w:r w:rsidR="00D87897" w:rsidRPr="00B52A94">
        <w:rPr>
          <w:rFonts w:ascii="Times New Roman" w:eastAsia="Times New Roman" w:hAnsi="Times New Roman" w:cs="Times New Roman"/>
          <w:sz w:val="24"/>
          <w:szCs w:val="24"/>
          <w:lang w:eastAsia="en-ZW"/>
        </w:rPr>
        <w:t xml:space="preserve">It is on the basis of this principle that the court </w:t>
      </w:r>
      <w:r w:rsidR="00D87897" w:rsidRPr="00B52A94">
        <w:rPr>
          <w:rFonts w:ascii="Times New Roman" w:eastAsia="Times New Roman" w:hAnsi="Times New Roman" w:cs="Times New Roman"/>
          <w:i/>
          <w:sz w:val="24"/>
          <w:szCs w:val="24"/>
          <w:lang w:eastAsia="en-ZW"/>
        </w:rPr>
        <w:t>a quo</w:t>
      </w:r>
      <w:r w:rsidR="00D87897" w:rsidRPr="00B52A94">
        <w:rPr>
          <w:rFonts w:ascii="Times New Roman" w:eastAsia="Times New Roman" w:hAnsi="Times New Roman" w:cs="Times New Roman"/>
          <w:sz w:val="24"/>
          <w:szCs w:val="24"/>
          <w:lang w:eastAsia="en-ZW"/>
        </w:rPr>
        <w:t xml:space="preserve"> ought to have found that the respondent was still indebted to the appellant</w:t>
      </w:r>
      <w:r w:rsidR="00966F1A" w:rsidRPr="00B52A94">
        <w:rPr>
          <w:rFonts w:ascii="Times New Roman" w:eastAsia="Times New Roman" w:hAnsi="Times New Roman" w:cs="Times New Roman"/>
          <w:sz w:val="24"/>
          <w:szCs w:val="24"/>
          <w:lang w:eastAsia="en-ZW"/>
        </w:rPr>
        <w:t xml:space="preserve">. </w:t>
      </w:r>
      <w:r w:rsidR="00D87897" w:rsidRPr="00B52A94">
        <w:rPr>
          <w:rFonts w:ascii="Times New Roman" w:eastAsia="Times New Roman" w:hAnsi="Times New Roman" w:cs="Times New Roman"/>
          <w:sz w:val="24"/>
          <w:szCs w:val="24"/>
          <w:lang w:eastAsia="en-ZW"/>
        </w:rPr>
        <w:t xml:space="preserve"> </w:t>
      </w:r>
      <w:r w:rsidR="00966F1A" w:rsidRPr="00B52A94">
        <w:rPr>
          <w:rFonts w:ascii="Times New Roman" w:eastAsia="Times New Roman" w:hAnsi="Times New Roman" w:cs="Times New Roman"/>
          <w:sz w:val="24"/>
          <w:szCs w:val="24"/>
          <w:lang w:eastAsia="en-ZW"/>
        </w:rPr>
        <w:t>T</w:t>
      </w:r>
      <w:r w:rsidR="00D87897" w:rsidRPr="00B52A94">
        <w:rPr>
          <w:rFonts w:ascii="Times New Roman" w:eastAsia="Times New Roman" w:hAnsi="Times New Roman" w:cs="Times New Roman"/>
          <w:sz w:val="24"/>
          <w:szCs w:val="24"/>
          <w:lang w:eastAsia="en-ZW"/>
        </w:rPr>
        <w:t>here was no evidence</w:t>
      </w:r>
      <w:r w:rsidR="00966F1A" w:rsidRPr="00B52A94">
        <w:rPr>
          <w:rFonts w:ascii="Times New Roman" w:eastAsia="Times New Roman" w:hAnsi="Times New Roman" w:cs="Times New Roman"/>
          <w:sz w:val="24"/>
          <w:szCs w:val="24"/>
          <w:lang w:eastAsia="en-ZW"/>
        </w:rPr>
        <w:t xml:space="preserve"> before the court</w:t>
      </w:r>
      <w:r w:rsidR="00D87897" w:rsidRPr="00B52A94">
        <w:rPr>
          <w:rFonts w:ascii="Times New Roman" w:eastAsia="Times New Roman" w:hAnsi="Times New Roman" w:cs="Times New Roman"/>
          <w:sz w:val="24"/>
          <w:szCs w:val="24"/>
          <w:lang w:eastAsia="en-ZW"/>
        </w:rPr>
        <w:t xml:space="preserve"> that showed that the deed of suretyship was cancelled by the appellant in writing. The court </w:t>
      </w:r>
      <w:r w:rsidR="00D87897" w:rsidRPr="00B52A94">
        <w:rPr>
          <w:rFonts w:ascii="Times New Roman" w:eastAsia="Times New Roman" w:hAnsi="Times New Roman" w:cs="Times New Roman"/>
          <w:i/>
          <w:sz w:val="24"/>
          <w:szCs w:val="24"/>
          <w:lang w:eastAsia="en-ZW"/>
        </w:rPr>
        <w:t>a quo</w:t>
      </w:r>
      <w:r w:rsidR="00D87897" w:rsidRPr="00B52A94">
        <w:rPr>
          <w:rFonts w:ascii="Times New Roman" w:eastAsia="Times New Roman" w:hAnsi="Times New Roman" w:cs="Times New Roman"/>
          <w:sz w:val="24"/>
          <w:szCs w:val="24"/>
          <w:lang w:eastAsia="en-ZW"/>
        </w:rPr>
        <w:t xml:space="preserve"> thus erred in finding that the respondent was incorrectly sued as a debtor by the appellant.</w:t>
      </w:r>
    </w:p>
    <w:p w:rsidR="00F52FA3" w:rsidRPr="00B52A94" w:rsidRDefault="00F52FA3" w:rsidP="00693166">
      <w:pPr>
        <w:spacing w:after="0" w:line="480" w:lineRule="auto"/>
        <w:jc w:val="both"/>
        <w:rPr>
          <w:rFonts w:ascii="Times New Roman" w:eastAsia="Times New Roman" w:hAnsi="Times New Roman" w:cs="Times New Roman"/>
          <w:sz w:val="24"/>
          <w:szCs w:val="24"/>
          <w:lang w:eastAsia="en-ZW"/>
        </w:rPr>
      </w:pPr>
    </w:p>
    <w:p w:rsidR="00C10D0F" w:rsidRPr="00B52A94" w:rsidRDefault="00D87897" w:rsidP="00693166">
      <w:pPr>
        <w:pStyle w:val="ListParagraph"/>
        <w:numPr>
          <w:ilvl w:val="0"/>
          <w:numId w:val="16"/>
        </w:numPr>
        <w:tabs>
          <w:tab w:val="left" w:pos="2475"/>
        </w:tabs>
        <w:spacing w:after="0" w:line="480" w:lineRule="auto"/>
        <w:jc w:val="both"/>
        <w:rPr>
          <w:rFonts w:ascii="Times New Roman" w:hAnsi="Times New Roman" w:cs="Times New Roman"/>
          <w:b/>
          <w:sz w:val="24"/>
          <w:szCs w:val="24"/>
          <w:lang w:val="en-ZW"/>
        </w:rPr>
      </w:pPr>
      <w:r w:rsidRPr="00B52A94">
        <w:rPr>
          <w:rFonts w:ascii="Times New Roman" w:hAnsi="Times New Roman" w:cs="Times New Roman"/>
          <w:b/>
          <w:sz w:val="24"/>
          <w:szCs w:val="24"/>
          <w:lang w:val="en-ZW"/>
        </w:rPr>
        <w:t>W</w:t>
      </w:r>
      <w:r w:rsidR="00C10D0F" w:rsidRPr="00B52A94">
        <w:rPr>
          <w:rFonts w:ascii="Times New Roman" w:hAnsi="Times New Roman" w:cs="Times New Roman"/>
          <w:b/>
          <w:sz w:val="24"/>
          <w:szCs w:val="24"/>
          <w:lang w:val="en-ZW"/>
        </w:rPr>
        <w:t>h</w:t>
      </w:r>
      <w:r w:rsidR="00F52FA3" w:rsidRPr="00B52A94">
        <w:rPr>
          <w:rFonts w:ascii="Times New Roman" w:hAnsi="Times New Roman" w:cs="Times New Roman"/>
          <w:b/>
          <w:sz w:val="24"/>
          <w:szCs w:val="24"/>
          <w:lang w:val="en-ZW"/>
        </w:rPr>
        <w:t>ether there was a violation of S</w:t>
      </w:r>
      <w:r w:rsidR="00C10D0F" w:rsidRPr="00B52A94">
        <w:rPr>
          <w:rFonts w:ascii="Times New Roman" w:hAnsi="Times New Roman" w:cs="Times New Roman"/>
          <w:b/>
          <w:sz w:val="24"/>
          <w:szCs w:val="24"/>
          <w:lang w:val="en-ZW"/>
        </w:rPr>
        <w:t>ection 8(</w:t>
      </w:r>
      <w:r w:rsidR="00F052E3" w:rsidRPr="00B52A94">
        <w:rPr>
          <w:rFonts w:ascii="Times New Roman" w:hAnsi="Times New Roman" w:cs="Times New Roman"/>
          <w:b/>
          <w:sz w:val="24"/>
          <w:szCs w:val="24"/>
          <w:lang w:val="en-ZW"/>
        </w:rPr>
        <w:t>2</w:t>
      </w:r>
      <w:r w:rsidR="00C10D0F" w:rsidRPr="00B52A94">
        <w:rPr>
          <w:rFonts w:ascii="Times New Roman" w:hAnsi="Times New Roman" w:cs="Times New Roman"/>
          <w:b/>
          <w:sz w:val="24"/>
          <w:szCs w:val="24"/>
          <w:lang w:val="en-ZW"/>
        </w:rPr>
        <w:t>) of the Civil Evidence Act [</w:t>
      </w:r>
      <w:r w:rsidR="00C10D0F" w:rsidRPr="00B52A94">
        <w:rPr>
          <w:rFonts w:ascii="Times New Roman" w:hAnsi="Times New Roman" w:cs="Times New Roman"/>
          <w:b/>
          <w:i/>
          <w:sz w:val="24"/>
          <w:szCs w:val="24"/>
          <w:lang w:val="en-ZW"/>
        </w:rPr>
        <w:t>Chapter 8:01</w:t>
      </w:r>
      <w:r w:rsidR="00C10D0F" w:rsidRPr="00B52A94">
        <w:rPr>
          <w:rFonts w:ascii="Times New Roman" w:hAnsi="Times New Roman" w:cs="Times New Roman"/>
          <w:b/>
          <w:sz w:val="24"/>
          <w:szCs w:val="24"/>
          <w:lang w:val="en-ZW"/>
        </w:rPr>
        <w:t>].</w:t>
      </w:r>
    </w:p>
    <w:p w:rsidR="00F052E3" w:rsidRPr="00B52A94" w:rsidRDefault="00F52FA3" w:rsidP="00693166">
      <w:pPr>
        <w:spacing w:after="0" w:line="480" w:lineRule="auto"/>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lastRenderedPageBreak/>
        <w:tab/>
      </w:r>
      <w:r w:rsidRPr="00B52A94">
        <w:rPr>
          <w:rFonts w:ascii="Times New Roman" w:hAnsi="Times New Roman" w:cs="Times New Roman"/>
          <w:sz w:val="24"/>
          <w:szCs w:val="24"/>
          <w:lang w:val="en-ZW"/>
        </w:rPr>
        <w:tab/>
      </w:r>
      <w:r w:rsidR="00C10D0F" w:rsidRPr="00B52A94">
        <w:rPr>
          <w:rFonts w:ascii="Times New Roman" w:hAnsi="Times New Roman" w:cs="Times New Roman"/>
          <w:sz w:val="24"/>
          <w:szCs w:val="24"/>
          <w:lang w:val="en-ZW"/>
        </w:rPr>
        <w:t xml:space="preserve">Appellant alleges that the court </w:t>
      </w:r>
      <w:r w:rsidR="00C10D0F" w:rsidRPr="00B52A94">
        <w:rPr>
          <w:rFonts w:ascii="Times New Roman" w:hAnsi="Times New Roman" w:cs="Times New Roman"/>
          <w:i/>
          <w:sz w:val="24"/>
          <w:szCs w:val="24"/>
          <w:lang w:val="en-ZW"/>
        </w:rPr>
        <w:t>a quo</w:t>
      </w:r>
      <w:r w:rsidR="00C10D0F" w:rsidRPr="00B52A94">
        <w:rPr>
          <w:rFonts w:ascii="Times New Roman" w:hAnsi="Times New Roman" w:cs="Times New Roman"/>
          <w:sz w:val="24"/>
          <w:szCs w:val="24"/>
          <w:lang w:val="en-ZW"/>
        </w:rPr>
        <w:t xml:space="preserve"> erred by admitting exhibit 5</w:t>
      </w:r>
      <w:r w:rsidR="00D87897" w:rsidRPr="00B52A94">
        <w:rPr>
          <w:rFonts w:ascii="Times New Roman" w:hAnsi="Times New Roman" w:cs="Times New Roman"/>
          <w:sz w:val="24"/>
          <w:szCs w:val="24"/>
          <w:lang w:val="en-ZW"/>
        </w:rPr>
        <w:t xml:space="preserve">, the letter it wrote to its legal practitioners, </w:t>
      </w:r>
      <w:r w:rsidR="00C10D0F" w:rsidRPr="00B52A94">
        <w:rPr>
          <w:rFonts w:ascii="Times New Roman" w:hAnsi="Times New Roman" w:cs="Times New Roman"/>
          <w:sz w:val="24"/>
          <w:szCs w:val="24"/>
          <w:lang w:val="en-ZW"/>
        </w:rPr>
        <w:t xml:space="preserve">as evidence </w:t>
      </w:r>
      <w:r w:rsidR="00D87897" w:rsidRPr="00B52A94">
        <w:rPr>
          <w:rFonts w:ascii="Times New Roman" w:hAnsi="Times New Roman" w:cs="Times New Roman"/>
          <w:sz w:val="24"/>
          <w:szCs w:val="24"/>
          <w:lang w:val="en-ZW"/>
        </w:rPr>
        <w:t>as</w:t>
      </w:r>
      <w:r w:rsidR="00C10D0F" w:rsidRPr="00B52A94">
        <w:rPr>
          <w:rFonts w:ascii="Times New Roman" w:hAnsi="Times New Roman" w:cs="Times New Roman"/>
          <w:sz w:val="24"/>
          <w:szCs w:val="24"/>
          <w:lang w:val="en-ZW"/>
        </w:rPr>
        <w:t xml:space="preserve"> this was in contravention of </w:t>
      </w:r>
      <w:r w:rsidR="00D87897" w:rsidRPr="00B52A94">
        <w:rPr>
          <w:rFonts w:ascii="Times New Roman" w:hAnsi="Times New Roman" w:cs="Times New Roman"/>
          <w:sz w:val="24"/>
          <w:szCs w:val="24"/>
          <w:lang w:val="en-ZW"/>
        </w:rPr>
        <w:t>s</w:t>
      </w:r>
      <w:r w:rsidR="00F052E3" w:rsidRPr="00B52A94">
        <w:rPr>
          <w:rFonts w:ascii="Times New Roman" w:hAnsi="Times New Roman" w:cs="Times New Roman"/>
          <w:sz w:val="24"/>
          <w:szCs w:val="24"/>
          <w:lang w:val="en-ZW"/>
        </w:rPr>
        <w:t xml:space="preserve"> 8(2</w:t>
      </w:r>
      <w:r w:rsidR="00D87897" w:rsidRPr="00B52A94">
        <w:rPr>
          <w:rFonts w:ascii="Times New Roman" w:hAnsi="Times New Roman" w:cs="Times New Roman"/>
          <w:sz w:val="24"/>
          <w:szCs w:val="24"/>
          <w:lang w:val="en-ZW"/>
        </w:rPr>
        <w:t>) of the Civil Evidence Act.</w:t>
      </w:r>
      <w:r w:rsidR="00F052E3" w:rsidRPr="00B52A94">
        <w:rPr>
          <w:rFonts w:ascii="Times New Roman" w:hAnsi="Times New Roman" w:cs="Times New Roman"/>
          <w:sz w:val="24"/>
          <w:szCs w:val="24"/>
          <w:lang w:val="en-ZW"/>
        </w:rPr>
        <w:t xml:space="preserve"> The provision states:</w:t>
      </w:r>
    </w:p>
    <w:p w:rsidR="00F052E3" w:rsidRPr="00B52A94" w:rsidRDefault="00F052E3" w:rsidP="00693166">
      <w:pPr>
        <w:spacing w:after="0" w:line="240" w:lineRule="auto"/>
        <w:ind w:left="1276" w:hanging="709"/>
        <w:jc w:val="both"/>
        <w:rPr>
          <w:rFonts w:ascii="Times New Roman" w:hAnsi="Times New Roman" w:cs="Times New Roman"/>
          <w:sz w:val="24"/>
          <w:szCs w:val="24"/>
        </w:rPr>
      </w:pPr>
      <w:r w:rsidRPr="00B52A94">
        <w:rPr>
          <w:rFonts w:ascii="Times New Roman" w:hAnsi="Times New Roman" w:cs="Times New Roman"/>
          <w:sz w:val="24"/>
          <w:szCs w:val="24"/>
          <w:lang w:val="en-ZW"/>
        </w:rPr>
        <w:t>“</w:t>
      </w:r>
      <w:r w:rsidRPr="00B52A94">
        <w:rPr>
          <w:rFonts w:ascii="Times New Roman" w:hAnsi="Times New Roman" w:cs="Times New Roman"/>
          <w:sz w:val="24"/>
          <w:szCs w:val="24"/>
        </w:rPr>
        <w:t>(2) No person shall disclose in evidence any confidential communication between—</w:t>
      </w:r>
    </w:p>
    <w:p w:rsidR="00F052E3" w:rsidRPr="00B52A94" w:rsidRDefault="00F052E3" w:rsidP="00693166">
      <w:pPr>
        <w:spacing w:after="0" w:line="240" w:lineRule="auto"/>
        <w:ind w:left="1418" w:hanging="698"/>
        <w:jc w:val="both"/>
        <w:rPr>
          <w:rFonts w:ascii="Times New Roman" w:hAnsi="Times New Roman" w:cs="Times New Roman"/>
          <w:sz w:val="24"/>
          <w:szCs w:val="24"/>
        </w:rPr>
      </w:pPr>
      <w:r w:rsidRPr="00B52A94">
        <w:rPr>
          <w:rFonts w:ascii="Times New Roman" w:hAnsi="Times New Roman" w:cs="Times New Roman"/>
          <w:sz w:val="24"/>
          <w:szCs w:val="24"/>
        </w:rPr>
        <w:t>(</w:t>
      </w:r>
      <w:r w:rsidRPr="00B52A94">
        <w:rPr>
          <w:rFonts w:ascii="Times New Roman" w:hAnsi="Times New Roman" w:cs="Times New Roman"/>
          <w:i/>
          <w:iCs/>
          <w:sz w:val="24"/>
          <w:szCs w:val="24"/>
        </w:rPr>
        <w:t>a</w:t>
      </w:r>
      <w:r w:rsidRPr="00B52A94">
        <w:rPr>
          <w:rFonts w:ascii="Times New Roman" w:hAnsi="Times New Roman" w:cs="Times New Roman"/>
          <w:sz w:val="24"/>
          <w:szCs w:val="24"/>
        </w:rPr>
        <w:t>) a client and his legal practitioner or the legal practitioner’s employee or agent; or</w:t>
      </w:r>
    </w:p>
    <w:p w:rsidR="00F052E3" w:rsidRPr="00B52A94" w:rsidRDefault="00F052E3" w:rsidP="00693166">
      <w:pPr>
        <w:spacing w:after="0" w:line="240" w:lineRule="auto"/>
        <w:ind w:left="1418" w:hanging="698"/>
        <w:jc w:val="both"/>
        <w:rPr>
          <w:rFonts w:ascii="Times New Roman" w:hAnsi="Times New Roman" w:cs="Times New Roman"/>
          <w:sz w:val="24"/>
          <w:szCs w:val="24"/>
        </w:rPr>
      </w:pPr>
      <w:r w:rsidRPr="00B52A94">
        <w:rPr>
          <w:rFonts w:ascii="Times New Roman" w:hAnsi="Times New Roman" w:cs="Times New Roman"/>
          <w:sz w:val="24"/>
          <w:szCs w:val="24"/>
        </w:rPr>
        <w:t>(</w:t>
      </w:r>
      <w:r w:rsidRPr="00B52A94">
        <w:rPr>
          <w:rFonts w:ascii="Times New Roman" w:hAnsi="Times New Roman" w:cs="Times New Roman"/>
          <w:i/>
          <w:iCs/>
          <w:sz w:val="24"/>
          <w:szCs w:val="24"/>
        </w:rPr>
        <w:t>b</w:t>
      </w:r>
      <w:r w:rsidRPr="00B52A94">
        <w:rPr>
          <w:rFonts w:ascii="Times New Roman" w:hAnsi="Times New Roman" w:cs="Times New Roman"/>
          <w:sz w:val="24"/>
          <w:szCs w:val="24"/>
        </w:rPr>
        <w:t>) a client’s employee or agent and the client’s legal practitioner or the legal practitioner’s employee or</w:t>
      </w:r>
      <w:r w:rsidR="00E62D22" w:rsidRPr="00B52A94">
        <w:rPr>
          <w:rFonts w:ascii="Times New Roman" w:hAnsi="Times New Roman" w:cs="Times New Roman"/>
          <w:sz w:val="24"/>
          <w:szCs w:val="24"/>
        </w:rPr>
        <w:t xml:space="preserve"> </w:t>
      </w:r>
      <w:r w:rsidRPr="00B52A94">
        <w:rPr>
          <w:rFonts w:ascii="Times New Roman" w:hAnsi="Times New Roman" w:cs="Times New Roman"/>
          <w:sz w:val="24"/>
          <w:szCs w:val="24"/>
        </w:rPr>
        <w:t>agent;</w:t>
      </w:r>
    </w:p>
    <w:p w:rsidR="00F052E3" w:rsidRPr="00B52A94" w:rsidRDefault="00F052E3" w:rsidP="00693166">
      <w:pPr>
        <w:tabs>
          <w:tab w:val="left" w:pos="2475"/>
        </w:tabs>
        <w:spacing w:after="0" w:line="240" w:lineRule="auto"/>
        <w:ind w:left="720"/>
        <w:jc w:val="both"/>
        <w:rPr>
          <w:rFonts w:ascii="Times New Roman" w:hAnsi="Times New Roman" w:cs="Times New Roman"/>
          <w:sz w:val="24"/>
          <w:szCs w:val="24"/>
        </w:rPr>
      </w:pPr>
      <w:r w:rsidRPr="00B52A94">
        <w:rPr>
          <w:rFonts w:ascii="Times New Roman" w:hAnsi="Times New Roman" w:cs="Times New Roman"/>
          <w:sz w:val="24"/>
          <w:szCs w:val="24"/>
        </w:rPr>
        <w:t>where the confidential communication was made for the purpose of enabling the client to obtain, or the legal</w:t>
      </w:r>
      <w:r w:rsidR="00E62D22" w:rsidRPr="00B52A94">
        <w:rPr>
          <w:rFonts w:ascii="Times New Roman" w:hAnsi="Times New Roman" w:cs="Times New Roman"/>
          <w:sz w:val="24"/>
          <w:szCs w:val="24"/>
        </w:rPr>
        <w:t xml:space="preserve"> </w:t>
      </w:r>
      <w:r w:rsidRPr="00B52A94">
        <w:rPr>
          <w:rFonts w:ascii="Times New Roman" w:hAnsi="Times New Roman" w:cs="Times New Roman"/>
          <w:sz w:val="24"/>
          <w:szCs w:val="24"/>
        </w:rPr>
        <w:t>practitioner to give the client, any legal advice.</w:t>
      </w:r>
      <w:r w:rsidR="00E62D22" w:rsidRPr="00B52A94">
        <w:rPr>
          <w:rFonts w:ascii="Times New Roman" w:hAnsi="Times New Roman" w:cs="Times New Roman"/>
          <w:sz w:val="24"/>
          <w:szCs w:val="24"/>
        </w:rPr>
        <w:t>”</w:t>
      </w:r>
    </w:p>
    <w:p w:rsidR="00F52FA3" w:rsidRPr="00B52A94" w:rsidRDefault="00F52FA3" w:rsidP="00693166">
      <w:pPr>
        <w:tabs>
          <w:tab w:val="left" w:pos="2475"/>
        </w:tabs>
        <w:spacing w:after="0" w:line="480" w:lineRule="auto"/>
        <w:ind w:left="720"/>
        <w:jc w:val="both"/>
        <w:rPr>
          <w:rFonts w:ascii="Times New Roman" w:hAnsi="Times New Roman" w:cs="Times New Roman"/>
          <w:sz w:val="24"/>
          <w:szCs w:val="24"/>
        </w:rPr>
      </w:pPr>
    </w:p>
    <w:p w:rsidR="00F52FA3" w:rsidRPr="00B52A94" w:rsidRDefault="00F52FA3" w:rsidP="00693166">
      <w:pPr>
        <w:tabs>
          <w:tab w:val="left" w:pos="2475"/>
        </w:tabs>
        <w:spacing w:after="0" w:line="240" w:lineRule="auto"/>
        <w:ind w:left="720"/>
        <w:jc w:val="both"/>
        <w:rPr>
          <w:rFonts w:ascii="Times New Roman" w:hAnsi="Times New Roman" w:cs="Times New Roman"/>
          <w:sz w:val="24"/>
          <w:szCs w:val="24"/>
        </w:rPr>
      </w:pPr>
    </w:p>
    <w:p w:rsidR="00D068D0" w:rsidRPr="00B52A94" w:rsidRDefault="00F52FA3" w:rsidP="00693166">
      <w:pPr>
        <w:spacing w:after="0" w:line="480" w:lineRule="auto"/>
        <w:jc w:val="both"/>
        <w:rPr>
          <w:rFonts w:ascii="Times New Roman" w:hAnsi="Times New Roman" w:cs="Times New Roman"/>
          <w:sz w:val="24"/>
          <w:szCs w:val="24"/>
        </w:rPr>
      </w:pPr>
      <w:r w:rsidRPr="00B52A94">
        <w:rPr>
          <w:rFonts w:ascii="Times New Roman" w:hAnsi="Times New Roman" w:cs="Times New Roman"/>
          <w:sz w:val="24"/>
          <w:szCs w:val="24"/>
        </w:rPr>
        <w:tab/>
      </w:r>
      <w:r w:rsidRPr="00B52A94">
        <w:rPr>
          <w:rFonts w:ascii="Times New Roman" w:hAnsi="Times New Roman" w:cs="Times New Roman"/>
          <w:sz w:val="24"/>
          <w:szCs w:val="24"/>
        </w:rPr>
        <w:tab/>
      </w:r>
      <w:r w:rsidR="00BB50B2" w:rsidRPr="00B52A94">
        <w:rPr>
          <w:rFonts w:ascii="Times New Roman" w:hAnsi="Times New Roman" w:cs="Times New Roman"/>
          <w:sz w:val="24"/>
          <w:szCs w:val="24"/>
        </w:rPr>
        <w:t xml:space="preserve">Although the respondent stated that he was given the letter by Chitauro, </w:t>
      </w:r>
      <w:r w:rsidR="00463460" w:rsidRPr="00B52A94">
        <w:rPr>
          <w:rFonts w:ascii="Times New Roman" w:hAnsi="Times New Roman" w:cs="Times New Roman"/>
          <w:sz w:val="24"/>
          <w:szCs w:val="24"/>
        </w:rPr>
        <w:t xml:space="preserve">it was evident that the appellant and Chitauro had not parted on the best of terms. </w:t>
      </w:r>
      <w:r w:rsidR="00D068D0" w:rsidRPr="00B52A94">
        <w:rPr>
          <w:rFonts w:ascii="Times New Roman" w:hAnsi="Times New Roman" w:cs="Times New Roman"/>
          <w:sz w:val="24"/>
          <w:szCs w:val="24"/>
        </w:rPr>
        <w:t>T</w:t>
      </w:r>
      <w:r w:rsidR="00BB50B2" w:rsidRPr="00B52A94">
        <w:rPr>
          <w:rFonts w:ascii="Times New Roman" w:hAnsi="Times New Roman" w:cs="Times New Roman"/>
          <w:sz w:val="24"/>
          <w:szCs w:val="24"/>
        </w:rPr>
        <w:t xml:space="preserve">he court </w:t>
      </w:r>
      <w:r w:rsidR="00BB50B2" w:rsidRPr="00B52A94">
        <w:rPr>
          <w:rFonts w:ascii="Times New Roman" w:hAnsi="Times New Roman" w:cs="Times New Roman"/>
          <w:i/>
          <w:sz w:val="24"/>
          <w:szCs w:val="24"/>
        </w:rPr>
        <w:t>a quo</w:t>
      </w:r>
      <w:r w:rsidR="00BB50B2" w:rsidRPr="00B52A94">
        <w:rPr>
          <w:rFonts w:ascii="Times New Roman" w:hAnsi="Times New Roman" w:cs="Times New Roman"/>
          <w:sz w:val="24"/>
          <w:szCs w:val="24"/>
        </w:rPr>
        <w:t xml:space="preserve"> stated that it was inclined to accept the argument from the respondent that the former had allowed the letter to fall into the hands of the respondent and that as a result it had tacitly waived the privilege afforded under the Act.</w:t>
      </w:r>
      <w:r w:rsidR="00D068D0" w:rsidRPr="00B52A94">
        <w:rPr>
          <w:rFonts w:ascii="Times New Roman" w:hAnsi="Times New Roman" w:cs="Times New Roman"/>
          <w:sz w:val="24"/>
          <w:szCs w:val="24"/>
        </w:rPr>
        <w:t xml:space="preserve"> In </w:t>
      </w:r>
      <w:r w:rsidR="00D068D0" w:rsidRPr="00B52A94">
        <w:rPr>
          <w:rFonts w:ascii="Times New Roman" w:hAnsi="Times New Roman" w:cs="Times New Roman"/>
          <w:i/>
          <w:sz w:val="24"/>
          <w:szCs w:val="24"/>
        </w:rPr>
        <w:t>Law Society v Minister of Transport &amp; Communications &amp; Anor</w:t>
      </w:r>
      <w:r w:rsidR="00D068D0" w:rsidRPr="00B52A94">
        <w:rPr>
          <w:rFonts w:ascii="Times New Roman" w:hAnsi="Times New Roman" w:cs="Times New Roman"/>
          <w:sz w:val="24"/>
          <w:szCs w:val="24"/>
        </w:rPr>
        <w:t xml:space="preserve"> 2004 (1) ZLR 257 (S)</w:t>
      </w:r>
      <w:r w:rsidRPr="00B52A94">
        <w:rPr>
          <w:rFonts w:ascii="Times New Roman" w:hAnsi="Times New Roman" w:cs="Times New Roman"/>
          <w:sz w:val="24"/>
          <w:szCs w:val="24"/>
        </w:rPr>
        <w:t xml:space="preserve"> </w:t>
      </w:r>
      <w:r w:rsidR="00D068D0" w:rsidRPr="00B52A94">
        <w:rPr>
          <w:rFonts w:ascii="Times New Roman" w:hAnsi="Times New Roman" w:cs="Times New Roman"/>
          <w:sz w:val="24"/>
          <w:szCs w:val="24"/>
        </w:rPr>
        <w:t>at 261F-G,</w:t>
      </w:r>
      <w:r w:rsidRPr="00B52A94">
        <w:rPr>
          <w:rFonts w:ascii="Times New Roman" w:hAnsi="Times New Roman" w:cs="Times New Roman"/>
          <w:sz w:val="24"/>
          <w:szCs w:val="24"/>
        </w:rPr>
        <w:t xml:space="preserve"> CHIDYAUSIKU </w:t>
      </w:r>
      <w:r w:rsidR="00D068D0" w:rsidRPr="00B52A94">
        <w:rPr>
          <w:rFonts w:ascii="Times New Roman" w:hAnsi="Times New Roman" w:cs="Times New Roman"/>
          <w:sz w:val="24"/>
          <w:szCs w:val="24"/>
        </w:rPr>
        <w:t>CJ, had occasion to comment as follows:</w:t>
      </w:r>
    </w:p>
    <w:p w:rsidR="00C55E39" w:rsidRPr="00B52A94" w:rsidRDefault="00D068D0" w:rsidP="00693166">
      <w:pPr>
        <w:spacing w:after="0" w:line="240" w:lineRule="auto"/>
        <w:ind w:left="720"/>
        <w:jc w:val="both"/>
        <w:rPr>
          <w:rFonts w:ascii="Times New Roman" w:hAnsi="Times New Roman" w:cs="Times New Roman"/>
          <w:sz w:val="24"/>
          <w:szCs w:val="24"/>
        </w:rPr>
      </w:pPr>
      <w:r w:rsidRPr="00B52A94">
        <w:rPr>
          <w:rFonts w:ascii="Times New Roman" w:hAnsi="Times New Roman" w:cs="Times New Roman"/>
          <w:sz w:val="24"/>
          <w:szCs w:val="24"/>
        </w:rPr>
        <w:t>“The court was referred to a wide range of authorities that underpinned the i</w:t>
      </w:r>
      <w:r w:rsidR="00F52FA3" w:rsidRPr="00B52A94">
        <w:rPr>
          <w:rFonts w:ascii="Times New Roman" w:hAnsi="Times New Roman" w:cs="Times New Roman"/>
          <w:sz w:val="24"/>
          <w:szCs w:val="24"/>
        </w:rPr>
        <w:t>mportance and significance of</w:t>
      </w:r>
      <w:r w:rsidRPr="00B52A94">
        <w:rPr>
          <w:rFonts w:ascii="Times New Roman" w:hAnsi="Times New Roman" w:cs="Times New Roman"/>
          <w:sz w:val="24"/>
          <w:szCs w:val="24"/>
        </w:rPr>
        <w:t xml:space="preserve"> the lawyer client privilege. In the case of </w:t>
      </w:r>
      <w:r w:rsidRPr="00B52A94">
        <w:rPr>
          <w:rFonts w:ascii="Times New Roman" w:hAnsi="Times New Roman" w:cs="Times New Roman"/>
          <w:i/>
          <w:sz w:val="24"/>
          <w:szCs w:val="24"/>
        </w:rPr>
        <w:t>Baker v Campbell</w:t>
      </w:r>
      <w:r w:rsidRPr="00B52A94">
        <w:rPr>
          <w:rFonts w:ascii="Times New Roman" w:hAnsi="Times New Roman" w:cs="Times New Roman"/>
          <w:sz w:val="24"/>
          <w:szCs w:val="24"/>
        </w:rPr>
        <w:t xml:space="preserve"> (1983) 153 52(HCA) it was held that the privilege existed not simply in relation to litigation but to advice sought between a client and a lawyer so that the client can regulate his </w:t>
      </w:r>
      <w:r w:rsidR="00F52FA3" w:rsidRPr="00B52A94">
        <w:rPr>
          <w:rFonts w:ascii="Times New Roman" w:hAnsi="Times New Roman" w:cs="Times New Roman"/>
          <w:sz w:val="24"/>
          <w:szCs w:val="24"/>
        </w:rPr>
        <w:t>affairs</w:t>
      </w:r>
      <w:r w:rsidRPr="00B52A94">
        <w:rPr>
          <w:rFonts w:ascii="Times New Roman" w:hAnsi="Times New Roman" w:cs="Times New Roman"/>
          <w:sz w:val="24"/>
          <w:szCs w:val="24"/>
        </w:rPr>
        <w:t xml:space="preserve">. In another case cited to this court, it was held that the privilege between lawyer and client even overrode the policy consideration that no innocent man should be convicted of a crime –see </w:t>
      </w:r>
      <w:r w:rsidRPr="00B52A94">
        <w:rPr>
          <w:rFonts w:ascii="Times New Roman" w:hAnsi="Times New Roman" w:cs="Times New Roman"/>
          <w:i/>
          <w:sz w:val="24"/>
          <w:szCs w:val="24"/>
        </w:rPr>
        <w:t xml:space="preserve">S v Safatsa </w:t>
      </w:r>
      <w:r w:rsidR="00C55E39" w:rsidRPr="00B52A94">
        <w:rPr>
          <w:rFonts w:ascii="Times New Roman" w:hAnsi="Times New Roman" w:cs="Times New Roman"/>
          <w:i/>
          <w:sz w:val="24"/>
          <w:szCs w:val="24"/>
        </w:rPr>
        <w:t>&amp; Ors</w:t>
      </w:r>
      <w:r w:rsidR="00C55E39" w:rsidRPr="00B52A94">
        <w:rPr>
          <w:rFonts w:ascii="Times New Roman" w:hAnsi="Times New Roman" w:cs="Times New Roman"/>
          <w:sz w:val="24"/>
          <w:szCs w:val="24"/>
        </w:rPr>
        <w:t xml:space="preserve"> 1988 (1) SA 868(A), at pp</w:t>
      </w:r>
      <w:r w:rsidR="00F52FA3" w:rsidRPr="00B52A94">
        <w:rPr>
          <w:rFonts w:ascii="Times New Roman" w:hAnsi="Times New Roman" w:cs="Times New Roman"/>
          <w:sz w:val="24"/>
          <w:szCs w:val="24"/>
        </w:rPr>
        <w:t xml:space="preserve"> </w:t>
      </w:r>
      <w:r w:rsidR="00C55E39" w:rsidRPr="00B52A94">
        <w:rPr>
          <w:rFonts w:ascii="Times New Roman" w:hAnsi="Times New Roman" w:cs="Times New Roman"/>
          <w:sz w:val="24"/>
          <w:szCs w:val="24"/>
        </w:rPr>
        <w:t xml:space="preserve">878-887. In this regard, see also Mahomed v President of the Republic of </w:t>
      </w:r>
      <w:r w:rsidR="00C55E39" w:rsidRPr="00B52A94">
        <w:rPr>
          <w:rFonts w:ascii="Times New Roman" w:hAnsi="Times New Roman" w:cs="Times New Roman"/>
          <w:i/>
          <w:sz w:val="24"/>
          <w:szCs w:val="24"/>
        </w:rPr>
        <w:t>South Africa &amp; Ors</w:t>
      </w:r>
      <w:r w:rsidR="00C55E39" w:rsidRPr="00B52A94">
        <w:rPr>
          <w:rFonts w:ascii="Times New Roman" w:hAnsi="Times New Roman" w:cs="Times New Roman"/>
          <w:sz w:val="24"/>
          <w:szCs w:val="24"/>
        </w:rPr>
        <w:t xml:space="preserve"> 2001(2) SA 1145(C) at pp 1151-1155. The sanctity of the lawyer-client privilege and the need to minimize inroads into that privilege are emphasized in a number of Canadian cases that were cited by the applicant.”</w:t>
      </w:r>
    </w:p>
    <w:p w:rsidR="00D068D0" w:rsidRPr="00B52A94" w:rsidRDefault="00C55E39" w:rsidP="00693166">
      <w:pPr>
        <w:tabs>
          <w:tab w:val="left" w:pos="2475"/>
        </w:tabs>
        <w:spacing w:after="0" w:line="240" w:lineRule="auto"/>
        <w:jc w:val="both"/>
        <w:rPr>
          <w:rFonts w:ascii="Times New Roman" w:hAnsi="Times New Roman" w:cs="Times New Roman"/>
          <w:sz w:val="24"/>
          <w:szCs w:val="24"/>
        </w:rPr>
      </w:pPr>
      <w:r w:rsidRPr="00B52A94">
        <w:rPr>
          <w:rFonts w:ascii="Times New Roman" w:hAnsi="Times New Roman" w:cs="Times New Roman"/>
          <w:sz w:val="24"/>
          <w:szCs w:val="24"/>
        </w:rPr>
        <w:t xml:space="preserve">  </w:t>
      </w:r>
      <w:r w:rsidR="00D068D0" w:rsidRPr="00B52A94">
        <w:rPr>
          <w:rFonts w:ascii="Times New Roman" w:hAnsi="Times New Roman" w:cs="Times New Roman"/>
          <w:sz w:val="24"/>
          <w:szCs w:val="24"/>
        </w:rPr>
        <w:t xml:space="preserve">  </w:t>
      </w:r>
    </w:p>
    <w:p w:rsidR="00F52FA3" w:rsidRPr="00B52A94" w:rsidRDefault="00F52FA3" w:rsidP="00693166">
      <w:pPr>
        <w:tabs>
          <w:tab w:val="left" w:pos="2475"/>
        </w:tabs>
        <w:spacing w:after="0" w:line="480" w:lineRule="auto"/>
        <w:jc w:val="both"/>
        <w:rPr>
          <w:rFonts w:ascii="Times New Roman" w:hAnsi="Times New Roman" w:cs="Times New Roman"/>
          <w:sz w:val="24"/>
          <w:szCs w:val="24"/>
        </w:rPr>
      </w:pPr>
    </w:p>
    <w:p w:rsidR="00F52FA3" w:rsidRPr="00B52A94" w:rsidRDefault="00F52FA3" w:rsidP="00693166">
      <w:pPr>
        <w:spacing w:after="0" w:line="480" w:lineRule="auto"/>
        <w:jc w:val="both"/>
        <w:rPr>
          <w:rFonts w:ascii="Times New Roman" w:hAnsi="Times New Roman" w:cs="Times New Roman"/>
          <w:sz w:val="24"/>
          <w:szCs w:val="24"/>
        </w:rPr>
      </w:pPr>
      <w:r w:rsidRPr="00B52A94">
        <w:rPr>
          <w:rFonts w:ascii="Times New Roman" w:hAnsi="Times New Roman" w:cs="Times New Roman"/>
          <w:sz w:val="24"/>
          <w:szCs w:val="24"/>
        </w:rPr>
        <w:tab/>
      </w:r>
      <w:r w:rsidRPr="00B52A94">
        <w:rPr>
          <w:rFonts w:ascii="Times New Roman" w:hAnsi="Times New Roman" w:cs="Times New Roman"/>
          <w:sz w:val="24"/>
          <w:szCs w:val="24"/>
        </w:rPr>
        <w:tab/>
      </w:r>
      <w:r w:rsidR="00E526BB" w:rsidRPr="00B52A94">
        <w:rPr>
          <w:rFonts w:ascii="Times New Roman" w:hAnsi="Times New Roman" w:cs="Times New Roman"/>
          <w:sz w:val="24"/>
          <w:szCs w:val="24"/>
        </w:rPr>
        <w:t xml:space="preserve">The court </w:t>
      </w:r>
      <w:r w:rsidR="00E526BB" w:rsidRPr="00B52A94">
        <w:rPr>
          <w:rFonts w:ascii="Times New Roman" w:hAnsi="Times New Roman" w:cs="Times New Roman"/>
          <w:i/>
          <w:sz w:val="24"/>
          <w:szCs w:val="24"/>
        </w:rPr>
        <w:t>a quo</w:t>
      </w:r>
      <w:r w:rsidR="00E526BB" w:rsidRPr="00B52A94">
        <w:rPr>
          <w:rFonts w:ascii="Times New Roman" w:hAnsi="Times New Roman" w:cs="Times New Roman"/>
          <w:sz w:val="24"/>
          <w:szCs w:val="24"/>
        </w:rPr>
        <w:t xml:space="preserve"> held that the appellant waived its privilege by allowing the respondent to have possession of the letter. </w:t>
      </w:r>
      <w:r w:rsidR="007116CA" w:rsidRPr="00B52A94">
        <w:rPr>
          <w:rFonts w:ascii="Times New Roman" w:hAnsi="Times New Roman" w:cs="Times New Roman"/>
          <w:sz w:val="24"/>
          <w:szCs w:val="24"/>
        </w:rPr>
        <w:t xml:space="preserve">Clearly the letter is </w:t>
      </w:r>
      <w:r w:rsidR="00763D72" w:rsidRPr="00B52A94">
        <w:rPr>
          <w:rFonts w:ascii="Times New Roman" w:hAnsi="Times New Roman" w:cs="Times New Roman"/>
          <w:sz w:val="24"/>
          <w:szCs w:val="24"/>
        </w:rPr>
        <w:t xml:space="preserve">a </w:t>
      </w:r>
      <w:r w:rsidR="007116CA" w:rsidRPr="00B52A94">
        <w:rPr>
          <w:rFonts w:ascii="Times New Roman" w:hAnsi="Times New Roman" w:cs="Times New Roman"/>
          <w:sz w:val="24"/>
          <w:szCs w:val="24"/>
        </w:rPr>
        <w:t xml:space="preserve">communication between a legal </w:t>
      </w:r>
      <w:r w:rsidR="007116CA" w:rsidRPr="00B52A94">
        <w:rPr>
          <w:rFonts w:ascii="Times New Roman" w:hAnsi="Times New Roman" w:cs="Times New Roman"/>
          <w:sz w:val="24"/>
          <w:szCs w:val="24"/>
        </w:rPr>
        <w:lastRenderedPageBreak/>
        <w:t>practitioner and a client and would be covered by privilege unless it can be shown that the appellant consented to the letter being given to the respondent.</w:t>
      </w:r>
    </w:p>
    <w:p w:rsidR="00BB50B2" w:rsidRPr="00B52A94" w:rsidRDefault="007116CA" w:rsidP="00693166">
      <w:pPr>
        <w:spacing w:after="0" w:line="480" w:lineRule="auto"/>
        <w:jc w:val="both"/>
        <w:rPr>
          <w:rFonts w:ascii="Times New Roman" w:hAnsi="Times New Roman" w:cs="Times New Roman"/>
          <w:sz w:val="24"/>
          <w:szCs w:val="24"/>
        </w:rPr>
      </w:pPr>
      <w:r w:rsidRPr="00B52A94">
        <w:rPr>
          <w:rFonts w:ascii="Times New Roman" w:hAnsi="Times New Roman" w:cs="Times New Roman"/>
          <w:sz w:val="24"/>
          <w:szCs w:val="24"/>
        </w:rPr>
        <w:t xml:space="preserve"> </w:t>
      </w:r>
    </w:p>
    <w:p w:rsidR="00C55E39" w:rsidRPr="00B52A94" w:rsidRDefault="00F52FA3" w:rsidP="00693166">
      <w:pPr>
        <w:spacing w:after="0" w:line="480" w:lineRule="auto"/>
        <w:jc w:val="both"/>
        <w:rPr>
          <w:rFonts w:ascii="Times New Roman" w:hAnsi="Times New Roman" w:cs="Times New Roman"/>
          <w:sz w:val="24"/>
          <w:szCs w:val="24"/>
        </w:rPr>
      </w:pPr>
      <w:r w:rsidRPr="00B52A94">
        <w:rPr>
          <w:rFonts w:ascii="Times New Roman" w:hAnsi="Times New Roman" w:cs="Times New Roman"/>
          <w:sz w:val="24"/>
          <w:szCs w:val="24"/>
        </w:rPr>
        <w:tab/>
      </w:r>
      <w:r w:rsidRPr="00B52A94">
        <w:rPr>
          <w:rFonts w:ascii="Times New Roman" w:hAnsi="Times New Roman" w:cs="Times New Roman"/>
          <w:sz w:val="24"/>
          <w:szCs w:val="24"/>
        </w:rPr>
        <w:tab/>
      </w:r>
      <w:r w:rsidR="00BB50B2" w:rsidRPr="00B52A94">
        <w:rPr>
          <w:rFonts w:ascii="Times New Roman" w:hAnsi="Times New Roman" w:cs="Times New Roman"/>
          <w:sz w:val="24"/>
          <w:szCs w:val="24"/>
        </w:rPr>
        <w:t xml:space="preserve">The view I take is that there was no evidence placed before the court </w:t>
      </w:r>
      <w:r w:rsidR="00BB50B2" w:rsidRPr="00B52A94">
        <w:rPr>
          <w:rFonts w:ascii="Times New Roman" w:hAnsi="Times New Roman" w:cs="Times New Roman"/>
          <w:i/>
          <w:sz w:val="24"/>
          <w:szCs w:val="24"/>
        </w:rPr>
        <w:t>a quo</w:t>
      </w:r>
      <w:r w:rsidR="00BB50B2" w:rsidRPr="00B52A94">
        <w:rPr>
          <w:rFonts w:ascii="Times New Roman" w:hAnsi="Times New Roman" w:cs="Times New Roman"/>
          <w:sz w:val="24"/>
          <w:szCs w:val="24"/>
        </w:rPr>
        <w:t xml:space="preserve"> that the appellant consented to the production of the letter to the respondent. </w:t>
      </w:r>
      <w:r w:rsidR="00C55E39" w:rsidRPr="00B52A94">
        <w:rPr>
          <w:rFonts w:ascii="Times New Roman" w:hAnsi="Times New Roman" w:cs="Times New Roman"/>
          <w:sz w:val="24"/>
          <w:szCs w:val="24"/>
        </w:rPr>
        <w:t xml:space="preserve">The </w:t>
      </w:r>
      <w:r w:rsidR="00C55E39" w:rsidRPr="00B52A94">
        <w:rPr>
          <w:rFonts w:ascii="Times New Roman" w:hAnsi="Times New Roman" w:cs="Times New Roman"/>
          <w:i/>
          <w:sz w:val="24"/>
          <w:szCs w:val="24"/>
        </w:rPr>
        <w:t>onus</w:t>
      </w:r>
      <w:r w:rsidR="00C55E39" w:rsidRPr="00B52A94">
        <w:rPr>
          <w:rFonts w:ascii="Times New Roman" w:hAnsi="Times New Roman" w:cs="Times New Roman"/>
          <w:sz w:val="24"/>
          <w:szCs w:val="24"/>
        </w:rPr>
        <w:t xml:space="preserve"> was on the respondent to show waiver of the privilege.  This </w:t>
      </w:r>
      <w:r w:rsidR="00C55E39" w:rsidRPr="00B52A94">
        <w:rPr>
          <w:rFonts w:ascii="Times New Roman" w:hAnsi="Times New Roman" w:cs="Times New Roman"/>
          <w:i/>
          <w:sz w:val="24"/>
          <w:szCs w:val="24"/>
        </w:rPr>
        <w:t>onus</w:t>
      </w:r>
      <w:r w:rsidR="00C55E39" w:rsidRPr="00B52A94">
        <w:rPr>
          <w:rFonts w:ascii="Times New Roman" w:hAnsi="Times New Roman" w:cs="Times New Roman"/>
          <w:sz w:val="24"/>
          <w:szCs w:val="24"/>
        </w:rPr>
        <w:t xml:space="preserve"> was not met and it was a misdirection on the part of the court </w:t>
      </w:r>
      <w:r w:rsidR="00C55E39" w:rsidRPr="00B52A94">
        <w:rPr>
          <w:rFonts w:ascii="Times New Roman" w:hAnsi="Times New Roman" w:cs="Times New Roman"/>
          <w:i/>
          <w:sz w:val="24"/>
          <w:szCs w:val="24"/>
        </w:rPr>
        <w:t>a quo</w:t>
      </w:r>
      <w:r w:rsidR="00C55E39" w:rsidRPr="00B52A94">
        <w:rPr>
          <w:rFonts w:ascii="Times New Roman" w:hAnsi="Times New Roman" w:cs="Times New Roman"/>
          <w:sz w:val="24"/>
          <w:szCs w:val="24"/>
        </w:rPr>
        <w:t xml:space="preserve"> to hold the letter admissible without tangible evidence of such waiver.  </w:t>
      </w:r>
    </w:p>
    <w:p w:rsidR="00AE0AB5" w:rsidRPr="00B52A94" w:rsidRDefault="00AE0AB5" w:rsidP="00693166">
      <w:pPr>
        <w:tabs>
          <w:tab w:val="left" w:pos="2475"/>
        </w:tabs>
        <w:spacing w:after="0" w:line="480" w:lineRule="auto"/>
        <w:jc w:val="both"/>
        <w:rPr>
          <w:rFonts w:ascii="Times New Roman" w:hAnsi="Times New Roman" w:cs="Times New Roman"/>
          <w:sz w:val="24"/>
          <w:szCs w:val="24"/>
        </w:rPr>
      </w:pPr>
    </w:p>
    <w:p w:rsidR="000B0D19" w:rsidRPr="00B52A94" w:rsidRDefault="000B0D19" w:rsidP="00693166">
      <w:pPr>
        <w:spacing w:after="0" w:line="480" w:lineRule="auto"/>
        <w:ind w:firstLine="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The </w:t>
      </w:r>
      <w:r w:rsidR="007C3C1E" w:rsidRPr="00B52A94">
        <w:rPr>
          <w:rFonts w:ascii="Times New Roman" w:hAnsi="Times New Roman" w:cs="Times New Roman"/>
          <w:sz w:val="24"/>
          <w:szCs w:val="24"/>
          <w:lang w:val="en-ZW"/>
        </w:rPr>
        <w:t>appeal clearly had merit and that is the reason that</w:t>
      </w:r>
      <w:r w:rsidR="00763D72" w:rsidRPr="00B52A94">
        <w:rPr>
          <w:rFonts w:ascii="Times New Roman" w:hAnsi="Times New Roman" w:cs="Times New Roman"/>
          <w:sz w:val="24"/>
          <w:szCs w:val="24"/>
          <w:lang w:val="en-ZW"/>
        </w:rPr>
        <w:t xml:space="preserve"> it was</w:t>
      </w:r>
      <w:r w:rsidR="007C3C1E" w:rsidRPr="00B52A94">
        <w:rPr>
          <w:rFonts w:ascii="Times New Roman" w:hAnsi="Times New Roman" w:cs="Times New Roman"/>
          <w:sz w:val="24"/>
          <w:szCs w:val="24"/>
          <w:lang w:val="en-ZW"/>
        </w:rPr>
        <w:t xml:space="preserve"> allowed </w:t>
      </w:r>
      <w:r w:rsidR="00763D72" w:rsidRPr="00B52A94">
        <w:rPr>
          <w:rFonts w:ascii="Times New Roman" w:hAnsi="Times New Roman" w:cs="Times New Roman"/>
          <w:sz w:val="24"/>
          <w:szCs w:val="24"/>
          <w:lang w:val="en-ZW"/>
        </w:rPr>
        <w:t xml:space="preserve">by </w:t>
      </w:r>
      <w:r w:rsidR="007C3C1E" w:rsidRPr="00B52A94">
        <w:rPr>
          <w:rFonts w:ascii="Times New Roman" w:hAnsi="Times New Roman" w:cs="Times New Roman"/>
          <w:sz w:val="24"/>
          <w:szCs w:val="24"/>
          <w:lang w:val="en-ZW"/>
        </w:rPr>
        <w:t xml:space="preserve">the </w:t>
      </w:r>
      <w:r w:rsidR="00763D72" w:rsidRPr="00B52A94">
        <w:rPr>
          <w:rFonts w:ascii="Times New Roman" w:hAnsi="Times New Roman" w:cs="Times New Roman"/>
          <w:sz w:val="24"/>
          <w:szCs w:val="24"/>
          <w:lang w:val="en-ZW"/>
        </w:rPr>
        <w:t>court</w:t>
      </w:r>
      <w:r w:rsidR="007C3C1E" w:rsidRPr="00B52A94">
        <w:rPr>
          <w:rFonts w:ascii="Times New Roman" w:hAnsi="Times New Roman" w:cs="Times New Roman"/>
          <w:sz w:val="24"/>
          <w:szCs w:val="24"/>
          <w:lang w:val="en-ZW"/>
        </w:rPr>
        <w:t xml:space="preserve">. </w:t>
      </w:r>
      <w:r w:rsidRPr="00B52A94">
        <w:rPr>
          <w:rFonts w:ascii="Times New Roman" w:hAnsi="Times New Roman" w:cs="Times New Roman"/>
          <w:sz w:val="24"/>
          <w:szCs w:val="24"/>
          <w:lang w:val="en-ZW"/>
        </w:rPr>
        <w:t xml:space="preserve"> </w:t>
      </w:r>
      <w:r w:rsidR="00F52FA3" w:rsidRPr="00B52A94">
        <w:rPr>
          <w:rFonts w:ascii="Times New Roman" w:hAnsi="Times New Roman" w:cs="Times New Roman"/>
          <w:sz w:val="24"/>
          <w:szCs w:val="24"/>
          <w:lang w:val="en-ZW"/>
        </w:rPr>
        <w:t>Accordingly,</w:t>
      </w:r>
      <w:r w:rsidR="00763D72" w:rsidRPr="00B52A94">
        <w:rPr>
          <w:rFonts w:ascii="Times New Roman" w:hAnsi="Times New Roman" w:cs="Times New Roman"/>
          <w:sz w:val="24"/>
          <w:szCs w:val="24"/>
          <w:lang w:val="en-ZW"/>
        </w:rPr>
        <w:t xml:space="preserve"> the C</w:t>
      </w:r>
      <w:r w:rsidRPr="00B52A94">
        <w:rPr>
          <w:rFonts w:ascii="Times New Roman" w:hAnsi="Times New Roman" w:cs="Times New Roman"/>
          <w:sz w:val="24"/>
          <w:szCs w:val="24"/>
          <w:lang w:val="en-ZW"/>
        </w:rPr>
        <w:t>ourt made the following order:</w:t>
      </w:r>
    </w:p>
    <w:p w:rsidR="000B0D19" w:rsidRPr="00B52A94" w:rsidRDefault="00AD2C23" w:rsidP="00693166">
      <w:pPr>
        <w:pStyle w:val="ListParagraph"/>
        <w:numPr>
          <w:ilvl w:val="0"/>
          <w:numId w:val="17"/>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appeal be and is hereby allowed with costs.</w:t>
      </w:r>
    </w:p>
    <w:p w:rsidR="00AD2C23" w:rsidRPr="00B52A94" w:rsidRDefault="00AD2C23" w:rsidP="00693166">
      <w:pPr>
        <w:pStyle w:val="ListParagraph"/>
        <w:numPr>
          <w:ilvl w:val="0"/>
          <w:numId w:val="17"/>
        </w:numPr>
        <w:spacing w:after="0" w:line="480" w:lineRule="auto"/>
        <w:ind w:left="1134" w:hanging="567"/>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The judgment of the court </w:t>
      </w:r>
      <w:r w:rsidRPr="00B52A94">
        <w:rPr>
          <w:rFonts w:ascii="Times New Roman" w:hAnsi="Times New Roman" w:cs="Times New Roman"/>
          <w:i/>
          <w:sz w:val="24"/>
          <w:szCs w:val="24"/>
          <w:lang w:val="en-ZW"/>
        </w:rPr>
        <w:t>a quo</w:t>
      </w:r>
      <w:r w:rsidRPr="00B52A94">
        <w:rPr>
          <w:rFonts w:ascii="Times New Roman" w:hAnsi="Times New Roman" w:cs="Times New Roman"/>
          <w:sz w:val="24"/>
          <w:szCs w:val="24"/>
          <w:lang w:val="en-ZW"/>
        </w:rPr>
        <w:t xml:space="preserve"> is set aside and substituted with the following:</w:t>
      </w:r>
    </w:p>
    <w:p w:rsidR="00AD2C23" w:rsidRPr="00B52A94" w:rsidRDefault="00AD2C23" w:rsidP="00693166">
      <w:pPr>
        <w:pStyle w:val="ListParagraph"/>
        <w:spacing w:after="0" w:line="240" w:lineRule="auto"/>
        <w:ind w:left="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 xml:space="preserve">“Judgment is granted in favour of the </w:t>
      </w:r>
      <w:r w:rsidR="00763D72" w:rsidRPr="00B52A94">
        <w:rPr>
          <w:rFonts w:ascii="Times New Roman" w:hAnsi="Times New Roman" w:cs="Times New Roman"/>
          <w:sz w:val="24"/>
          <w:szCs w:val="24"/>
          <w:lang w:val="en-ZW"/>
        </w:rPr>
        <w:t>plaintiff</w:t>
      </w:r>
      <w:r w:rsidRPr="00B52A94">
        <w:rPr>
          <w:rFonts w:ascii="Times New Roman" w:hAnsi="Times New Roman" w:cs="Times New Roman"/>
          <w:sz w:val="24"/>
          <w:szCs w:val="24"/>
          <w:lang w:val="en-ZW"/>
        </w:rPr>
        <w:t xml:space="preserve"> against the second </w:t>
      </w:r>
      <w:r w:rsidR="00763D72" w:rsidRPr="00B52A94">
        <w:rPr>
          <w:rFonts w:ascii="Times New Roman" w:hAnsi="Times New Roman" w:cs="Times New Roman"/>
          <w:sz w:val="24"/>
          <w:szCs w:val="24"/>
          <w:lang w:val="en-ZW"/>
        </w:rPr>
        <w:t>defendant</w:t>
      </w:r>
      <w:r w:rsidRPr="00B52A94">
        <w:rPr>
          <w:rFonts w:ascii="Times New Roman" w:hAnsi="Times New Roman" w:cs="Times New Roman"/>
          <w:sz w:val="24"/>
          <w:szCs w:val="24"/>
          <w:lang w:val="en-ZW"/>
        </w:rPr>
        <w:t xml:space="preserve"> Tapiwa Joel Furusa for the payment of US$40 954.18 with interest thereon at the rate of 5 per cent per annum from 18 September 2011 to the date of payment in full.</w:t>
      </w:r>
    </w:p>
    <w:p w:rsidR="00AD2C23" w:rsidRDefault="00AD2C23" w:rsidP="00693166">
      <w:pPr>
        <w:pStyle w:val="ListParagraph"/>
        <w:spacing w:after="0" w:line="240" w:lineRule="auto"/>
        <w:ind w:left="1134"/>
        <w:jc w:val="both"/>
        <w:rPr>
          <w:rFonts w:ascii="Times New Roman" w:hAnsi="Times New Roman" w:cs="Times New Roman"/>
          <w:sz w:val="24"/>
          <w:szCs w:val="24"/>
          <w:lang w:val="en-ZW"/>
        </w:rPr>
      </w:pPr>
      <w:r w:rsidRPr="00B52A94">
        <w:rPr>
          <w:rFonts w:ascii="Times New Roman" w:hAnsi="Times New Roman" w:cs="Times New Roman"/>
          <w:sz w:val="24"/>
          <w:szCs w:val="24"/>
          <w:lang w:val="en-ZW"/>
        </w:rPr>
        <w:t>The costs of this action shall be paid by the second respondent on the legal practitioner client scale.”</w:t>
      </w:r>
    </w:p>
    <w:p w:rsidR="00693166" w:rsidRDefault="00693166" w:rsidP="00693166">
      <w:pPr>
        <w:pStyle w:val="ListParagraph"/>
        <w:spacing w:after="0" w:line="240" w:lineRule="auto"/>
        <w:ind w:left="1134"/>
        <w:jc w:val="both"/>
        <w:rPr>
          <w:rFonts w:ascii="Times New Roman" w:hAnsi="Times New Roman" w:cs="Times New Roman"/>
          <w:sz w:val="24"/>
          <w:szCs w:val="24"/>
          <w:lang w:val="en-ZW"/>
        </w:rPr>
      </w:pPr>
    </w:p>
    <w:p w:rsidR="00693166" w:rsidRDefault="00693166" w:rsidP="00693166">
      <w:pPr>
        <w:pStyle w:val="ListParagraph"/>
        <w:spacing w:after="0" w:line="240" w:lineRule="auto"/>
        <w:ind w:left="1134"/>
        <w:jc w:val="both"/>
        <w:rPr>
          <w:rFonts w:ascii="Times New Roman" w:hAnsi="Times New Roman" w:cs="Times New Roman"/>
          <w:sz w:val="24"/>
          <w:szCs w:val="24"/>
          <w:lang w:val="en-ZW"/>
        </w:rPr>
      </w:pPr>
    </w:p>
    <w:p w:rsidR="00693166" w:rsidRDefault="00693166" w:rsidP="00693166">
      <w:pPr>
        <w:pStyle w:val="ListParagraph"/>
        <w:spacing w:after="0" w:line="240" w:lineRule="auto"/>
        <w:ind w:left="1134"/>
        <w:jc w:val="both"/>
        <w:rPr>
          <w:rFonts w:ascii="Times New Roman" w:hAnsi="Times New Roman" w:cs="Times New Roman"/>
          <w:sz w:val="24"/>
          <w:szCs w:val="24"/>
          <w:lang w:val="en-ZW"/>
        </w:rPr>
      </w:pPr>
    </w:p>
    <w:p w:rsidR="00693166" w:rsidRPr="00B52A94" w:rsidRDefault="00693166" w:rsidP="00693166">
      <w:pPr>
        <w:pStyle w:val="ListParagraph"/>
        <w:spacing w:after="0" w:line="240" w:lineRule="auto"/>
        <w:ind w:left="1134"/>
        <w:jc w:val="both"/>
        <w:rPr>
          <w:rFonts w:ascii="Times New Roman" w:hAnsi="Times New Roman" w:cs="Times New Roman"/>
          <w:sz w:val="24"/>
          <w:szCs w:val="24"/>
          <w:lang w:val="en-ZW"/>
        </w:rPr>
      </w:pPr>
    </w:p>
    <w:p w:rsidR="00D325FD" w:rsidRPr="00B52A94" w:rsidRDefault="00D325FD" w:rsidP="00693166">
      <w:pPr>
        <w:spacing w:after="0" w:line="240" w:lineRule="auto"/>
        <w:ind w:left="414" w:firstLine="720"/>
        <w:jc w:val="both"/>
        <w:rPr>
          <w:rFonts w:ascii="Times New Roman" w:hAnsi="Times New Roman" w:cs="Times New Roman"/>
          <w:b/>
          <w:sz w:val="24"/>
          <w:szCs w:val="24"/>
          <w:lang w:val="en-ZA"/>
        </w:rPr>
      </w:pPr>
      <w:r w:rsidRPr="00B52A94">
        <w:rPr>
          <w:rFonts w:ascii="Times New Roman" w:hAnsi="Times New Roman" w:cs="Times New Roman"/>
          <w:b/>
          <w:sz w:val="24"/>
          <w:szCs w:val="24"/>
          <w:lang w:val="en-ZA"/>
        </w:rPr>
        <w:t>ZIYAMBI JA:</w:t>
      </w:r>
      <w:r w:rsidRPr="00B52A94">
        <w:rPr>
          <w:rFonts w:ascii="Times New Roman" w:hAnsi="Times New Roman" w:cs="Times New Roman"/>
          <w:sz w:val="24"/>
          <w:szCs w:val="24"/>
          <w:lang w:val="en-ZA"/>
        </w:rPr>
        <w:tab/>
      </w:r>
      <w:r w:rsidRPr="00B52A94">
        <w:rPr>
          <w:rFonts w:ascii="Times New Roman" w:hAnsi="Times New Roman" w:cs="Times New Roman"/>
          <w:sz w:val="24"/>
          <w:szCs w:val="24"/>
          <w:lang w:val="en-ZA"/>
        </w:rPr>
        <w:tab/>
        <w:t>I agree</w:t>
      </w:r>
      <w:r w:rsidRPr="00B52A94">
        <w:rPr>
          <w:rFonts w:ascii="Times New Roman" w:hAnsi="Times New Roman" w:cs="Times New Roman"/>
          <w:b/>
          <w:sz w:val="24"/>
          <w:szCs w:val="24"/>
          <w:lang w:val="en-ZA"/>
        </w:rPr>
        <w:t xml:space="preserve"> </w:t>
      </w:r>
    </w:p>
    <w:p w:rsidR="00D325FD" w:rsidRPr="00B52A94" w:rsidRDefault="00D325FD" w:rsidP="00693166">
      <w:pPr>
        <w:spacing w:after="0" w:line="240" w:lineRule="auto"/>
        <w:ind w:left="414" w:firstLine="720"/>
        <w:jc w:val="both"/>
        <w:rPr>
          <w:rFonts w:ascii="Times New Roman" w:hAnsi="Times New Roman" w:cs="Times New Roman"/>
          <w:b/>
          <w:sz w:val="24"/>
          <w:szCs w:val="24"/>
          <w:lang w:val="en-ZA"/>
        </w:rPr>
      </w:pPr>
    </w:p>
    <w:p w:rsidR="00D325FD" w:rsidRPr="00B52A94" w:rsidRDefault="00D325FD" w:rsidP="00693166">
      <w:pPr>
        <w:spacing w:after="0" w:line="240" w:lineRule="auto"/>
        <w:ind w:left="414" w:firstLine="720"/>
        <w:jc w:val="both"/>
        <w:rPr>
          <w:rFonts w:ascii="Times New Roman" w:hAnsi="Times New Roman" w:cs="Times New Roman"/>
          <w:b/>
          <w:sz w:val="24"/>
          <w:szCs w:val="24"/>
          <w:lang w:val="en-ZA"/>
        </w:rPr>
      </w:pPr>
    </w:p>
    <w:p w:rsidR="0001152F" w:rsidRPr="00B52A94" w:rsidRDefault="0001152F" w:rsidP="00693166">
      <w:pPr>
        <w:spacing w:after="0" w:line="240" w:lineRule="auto"/>
        <w:ind w:left="414" w:firstLine="720"/>
        <w:jc w:val="both"/>
        <w:rPr>
          <w:rFonts w:ascii="Times New Roman" w:hAnsi="Times New Roman" w:cs="Times New Roman"/>
          <w:b/>
          <w:sz w:val="24"/>
          <w:szCs w:val="24"/>
          <w:lang w:val="en-ZA"/>
        </w:rPr>
      </w:pPr>
    </w:p>
    <w:p w:rsidR="00D325FD" w:rsidRPr="00B52A94" w:rsidRDefault="00D325FD" w:rsidP="00693166">
      <w:pPr>
        <w:spacing w:after="0" w:line="240" w:lineRule="auto"/>
        <w:ind w:left="414" w:firstLine="720"/>
        <w:jc w:val="both"/>
        <w:rPr>
          <w:rFonts w:ascii="Times New Roman" w:hAnsi="Times New Roman" w:cs="Times New Roman"/>
          <w:b/>
          <w:sz w:val="24"/>
          <w:szCs w:val="24"/>
          <w:lang w:val="en-ZA"/>
        </w:rPr>
      </w:pPr>
    </w:p>
    <w:p w:rsidR="00D325FD" w:rsidRPr="00B52A94" w:rsidRDefault="00D325FD" w:rsidP="00693166">
      <w:pPr>
        <w:spacing w:after="0" w:line="240" w:lineRule="auto"/>
        <w:ind w:left="414" w:firstLine="720"/>
        <w:jc w:val="both"/>
        <w:rPr>
          <w:rFonts w:ascii="Times New Roman" w:hAnsi="Times New Roman" w:cs="Times New Roman"/>
          <w:sz w:val="24"/>
          <w:szCs w:val="24"/>
          <w:lang w:val="en-ZA"/>
        </w:rPr>
      </w:pPr>
      <w:r w:rsidRPr="00B52A94">
        <w:rPr>
          <w:rFonts w:ascii="Times New Roman" w:hAnsi="Times New Roman" w:cs="Times New Roman"/>
          <w:b/>
          <w:sz w:val="24"/>
          <w:szCs w:val="24"/>
          <w:lang w:val="en-ZA"/>
        </w:rPr>
        <w:t>UCHENA JA:</w:t>
      </w:r>
      <w:r w:rsidRPr="00B52A94">
        <w:rPr>
          <w:rFonts w:ascii="Times New Roman" w:hAnsi="Times New Roman" w:cs="Times New Roman"/>
          <w:b/>
          <w:sz w:val="24"/>
          <w:szCs w:val="24"/>
          <w:lang w:val="en-ZA"/>
        </w:rPr>
        <w:tab/>
      </w:r>
      <w:r w:rsidRPr="00B52A94">
        <w:rPr>
          <w:rFonts w:ascii="Times New Roman" w:hAnsi="Times New Roman" w:cs="Times New Roman"/>
          <w:b/>
          <w:sz w:val="24"/>
          <w:szCs w:val="24"/>
          <w:lang w:val="en-ZA"/>
        </w:rPr>
        <w:tab/>
      </w:r>
      <w:r w:rsidRPr="00B52A94">
        <w:rPr>
          <w:rFonts w:ascii="Times New Roman" w:hAnsi="Times New Roman" w:cs="Times New Roman"/>
          <w:sz w:val="24"/>
          <w:szCs w:val="24"/>
          <w:lang w:val="en-ZA"/>
        </w:rPr>
        <w:t>I agree</w:t>
      </w:r>
    </w:p>
    <w:p w:rsidR="00966F1A" w:rsidRPr="00B52A94" w:rsidRDefault="00966F1A" w:rsidP="00693166">
      <w:pPr>
        <w:spacing w:after="0" w:line="240" w:lineRule="auto"/>
        <w:jc w:val="both"/>
        <w:rPr>
          <w:rFonts w:ascii="Times New Roman" w:hAnsi="Times New Roman" w:cs="Times New Roman"/>
          <w:b/>
          <w:sz w:val="24"/>
          <w:szCs w:val="24"/>
          <w:lang w:val="en-ZA"/>
        </w:rPr>
      </w:pPr>
    </w:p>
    <w:p w:rsidR="00966F1A" w:rsidRPr="00B52A94" w:rsidRDefault="00966F1A" w:rsidP="00693166">
      <w:pPr>
        <w:spacing w:after="0" w:line="240" w:lineRule="auto"/>
        <w:jc w:val="both"/>
        <w:rPr>
          <w:rFonts w:ascii="Times New Roman" w:hAnsi="Times New Roman" w:cs="Times New Roman"/>
          <w:b/>
          <w:sz w:val="24"/>
          <w:szCs w:val="24"/>
          <w:lang w:val="en-ZA"/>
        </w:rPr>
      </w:pPr>
    </w:p>
    <w:p w:rsidR="00966F1A" w:rsidRPr="00B52A94" w:rsidRDefault="00966F1A" w:rsidP="00693166">
      <w:pPr>
        <w:spacing w:after="0" w:line="240" w:lineRule="auto"/>
        <w:jc w:val="both"/>
        <w:rPr>
          <w:rFonts w:ascii="Times New Roman" w:hAnsi="Times New Roman" w:cs="Times New Roman"/>
          <w:b/>
          <w:sz w:val="24"/>
          <w:szCs w:val="24"/>
          <w:lang w:val="en-ZA"/>
        </w:rPr>
      </w:pPr>
    </w:p>
    <w:p w:rsidR="00966F1A" w:rsidRPr="00B52A94" w:rsidRDefault="00966F1A" w:rsidP="00693166">
      <w:pPr>
        <w:spacing w:after="0" w:line="240" w:lineRule="auto"/>
        <w:jc w:val="both"/>
        <w:rPr>
          <w:rFonts w:ascii="Times New Roman" w:hAnsi="Times New Roman" w:cs="Times New Roman"/>
          <w:b/>
          <w:sz w:val="24"/>
          <w:szCs w:val="24"/>
          <w:lang w:val="en-ZA"/>
        </w:rPr>
      </w:pPr>
    </w:p>
    <w:p w:rsidR="00966F1A" w:rsidRPr="00B52A94" w:rsidRDefault="00966F1A" w:rsidP="00693166">
      <w:pPr>
        <w:spacing w:after="0" w:line="240" w:lineRule="auto"/>
        <w:jc w:val="both"/>
        <w:rPr>
          <w:rFonts w:ascii="Times New Roman" w:hAnsi="Times New Roman" w:cs="Times New Roman"/>
          <w:sz w:val="24"/>
          <w:szCs w:val="24"/>
          <w:lang w:val="en-ZA"/>
        </w:rPr>
      </w:pPr>
      <w:r w:rsidRPr="00B52A94">
        <w:rPr>
          <w:rFonts w:ascii="Times New Roman" w:hAnsi="Times New Roman" w:cs="Times New Roman"/>
          <w:i/>
          <w:sz w:val="24"/>
          <w:szCs w:val="24"/>
          <w:lang w:val="en-ZA"/>
        </w:rPr>
        <w:t>Messrs Gill, Godlonton &amp; Gerrans</w:t>
      </w:r>
      <w:r w:rsidRPr="00B52A94">
        <w:rPr>
          <w:rFonts w:ascii="Times New Roman" w:hAnsi="Times New Roman" w:cs="Times New Roman"/>
          <w:sz w:val="24"/>
          <w:szCs w:val="24"/>
          <w:lang w:val="en-ZA"/>
        </w:rPr>
        <w:t>, appellant’s legal practitioners</w:t>
      </w:r>
    </w:p>
    <w:p w:rsidR="00D325FD" w:rsidRPr="00B52A94" w:rsidRDefault="00D325FD" w:rsidP="00693166">
      <w:pPr>
        <w:spacing w:after="0" w:line="240" w:lineRule="auto"/>
        <w:jc w:val="both"/>
        <w:rPr>
          <w:rFonts w:ascii="Times New Roman" w:hAnsi="Times New Roman" w:cs="Times New Roman"/>
          <w:sz w:val="24"/>
          <w:szCs w:val="24"/>
          <w:lang w:val="en-ZA"/>
        </w:rPr>
      </w:pPr>
    </w:p>
    <w:p w:rsidR="00142BE6" w:rsidRPr="00B52A94" w:rsidRDefault="00966F1A" w:rsidP="00693166">
      <w:pPr>
        <w:spacing w:after="0" w:line="240" w:lineRule="auto"/>
        <w:jc w:val="both"/>
        <w:rPr>
          <w:rFonts w:ascii="Times New Roman" w:hAnsi="Times New Roman" w:cs="Times New Roman"/>
          <w:sz w:val="24"/>
          <w:szCs w:val="24"/>
          <w:lang w:val="en-ZW"/>
        </w:rPr>
      </w:pPr>
      <w:r w:rsidRPr="00B52A94">
        <w:rPr>
          <w:rFonts w:ascii="Times New Roman" w:hAnsi="Times New Roman" w:cs="Times New Roman"/>
          <w:i/>
          <w:sz w:val="24"/>
          <w:szCs w:val="24"/>
          <w:lang w:val="en-ZA"/>
        </w:rPr>
        <w:t>Matsikidze &amp; Mucheche</w:t>
      </w:r>
      <w:r w:rsidRPr="00B52A94">
        <w:rPr>
          <w:rFonts w:ascii="Times New Roman" w:hAnsi="Times New Roman" w:cs="Times New Roman"/>
          <w:sz w:val="24"/>
          <w:szCs w:val="24"/>
          <w:lang w:val="en-ZA"/>
        </w:rPr>
        <w:t>, respondent’s legal practitioners</w:t>
      </w:r>
    </w:p>
    <w:sectPr w:rsidR="00142BE6" w:rsidRPr="00B52A94">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F9" w:rsidRDefault="00AF0AF9" w:rsidP="00802C3D">
      <w:pPr>
        <w:spacing w:after="0" w:line="240" w:lineRule="auto"/>
      </w:pPr>
      <w:r>
        <w:separator/>
      </w:r>
    </w:p>
  </w:endnote>
  <w:endnote w:type="continuationSeparator" w:id="0">
    <w:p w:rsidR="00AF0AF9" w:rsidRDefault="00AF0AF9" w:rsidP="00802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F9" w:rsidRDefault="00AF0AF9" w:rsidP="00802C3D">
      <w:pPr>
        <w:spacing w:after="0" w:line="240" w:lineRule="auto"/>
      </w:pPr>
      <w:r>
        <w:separator/>
      </w:r>
    </w:p>
  </w:footnote>
  <w:footnote w:type="continuationSeparator" w:id="0">
    <w:p w:rsidR="00AF0AF9" w:rsidRDefault="00AF0AF9" w:rsidP="00802C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BA8" w:rsidRDefault="00852B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BA8" w:rsidRDefault="007A2021">
    <w:pPr>
      <w:pStyle w:val="Header"/>
    </w:pPr>
    <w:r w:rsidRPr="007A2021">
      <w:rPr>
        <w:rFonts w:ascii="Times New Roman" w:eastAsia="Times New Roman" w:hAnsi="Times New Roman" w:cs="Times New Roman"/>
        <w:bCs/>
        <w:noProof/>
        <w:sz w:val="24"/>
        <w:szCs w:val="24"/>
        <w:lang w:val="en-GB" w:eastAsia="en-GB"/>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eastAsia="Times New Roman" w:hAnsi="Times New Roman" w:cs="Times New Roman"/>
                              <w:lang w:val="en-GB"/>
                            </w:rPr>
                            <w:alias w:val="Company"/>
                            <w:id w:val="-793602866"/>
                            <w:placeholder>
                              <w:docPart w:val="3E735606935243B48CE3B845C451010A"/>
                            </w:placeholder>
                            <w:dataBinding w:prefixMappings="xmlns:ns0='http://schemas.openxmlformats.org/officeDocument/2006/extended-properties'" w:xpath="/ns0:Properties[1]/ns0:Company[1]" w:storeItemID="{6668398D-A668-4E3E-A5EB-62B293D839F1}"/>
                            <w:text/>
                          </w:sdtPr>
                          <w:sdtEndPr/>
                          <w:sdtContent>
                            <w:p w:rsidR="007A2021" w:rsidRPr="007A2021" w:rsidRDefault="0001152F" w:rsidP="007A2021">
                              <w:pPr>
                                <w:tabs>
                                  <w:tab w:val="center" w:pos="4320"/>
                                  <w:tab w:val="right" w:pos="8640"/>
                                </w:tabs>
                                <w:spacing w:after="0" w:line="240" w:lineRule="auto"/>
                                <w:jc w:val="right"/>
                                <w:rPr>
                                  <w:rFonts w:ascii="Times New Roman" w:eastAsia="Times New Roman" w:hAnsi="Times New Roman" w:cs="Times New Roman"/>
                                  <w:lang w:val="en-GB"/>
                                </w:rPr>
                              </w:pPr>
                              <w:r>
                                <w:rPr>
                                  <w:rFonts w:ascii="Times New Roman" w:eastAsia="Times New Roman" w:hAnsi="Times New Roman" w:cs="Times New Roman"/>
                                  <w:lang w:val="en-GB"/>
                                </w:rPr>
                                <w:t>Judgment No</w:t>
                              </w:r>
                              <w:r w:rsidR="007A2021" w:rsidRPr="007A2021">
                                <w:rPr>
                                  <w:rFonts w:ascii="Times New Roman" w:eastAsia="Times New Roman" w:hAnsi="Times New Roman" w:cs="Times New Roman"/>
                                  <w:lang w:val="en-GB"/>
                                </w:rPr>
                                <w:t xml:space="preserve">. SC </w:t>
                              </w:r>
                              <w:r w:rsidR="00693166">
                                <w:rPr>
                                  <w:rFonts w:ascii="Times New Roman" w:eastAsia="Times New Roman" w:hAnsi="Times New Roman" w:cs="Times New Roman"/>
                                  <w:lang w:val="en-GB"/>
                                </w:rPr>
                                <w:t>15</w:t>
                              </w:r>
                              <w:r w:rsidR="00205CE4">
                                <w:rPr>
                                  <w:rFonts w:ascii="Times New Roman" w:eastAsia="Times New Roman" w:hAnsi="Times New Roman" w:cs="Times New Roman"/>
                                  <w:lang w:val="en-GB"/>
                                </w:rPr>
                                <w:t>/18</w:t>
                              </w:r>
                            </w:p>
                          </w:sdtContent>
                        </w:sdt>
                        <w:sdt>
                          <w:sdtPr>
                            <w:rPr>
                              <w:rFonts w:ascii="Times New Roman" w:eastAsia="Times New Roman" w:hAnsi="Times New Roman" w:cs="Times New Roman"/>
                              <w:bCs/>
                              <w:lang w:val="en-GB"/>
                            </w:rPr>
                            <w:alias w:val="Title"/>
                            <w:id w:val="139234338"/>
                            <w:placeholder>
                              <w:docPart w:val="D0D86C6696154A83927B17A5D3053D5B"/>
                            </w:placeholder>
                            <w:dataBinding w:prefixMappings="xmlns:ns0='http://schemas.openxmlformats.org/package/2006/metadata/core-properties' xmlns:ns1='http://purl.org/dc/elements/1.1/'" w:xpath="/ns0:coreProperties[1]/ns1:title[1]" w:storeItemID="{6C3C8BC8-F283-45AE-878A-BAB7291924A1}"/>
                            <w:text/>
                          </w:sdtPr>
                          <w:sdtEndPr/>
                          <w:sdtContent>
                            <w:p w:rsidR="007A2021" w:rsidRPr="00BB3DDD" w:rsidRDefault="0001152F" w:rsidP="007A2021">
                              <w:pPr>
                                <w:spacing w:line="360" w:lineRule="auto"/>
                                <w:jc w:val="right"/>
                                <w:rPr>
                                  <w:rFonts w:ascii="Arial" w:hAnsi="Arial" w:cs="Arial"/>
                                  <w:b/>
                                  <w:sz w:val="24"/>
                                  <w:szCs w:val="24"/>
                                  <w:lang w:val="en-ZW"/>
                                </w:rPr>
                              </w:pPr>
                              <w:r>
                                <w:rPr>
                                  <w:rFonts w:ascii="Times New Roman" w:eastAsia="Times New Roman" w:hAnsi="Times New Roman" w:cs="Times New Roman"/>
                                  <w:bCs/>
                                </w:rPr>
                                <w:t>Civil Appeal No</w:t>
                              </w:r>
                              <w:r w:rsidR="007A2021" w:rsidRPr="007A2021">
                                <w:rPr>
                                  <w:rFonts w:ascii="Times New Roman" w:eastAsia="Times New Roman" w:hAnsi="Times New Roman" w:cs="Times New Roman"/>
                                  <w:bCs/>
                                </w:rPr>
                                <w:t xml:space="preserve">. </w:t>
                              </w:r>
                              <w:r w:rsidR="00693166">
                                <w:rPr>
                                  <w:rFonts w:ascii="Times New Roman" w:eastAsia="Times New Roman" w:hAnsi="Times New Roman" w:cs="Times New Roman"/>
                                  <w:bCs/>
                                </w:rPr>
                                <w:t xml:space="preserve">SC </w:t>
                              </w:r>
                              <w:r w:rsidR="00D97A14">
                                <w:rPr>
                                  <w:rFonts w:ascii="Times New Roman" w:eastAsia="Times New Roman" w:hAnsi="Times New Roman" w:cs="Times New Roman"/>
                                  <w:bCs/>
                                </w:rPr>
                                <w:t>266</w:t>
                              </w:r>
                              <w:r w:rsidR="007A2021" w:rsidRPr="007A2021">
                                <w:rPr>
                                  <w:rFonts w:ascii="Times New Roman" w:eastAsia="Times New Roman" w:hAnsi="Times New Roman" w:cs="Times New Roman"/>
                                  <w:bCs/>
                                </w:rPr>
                                <w:t>/1</w:t>
                              </w:r>
                              <w:r w:rsidR="00D97A14">
                                <w:rPr>
                                  <w:rFonts w:ascii="Times New Roman" w:eastAsia="Times New Roman" w:hAnsi="Times New Roman" w:cs="Times New Roman"/>
                                  <w:bCs/>
                                </w:rPr>
                                <w:t>5</w:t>
                              </w:r>
                            </w:p>
                          </w:sdtContent>
                        </w:sdt>
                        <w:p w:rsidR="007A2021" w:rsidRDefault="007A2021">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rPr>
                        <w:rFonts w:ascii="Times New Roman" w:eastAsia="Times New Roman" w:hAnsi="Times New Roman" w:cs="Times New Roman"/>
                        <w:lang w:val="en-GB"/>
                      </w:rPr>
                      <w:alias w:val="Company"/>
                      <w:id w:val="-793602866"/>
                      <w:placeholder>
                        <w:docPart w:val="3E735606935243B48CE3B845C451010A"/>
                      </w:placeholder>
                      <w:dataBinding w:prefixMappings="xmlns:ns0='http://schemas.openxmlformats.org/officeDocument/2006/extended-properties'" w:xpath="/ns0:Properties[1]/ns0:Company[1]" w:storeItemID="{6668398D-A668-4E3E-A5EB-62B293D839F1}"/>
                      <w:text/>
                    </w:sdtPr>
                    <w:sdtEndPr/>
                    <w:sdtContent>
                      <w:p w:rsidR="007A2021" w:rsidRPr="007A2021" w:rsidRDefault="0001152F" w:rsidP="007A2021">
                        <w:pPr>
                          <w:tabs>
                            <w:tab w:val="center" w:pos="4320"/>
                            <w:tab w:val="right" w:pos="8640"/>
                          </w:tabs>
                          <w:spacing w:after="0" w:line="240" w:lineRule="auto"/>
                          <w:jc w:val="right"/>
                          <w:rPr>
                            <w:rFonts w:ascii="Times New Roman" w:eastAsia="Times New Roman" w:hAnsi="Times New Roman" w:cs="Times New Roman"/>
                            <w:lang w:val="en-GB"/>
                          </w:rPr>
                        </w:pPr>
                        <w:r>
                          <w:rPr>
                            <w:rFonts w:ascii="Times New Roman" w:eastAsia="Times New Roman" w:hAnsi="Times New Roman" w:cs="Times New Roman"/>
                            <w:lang w:val="en-GB"/>
                          </w:rPr>
                          <w:t>Judgment No</w:t>
                        </w:r>
                        <w:r w:rsidR="007A2021" w:rsidRPr="007A2021">
                          <w:rPr>
                            <w:rFonts w:ascii="Times New Roman" w:eastAsia="Times New Roman" w:hAnsi="Times New Roman" w:cs="Times New Roman"/>
                            <w:lang w:val="en-GB"/>
                          </w:rPr>
                          <w:t xml:space="preserve">. SC </w:t>
                        </w:r>
                        <w:r w:rsidR="00693166">
                          <w:rPr>
                            <w:rFonts w:ascii="Times New Roman" w:eastAsia="Times New Roman" w:hAnsi="Times New Roman" w:cs="Times New Roman"/>
                            <w:lang w:val="en-GB"/>
                          </w:rPr>
                          <w:t>15</w:t>
                        </w:r>
                        <w:r w:rsidR="00205CE4">
                          <w:rPr>
                            <w:rFonts w:ascii="Times New Roman" w:eastAsia="Times New Roman" w:hAnsi="Times New Roman" w:cs="Times New Roman"/>
                            <w:lang w:val="en-GB"/>
                          </w:rPr>
                          <w:t>/18</w:t>
                        </w:r>
                      </w:p>
                    </w:sdtContent>
                  </w:sdt>
                  <w:sdt>
                    <w:sdtPr>
                      <w:rPr>
                        <w:rFonts w:ascii="Times New Roman" w:eastAsia="Times New Roman" w:hAnsi="Times New Roman" w:cs="Times New Roman"/>
                        <w:bCs/>
                        <w:lang w:val="en-GB"/>
                      </w:rPr>
                      <w:alias w:val="Title"/>
                      <w:id w:val="139234338"/>
                      <w:placeholder>
                        <w:docPart w:val="D0D86C6696154A83927B17A5D3053D5B"/>
                      </w:placeholder>
                      <w:dataBinding w:prefixMappings="xmlns:ns0='http://schemas.openxmlformats.org/package/2006/metadata/core-properties' xmlns:ns1='http://purl.org/dc/elements/1.1/'" w:xpath="/ns0:coreProperties[1]/ns1:title[1]" w:storeItemID="{6C3C8BC8-F283-45AE-878A-BAB7291924A1}"/>
                      <w:text/>
                    </w:sdtPr>
                    <w:sdtEndPr/>
                    <w:sdtContent>
                      <w:p w:rsidR="007A2021" w:rsidRPr="00BB3DDD" w:rsidRDefault="0001152F" w:rsidP="007A2021">
                        <w:pPr>
                          <w:spacing w:line="360" w:lineRule="auto"/>
                          <w:jc w:val="right"/>
                          <w:rPr>
                            <w:rFonts w:ascii="Arial" w:hAnsi="Arial" w:cs="Arial"/>
                            <w:b/>
                            <w:sz w:val="24"/>
                            <w:szCs w:val="24"/>
                            <w:lang w:val="en-ZW"/>
                          </w:rPr>
                        </w:pPr>
                        <w:r>
                          <w:rPr>
                            <w:rFonts w:ascii="Times New Roman" w:eastAsia="Times New Roman" w:hAnsi="Times New Roman" w:cs="Times New Roman"/>
                            <w:bCs/>
                          </w:rPr>
                          <w:t>Civil Appeal No</w:t>
                        </w:r>
                        <w:r w:rsidR="007A2021" w:rsidRPr="007A2021">
                          <w:rPr>
                            <w:rFonts w:ascii="Times New Roman" w:eastAsia="Times New Roman" w:hAnsi="Times New Roman" w:cs="Times New Roman"/>
                            <w:bCs/>
                          </w:rPr>
                          <w:t xml:space="preserve">. </w:t>
                        </w:r>
                        <w:r w:rsidR="00693166">
                          <w:rPr>
                            <w:rFonts w:ascii="Times New Roman" w:eastAsia="Times New Roman" w:hAnsi="Times New Roman" w:cs="Times New Roman"/>
                            <w:bCs/>
                          </w:rPr>
                          <w:t xml:space="preserve">SC </w:t>
                        </w:r>
                        <w:r w:rsidR="00D97A14">
                          <w:rPr>
                            <w:rFonts w:ascii="Times New Roman" w:eastAsia="Times New Roman" w:hAnsi="Times New Roman" w:cs="Times New Roman"/>
                            <w:bCs/>
                          </w:rPr>
                          <w:t>266</w:t>
                        </w:r>
                        <w:r w:rsidR="007A2021" w:rsidRPr="007A2021">
                          <w:rPr>
                            <w:rFonts w:ascii="Times New Roman" w:eastAsia="Times New Roman" w:hAnsi="Times New Roman" w:cs="Times New Roman"/>
                            <w:bCs/>
                          </w:rPr>
                          <w:t>/1</w:t>
                        </w:r>
                        <w:r w:rsidR="00D97A14">
                          <w:rPr>
                            <w:rFonts w:ascii="Times New Roman" w:eastAsia="Times New Roman" w:hAnsi="Times New Roman" w:cs="Times New Roman"/>
                            <w:bCs/>
                          </w:rPr>
                          <w:t>5</w:t>
                        </w:r>
                      </w:p>
                    </w:sdtContent>
                  </w:sdt>
                  <w:p w:rsidR="007A2021" w:rsidRDefault="007A2021">
                    <w:pPr>
                      <w:spacing w:after="0" w:line="240" w:lineRule="auto"/>
                      <w:jc w:val="right"/>
                      <w:rPr>
                        <w:noProof/>
                      </w:rPr>
                    </w:pPr>
                  </w:p>
                </w:txbxContent>
              </v:textbox>
              <w10:wrap anchorx="margin" anchory="margin"/>
            </v:shape>
          </w:pict>
        </mc:Fallback>
      </mc:AlternateContent>
    </w:r>
    <w:r w:rsidRPr="007A2021">
      <w:rPr>
        <w:rFonts w:ascii="Times New Roman" w:eastAsia="Times New Roman" w:hAnsi="Times New Roman" w:cs="Times New Roman"/>
        <w:bCs/>
        <w:noProof/>
        <w:sz w:val="24"/>
        <w:szCs w:val="24"/>
        <w:lang w:val="en-GB" w:eastAsia="en-GB"/>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A2021" w:rsidRDefault="007A2021">
                          <w:pPr>
                            <w:spacing w:after="0" w:line="240" w:lineRule="auto"/>
                            <w:rPr>
                              <w:color w:val="FFFFFF" w:themeColor="background1"/>
                            </w:rPr>
                          </w:pPr>
                          <w:r>
                            <w:fldChar w:fldCharType="begin"/>
                          </w:r>
                          <w:r>
                            <w:instrText xml:space="preserve"> PAGE   \* MERGEFORMAT </w:instrText>
                          </w:r>
                          <w:r>
                            <w:fldChar w:fldCharType="separate"/>
                          </w:r>
                          <w:r w:rsidR="00B2355E" w:rsidRPr="00B2355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A2021" w:rsidRDefault="007A2021">
                    <w:pPr>
                      <w:spacing w:after="0" w:line="240" w:lineRule="auto"/>
                      <w:rPr>
                        <w:color w:val="FFFFFF" w:themeColor="background1"/>
                      </w:rPr>
                    </w:pPr>
                    <w:r>
                      <w:fldChar w:fldCharType="begin"/>
                    </w:r>
                    <w:r>
                      <w:instrText xml:space="preserve"> PAGE   \* MERGEFORMAT </w:instrText>
                    </w:r>
                    <w:r>
                      <w:fldChar w:fldCharType="separate"/>
                    </w:r>
                    <w:r w:rsidR="00B2355E" w:rsidRPr="00B2355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BA8" w:rsidRDefault="00852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A88"/>
    <w:multiLevelType w:val="hybridMultilevel"/>
    <w:tmpl w:val="70223370"/>
    <w:lvl w:ilvl="0" w:tplc="9F82B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F64293"/>
    <w:multiLevelType w:val="hybridMultilevel"/>
    <w:tmpl w:val="638A261A"/>
    <w:lvl w:ilvl="0" w:tplc="208AB410">
      <w:start w:val="1"/>
      <w:numFmt w:val="decimal"/>
      <w:lvlText w:val="%1."/>
      <w:lvlJc w:val="left"/>
      <w:pPr>
        <w:ind w:left="720" w:hanging="360"/>
      </w:pPr>
      <w:rPr>
        <w:rFonts w:ascii="Bookman Old Style" w:eastAsiaTheme="minorHAnsi" w:hAnsi="Bookman Old Style" w:cstheme="minorBid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6417130"/>
    <w:multiLevelType w:val="hybridMultilevel"/>
    <w:tmpl w:val="0D442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33A88"/>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878F8"/>
    <w:multiLevelType w:val="hybridMultilevel"/>
    <w:tmpl w:val="8DE2BADC"/>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5" w15:restartNumberingAfterBreak="0">
    <w:nsid w:val="2DCD4DD6"/>
    <w:multiLevelType w:val="hybridMultilevel"/>
    <w:tmpl w:val="CD9C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9A03BA"/>
    <w:multiLevelType w:val="hybridMultilevel"/>
    <w:tmpl w:val="B996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B0B4D"/>
    <w:multiLevelType w:val="hybridMultilevel"/>
    <w:tmpl w:val="F87C2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202112"/>
    <w:multiLevelType w:val="hybridMultilevel"/>
    <w:tmpl w:val="211E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B50EF"/>
    <w:multiLevelType w:val="hybridMultilevel"/>
    <w:tmpl w:val="EE18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04127"/>
    <w:multiLevelType w:val="hybridMultilevel"/>
    <w:tmpl w:val="27B25E5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49F50DC0"/>
    <w:multiLevelType w:val="hybridMultilevel"/>
    <w:tmpl w:val="1EE8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82E55"/>
    <w:multiLevelType w:val="hybridMultilevel"/>
    <w:tmpl w:val="1EE82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D4F4C"/>
    <w:multiLevelType w:val="hybridMultilevel"/>
    <w:tmpl w:val="4A2E3928"/>
    <w:lvl w:ilvl="0" w:tplc="515CBC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573967B0"/>
    <w:multiLevelType w:val="multilevel"/>
    <w:tmpl w:val="E0F6DA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8311B8D"/>
    <w:multiLevelType w:val="hybridMultilevel"/>
    <w:tmpl w:val="2A1C0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407FB"/>
    <w:multiLevelType w:val="hybridMultilevel"/>
    <w:tmpl w:val="958E1402"/>
    <w:lvl w:ilvl="0" w:tplc="86A4CF0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6"/>
  </w:num>
  <w:num w:numId="2">
    <w:abstractNumId w:val="13"/>
  </w:num>
  <w:num w:numId="3">
    <w:abstractNumId w:val="15"/>
  </w:num>
  <w:num w:numId="4">
    <w:abstractNumId w:val="3"/>
  </w:num>
  <w:num w:numId="5">
    <w:abstractNumId w:val="6"/>
  </w:num>
  <w:num w:numId="6">
    <w:abstractNumId w:val="9"/>
  </w:num>
  <w:num w:numId="7">
    <w:abstractNumId w:val="14"/>
  </w:num>
  <w:num w:numId="8">
    <w:abstractNumId w:val="11"/>
  </w:num>
  <w:num w:numId="9">
    <w:abstractNumId w:val="12"/>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10"/>
  </w:num>
  <w:num w:numId="15">
    <w:abstractNumId w:val="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E"/>
    <w:rsid w:val="0001152F"/>
    <w:rsid w:val="00013085"/>
    <w:rsid w:val="00015FCC"/>
    <w:rsid w:val="0004380B"/>
    <w:rsid w:val="0005399C"/>
    <w:rsid w:val="000541F1"/>
    <w:rsid w:val="00057106"/>
    <w:rsid w:val="0007069F"/>
    <w:rsid w:val="000742FE"/>
    <w:rsid w:val="00076736"/>
    <w:rsid w:val="00086735"/>
    <w:rsid w:val="00087F40"/>
    <w:rsid w:val="000900F3"/>
    <w:rsid w:val="00090B75"/>
    <w:rsid w:val="000933C8"/>
    <w:rsid w:val="000B0D19"/>
    <w:rsid w:val="000B52CE"/>
    <w:rsid w:val="000B55EE"/>
    <w:rsid w:val="000B6D16"/>
    <w:rsid w:val="000C1167"/>
    <w:rsid w:val="000C1527"/>
    <w:rsid w:val="000C700B"/>
    <w:rsid w:val="000D36F1"/>
    <w:rsid w:val="000E0925"/>
    <w:rsid w:val="001030A1"/>
    <w:rsid w:val="00106B16"/>
    <w:rsid w:val="00110496"/>
    <w:rsid w:val="00120FFA"/>
    <w:rsid w:val="00132ABE"/>
    <w:rsid w:val="00133296"/>
    <w:rsid w:val="001429BB"/>
    <w:rsid w:val="00142BE6"/>
    <w:rsid w:val="00154468"/>
    <w:rsid w:val="001556A7"/>
    <w:rsid w:val="00161462"/>
    <w:rsid w:val="00177E01"/>
    <w:rsid w:val="0018639D"/>
    <w:rsid w:val="00192B3B"/>
    <w:rsid w:val="00193068"/>
    <w:rsid w:val="001952C5"/>
    <w:rsid w:val="001C6AD9"/>
    <w:rsid w:val="001E04DB"/>
    <w:rsid w:val="001E5255"/>
    <w:rsid w:val="001F445C"/>
    <w:rsid w:val="001F6544"/>
    <w:rsid w:val="00205CE4"/>
    <w:rsid w:val="0023073B"/>
    <w:rsid w:val="0023100D"/>
    <w:rsid w:val="00232A1C"/>
    <w:rsid w:val="00263713"/>
    <w:rsid w:val="00271070"/>
    <w:rsid w:val="0027479F"/>
    <w:rsid w:val="00291396"/>
    <w:rsid w:val="002A2238"/>
    <w:rsid w:val="002C5DED"/>
    <w:rsid w:val="002D1D78"/>
    <w:rsid w:val="002D747B"/>
    <w:rsid w:val="002E5A73"/>
    <w:rsid w:val="00300F51"/>
    <w:rsid w:val="00301DAA"/>
    <w:rsid w:val="003027A3"/>
    <w:rsid w:val="00310CE5"/>
    <w:rsid w:val="003153A4"/>
    <w:rsid w:val="0031597D"/>
    <w:rsid w:val="003213D4"/>
    <w:rsid w:val="003275AD"/>
    <w:rsid w:val="00332D71"/>
    <w:rsid w:val="00340255"/>
    <w:rsid w:val="003402C4"/>
    <w:rsid w:val="00342E6D"/>
    <w:rsid w:val="003450FD"/>
    <w:rsid w:val="00390C5B"/>
    <w:rsid w:val="00397FDE"/>
    <w:rsid w:val="003A150E"/>
    <w:rsid w:val="003B07A2"/>
    <w:rsid w:val="003D55C9"/>
    <w:rsid w:val="003E3A80"/>
    <w:rsid w:val="003E48EE"/>
    <w:rsid w:val="003E4CAB"/>
    <w:rsid w:val="003E6921"/>
    <w:rsid w:val="003F4591"/>
    <w:rsid w:val="003F51E6"/>
    <w:rsid w:val="003F6FC0"/>
    <w:rsid w:val="0040345B"/>
    <w:rsid w:val="00404DCA"/>
    <w:rsid w:val="00427CF1"/>
    <w:rsid w:val="00443271"/>
    <w:rsid w:val="004515B9"/>
    <w:rsid w:val="00451C36"/>
    <w:rsid w:val="004545CF"/>
    <w:rsid w:val="00462D11"/>
    <w:rsid w:val="00463460"/>
    <w:rsid w:val="00465E50"/>
    <w:rsid w:val="00467D42"/>
    <w:rsid w:val="004829AC"/>
    <w:rsid w:val="0048744D"/>
    <w:rsid w:val="00490DD6"/>
    <w:rsid w:val="00491B85"/>
    <w:rsid w:val="004C395F"/>
    <w:rsid w:val="004D67C5"/>
    <w:rsid w:val="004E11F9"/>
    <w:rsid w:val="004E19E6"/>
    <w:rsid w:val="004E7612"/>
    <w:rsid w:val="004F22D7"/>
    <w:rsid w:val="004F56AE"/>
    <w:rsid w:val="00502762"/>
    <w:rsid w:val="0052705D"/>
    <w:rsid w:val="0054259B"/>
    <w:rsid w:val="005454C2"/>
    <w:rsid w:val="005464A3"/>
    <w:rsid w:val="00551A7A"/>
    <w:rsid w:val="0056655A"/>
    <w:rsid w:val="005A6EC2"/>
    <w:rsid w:val="005C3A7C"/>
    <w:rsid w:val="005E0F4E"/>
    <w:rsid w:val="005E30BE"/>
    <w:rsid w:val="005E4255"/>
    <w:rsid w:val="005E4562"/>
    <w:rsid w:val="005E7940"/>
    <w:rsid w:val="005F03B8"/>
    <w:rsid w:val="005F4294"/>
    <w:rsid w:val="00600ADF"/>
    <w:rsid w:val="006075FA"/>
    <w:rsid w:val="0062329C"/>
    <w:rsid w:val="0062386C"/>
    <w:rsid w:val="0062466A"/>
    <w:rsid w:val="00643308"/>
    <w:rsid w:val="006441C4"/>
    <w:rsid w:val="006540D0"/>
    <w:rsid w:val="00663753"/>
    <w:rsid w:val="006676CF"/>
    <w:rsid w:val="00670BD0"/>
    <w:rsid w:val="006824D7"/>
    <w:rsid w:val="006828ED"/>
    <w:rsid w:val="00684EB5"/>
    <w:rsid w:val="00693166"/>
    <w:rsid w:val="006B5503"/>
    <w:rsid w:val="006C06A2"/>
    <w:rsid w:val="006C1DD0"/>
    <w:rsid w:val="006C2A2D"/>
    <w:rsid w:val="006D29C6"/>
    <w:rsid w:val="006D3863"/>
    <w:rsid w:val="006E2982"/>
    <w:rsid w:val="006E3058"/>
    <w:rsid w:val="006F39A8"/>
    <w:rsid w:val="00705F91"/>
    <w:rsid w:val="007116CA"/>
    <w:rsid w:val="00712BA6"/>
    <w:rsid w:val="00717097"/>
    <w:rsid w:val="00722B66"/>
    <w:rsid w:val="007243B9"/>
    <w:rsid w:val="00731E98"/>
    <w:rsid w:val="007444C9"/>
    <w:rsid w:val="007457A2"/>
    <w:rsid w:val="00750261"/>
    <w:rsid w:val="00763D72"/>
    <w:rsid w:val="00775B7F"/>
    <w:rsid w:val="007872E7"/>
    <w:rsid w:val="00797B6C"/>
    <w:rsid w:val="007A1674"/>
    <w:rsid w:val="007A2021"/>
    <w:rsid w:val="007B0932"/>
    <w:rsid w:val="007C3C1E"/>
    <w:rsid w:val="007D3136"/>
    <w:rsid w:val="007E5E64"/>
    <w:rsid w:val="00802C3D"/>
    <w:rsid w:val="008048B8"/>
    <w:rsid w:val="00852BA8"/>
    <w:rsid w:val="00854591"/>
    <w:rsid w:val="0085756D"/>
    <w:rsid w:val="00863CD5"/>
    <w:rsid w:val="00864027"/>
    <w:rsid w:val="00864720"/>
    <w:rsid w:val="008703B2"/>
    <w:rsid w:val="00881C5F"/>
    <w:rsid w:val="0088684E"/>
    <w:rsid w:val="008A08DD"/>
    <w:rsid w:val="008B70E7"/>
    <w:rsid w:val="008D4BA5"/>
    <w:rsid w:val="008D5E58"/>
    <w:rsid w:val="008D7CAA"/>
    <w:rsid w:val="00905314"/>
    <w:rsid w:val="00905493"/>
    <w:rsid w:val="00906E7A"/>
    <w:rsid w:val="00912310"/>
    <w:rsid w:val="009155EE"/>
    <w:rsid w:val="00915CDF"/>
    <w:rsid w:val="00917309"/>
    <w:rsid w:val="009528C8"/>
    <w:rsid w:val="00953C4D"/>
    <w:rsid w:val="0096090C"/>
    <w:rsid w:val="00961E74"/>
    <w:rsid w:val="00966F1A"/>
    <w:rsid w:val="0099392A"/>
    <w:rsid w:val="009956AE"/>
    <w:rsid w:val="00996A83"/>
    <w:rsid w:val="009A39EF"/>
    <w:rsid w:val="009A4B35"/>
    <w:rsid w:val="009A58F6"/>
    <w:rsid w:val="009B7FD2"/>
    <w:rsid w:val="009C0ED2"/>
    <w:rsid w:val="009C3F57"/>
    <w:rsid w:val="009D1477"/>
    <w:rsid w:val="009D7CA1"/>
    <w:rsid w:val="009E4B38"/>
    <w:rsid w:val="00A04091"/>
    <w:rsid w:val="00A2560F"/>
    <w:rsid w:val="00A3632A"/>
    <w:rsid w:val="00A75C33"/>
    <w:rsid w:val="00A762B0"/>
    <w:rsid w:val="00A806DB"/>
    <w:rsid w:val="00A861BB"/>
    <w:rsid w:val="00AA1801"/>
    <w:rsid w:val="00AC092E"/>
    <w:rsid w:val="00AD2C23"/>
    <w:rsid w:val="00AD4939"/>
    <w:rsid w:val="00AD647D"/>
    <w:rsid w:val="00AE0AB5"/>
    <w:rsid w:val="00AF0AF9"/>
    <w:rsid w:val="00AF335C"/>
    <w:rsid w:val="00AF3568"/>
    <w:rsid w:val="00AF5DCE"/>
    <w:rsid w:val="00AF6BB4"/>
    <w:rsid w:val="00B071DD"/>
    <w:rsid w:val="00B2355E"/>
    <w:rsid w:val="00B27589"/>
    <w:rsid w:val="00B314D6"/>
    <w:rsid w:val="00B51AC1"/>
    <w:rsid w:val="00B52A94"/>
    <w:rsid w:val="00B579C9"/>
    <w:rsid w:val="00B75A39"/>
    <w:rsid w:val="00B84D5D"/>
    <w:rsid w:val="00B90CC7"/>
    <w:rsid w:val="00B96CFE"/>
    <w:rsid w:val="00BA3DB5"/>
    <w:rsid w:val="00BB3DDD"/>
    <w:rsid w:val="00BB50B2"/>
    <w:rsid w:val="00BC56B2"/>
    <w:rsid w:val="00BD6342"/>
    <w:rsid w:val="00BE6C13"/>
    <w:rsid w:val="00BE785F"/>
    <w:rsid w:val="00BF3E2F"/>
    <w:rsid w:val="00BF5FD9"/>
    <w:rsid w:val="00C02BD8"/>
    <w:rsid w:val="00C0540A"/>
    <w:rsid w:val="00C10D0F"/>
    <w:rsid w:val="00C12DAD"/>
    <w:rsid w:val="00C37FBC"/>
    <w:rsid w:val="00C407A6"/>
    <w:rsid w:val="00C50CB2"/>
    <w:rsid w:val="00C5187D"/>
    <w:rsid w:val="00C55E39"/>
    <w:rsid w:val="00C85A06"/>
    <w:rsid w:val="00C91879"/>
    <w:rsid w:val="00CA5293"/>
    <w:rsid w:val="00CD32BA"/>
    <w:rsid w:val="00CE25F6"/>
    <w:rsid w:val="00CF6127"/>
    <w:rsid w:val="00D00D4F"/>
    <w:rsid w:val="00D068D0"/>
    <w:rsid w:val="00D07311"/>
    <w:rsid w:val="00D10958"/>
    <w:rsid w:val="00D219C2"/>
    <w:rsid w:val="00D23132"/>
    <w:rsid w:val="00D325FD"/>
    <w:rsid w:val="00D33DBD"/>
    <w:rsid w:val="00D36F2B"/>
    <w:rsid w:val="00D40405"/>
    <w:rsid w:val="00D45493"/>
    <w:rsid w:val="00D57A6C"/>
    <w:rsid w:val="00D71765"/>
    <w:rsid w:val="00D8194F"/>
    <w:rsid w:val="00D819AC"/>
    <w:rsid w:val="00D87897"/>
    <w:rsid w:val="00D97A14"/>
    <w:rsid w:val="00DA2775"/>
    <w:rsid w:val="00DB17C6"/>
    <w:rsid w:val="00DB663D"/>
    <w:rsid w:val="00DD1931"/>
    <w:rsid w:val="00DD2865"/>
    <w:rsid w:val="00DE1EC9"/>
    <w:rsid w:val="00DF27F4"/>
    <w:rsid w:val="00E05A47"/>
    <w:rsid w:val="00E12F7C"/>
    <w:rsid w:val="00E166B2"/>
    <w:rsid w:val="00E36373"/>
    <w:rsid w:val="00E526BB"/>
    <w:rsid w:val="00E606F2"/>
    <w:rsid w:val="00E62D22"/>
    <w:rsid w:val="00E672A8"/>
    <w:rsid w:val="00E71011"/>
    <w:rsid w:val="00E76334"/>
    <w:rsid w:val="00E92040"/>
    <w:rsid w:val="00E92E74"/>
    <w:rsid w:val="00EA2247"/>
    <w:rsid w:val="00EB5140"/>
    <w:rsid w:val="00EC3FA8"/>
    <w:rsid w:val="00EC60ED"/>
    <w:rsid w:val="00EC6164"/>
    <w:rsid w:val="00ED37E4"/>
    <w:rsid w:val="00EE34E5"/>
    <w:rsid w:val="00EE3EA0"/>
    <w:rsid w:val="00F019B0"/>
    <w:rsid w:val="00F052E3"/>
    <w:rsid w:val="00F16D3C"/>
    <w:rsid w:val="00F21C01"/>
    <w:rsid w:val="00F46DE6"/>
    <w:rsid w:val="00F50290"/>
    <w:rsid w:val="00F52FA3"/>
    <w:rsid w:val="00F6448B"/>
    <w:rsid w:val="00F65259"/>
    <w:rsid w:val="00F67898"/>
    <w:rsid w:val="00F7561A"/>
    <w:rsid w:val="00F7706E"/>
    <w:rsid w:val="00F86CCD"/>
    <w:rsid w:val="00F86FF4"/>
    <w:rsid w:val="00F96F94"/>
    <w:rsid w:val="00FB4E73"/>
    <w:rsid w:val="00FC2C40"/>
    <w:rsid w:val="00FD1B45"/>
    <w:rsid w:val="00FD7855"/>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124C51C-875D-4363-9972-F5487387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C3D"/>
  </w:style>
  <w:style w:type="paragraph" w:styleId="Footer">
    <w:name w:val="footer"/>
    <w:basedOn w:val="Normal"/>
    <w:link w:val="FooterChar"/>
    <w:uiPriority w:val="99"/>
    <w:unhideWhenUsed/>
    <w:rsid w:val="00802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3D"/>
  </w:style>
  <w:style w:type="paragraph" w:styleId="FootnoteText">
    <w:name w:val="footnote text"/>
    <w:basedOn w:val="Normal"/>
    <w:link w:val="FootnoteTextChar"/>
    <w:uiPriority w:val="99"/>
    <w:semiHidden/>
    <w:unhideWhenUsed/>
    <w:rsid w:val="008D5E58"/>
    <w:pPr>
      <w:spacing w:after="0" w:line="240" w:lineRule="auto"/>
    </w:pPr>
    <w:rPr>
      <w:sz w:val="20"/>
      <w:szCs w:val="20"/>
      <w:lang w:val="en-ZA"/>
    </w:rPr>
  </w:style>
  <w:style w:type="character" w:customStyle="1" w:styleId="FootnoteTextChar">
    <w:name w:val="Footnote Text Char"/>
    <w:basedOn w:val="DefaultParagraphFont"/>
    <w:link w:val="FootnoteText"/>
    <w:uiPriority w:val="99"/>
    <w:semiHidden/>
    <w:rsid w:val="008D5E58"/>
    <w:rPr>
      <w:sz w:val="20"/>
      <w:szCs w:val="20"/>
      <w:lang w:val="en-ZA"/>
    </w:rPr>
  </w:style>
  <w:style w:type="character" w:styleId="FootnoteReference">
    <w:name w:val="footnote reference"/>
    <w:basedOn w:val="DefaultParagraphFont"/>
    <w:uiPriority w:val="99"/>
    <w:semiHidden/>
    <w:unhideWhenUsed/>
    <w:rsid w:val="008D5E58"/>
    <w:rPr>
      <w:vertAlign w:val="superscript"/>
    </w:rPr>
  </w:style>
  <w:style w:type="paragraph" w:styleId="ListParagraph">
    <w:name w:val="List Paragraph"/>
    <w:basedOn w:val="Normal"/>
    <w:uiPriority w:val="34"/>
    <w:qFormat/>
    <w:rsid w:val="000B6D16"/>
    <w:pPr>
      <w:ind w:left="720"/>
      <w:contextualSpacing/>
    </w:pPr>
  </w:style>
  <w:style w:type="character" w:customStyle="1" w:styleId="st">
    <w:name w:val="st"/>
    <w:basedOn w:val="DefaultParagraphFont"/>
    <w:rsid w:val="000B55EE"/>
  </w:style>
  <w:style w:type="paragraph" w:styleId="BalloonText">
    <w:name w:val="Balloon Text"/>
    <w:basedOn w:val="Normal"/>
    <w:link w:val="BalloonTextChar"/>
    <w:uiPriority w:val="99"/>
    <w:semiHidden/>
    <w:unhideWhenUsed/>
    <w:rsid w:val="00103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74636">
      <w:bodyDiv w:val="1"/>
      <w:marLeft w:val="0"/>
      <w:marRight w:val="0"/>
      <w:marTop w:val="0"/>
      <w:marBottom w:val="0"/>
      <w:divBdr>
        <w:top w:val="none" w:sz="0" w:space="0" w:color="auto"/>
        <w:left w:val="none" w:sz="0" w:space="0" w:color="auto"/>
        <w:bottom w:val="none" w:sz="0" w:space="0" w:color="auto"/>
        <w:right w:val="none" w:sz="0" w:space="0" w:color="auto"/>
      </w:divBdr>
    </w:div>
    <w:div w:id="1204172102">
      <w:bodyDiv w:val="1"/>
      <w:marLeft w:val="0"/>
      <w:marRight w:val="0"/>
      <w:marTop w:val="0"/>
      <w:marBottom w:val="0"/>
      <w:divBdr>
        <w:top w:val="none" w:sz="0" w:space="0" w:color="auto"/>
        <w:left w:val="none" w:sz="0" w:space="0" w:color="auto"/>
        <w:bottom w:val="none" w:sz="0" w:space="0" w:color="auto"/>
        <w:right w:val="none" w:sz="0" w:space="0" w:color="auto"/>
      </w:divBdr>
    </w:div>
    <w:div w:id="1259408957">
      <w:bodyDiv w:val="1"/>
      <w:marLeft w:val="0"/>
      <w:marRight w:val="0"/>
      <w:marTop w:val="0"/>
      <w:marBottom w:val="0"/>
      <w:divBdr>
        <w:top w:val="none" w:sz="0" w:space="0" w:color="auto"/>
        <w:left w:val="none" w:sz="0" w:space="0" w:color="auto"/>
        <w:bottom w:val="none" w:sz="0" w:space="0" w:color="auto"/>
        <w:right w:val="none" w:sz="0" w:space="0" w:color="auto"/>
      </w:divBdr>
      <w:divsChild>
        <w:div w:id="129081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777724">
      <w:bodyDiv w:val="1"/>
      <w:marLeft w:val="0"/>
      <w:marRight w:val="0"/>
      <w:marTop w:val="0"/>
      <w:marBottom w:val="0"/>
      <w:divBdr>
        <w:top w:val="none" w:sz="0" w:space="0" w:color="auto"/>
        <w:left w:val="none" w:sz="0" w:space="0" w:color="auto"/>
        <w:bottom w:val="none" w:sz="0" w:space="0" w:color="auto"/>
        <w:right w:val="none" w:sz="0" w:space="0" w:color="auto"/>
      </w:divBdr>
      <w:divsChild>
        <w:div w:id="1698509116">
          <w:marLeft w:val="0"/>
          <w:marRight w:val="0"/>
          <w:marTop w:val="0"/>
          <w:marBottom w:val="0"/>
          <w:divBdr>
            <w:top w:val="none" w:sz="0" w:space="0" w:color="auto"/>
            <w:left w:val="none" w:sz="0" w:space="0" w:color="auto"/>
            <w:bottom w:val="none" w:sz="0" w:space="0" w:color="auto"/>
            <w:right w:val="none" w:sz="0" w:space="0" w:color="auto"/>
          </w:divBdr>
        </w:div>
        <w:div w:id="1617907649">
          <w:marLeft w:val="0"/>
          <w:marRight w:val="0"/>
          <w:marTop w:val="0"/>
          <w:marBottom w:val="0"/>
          <w:divBdr>
            <w:top w:val="none" w:sz="0" w:space="0" w:color="auto"/>
            <w:left w:val="none" w:sz="0" w:space="0" w:color="auto"/>
            <w:bottom w:val="none" w:sz="0" w:space="0" w:color="auto"/>
            <w:right w:val="none" w:sz="0" w:space="0" w:color="auto"/>
          </w:divBdr>
        </w:div>
        <w:div w:id="1024526254">
          <w:marLeft w:val="0"/>
          <w:marRight w:val="0"/>
          <w:marTop w:val="0"/>
          <w:marBottom w:val="0"/>
          <w:divBdr>
            <w:top w:val="none" w:sz="0" w:space="0" w:color="auto"/>
            <w:left w:val="none" w:sz="0" w:space="0" w:color="auto"/>
            <w:bottom w:val="none" w:sz="0" w:space="0" w:color="auto"/>
            <w:right w:val="none" w:sz="0" w:space="0" w:color="auto"/>
          </w:divBdr>
        </w:div>
        <w:div w:id="930704220">
          <w:marLeft w:val="0"/>
          <w:marRight w:val="0"/>
          <w:marTop w:val="0"/>
          <w:marBottom w:val="0"/>
          <w:divBdr>
            <w:top w:val="none" w:sz="0" w:space="0" w:color="auto"/>
            <w:left w:val="none" w:sz="0" w:space="0" w:color="auto"/>
            <w:bottom w:val="none" w:sz="0" w:space="0" w:color="auto"/>
            <w:right w:val="none" w:sz="0" w:space="0" w:color="auto"/>
          </w:divBdr>
        </w:div>
        <w:div w:id="1652170809">
          <w:marLeft w:val="0"/>
          <w:marRight w:val="0"/>
          <w:marTop w:val="0"/>
          <w:marBottom w:val="0"/>
          <w:divBdr>
            <w:top w:val="none" w:sz="0" w:space="0" w:color="auto"/>
            <w:left w:val="none" w:sz="0" w:space="0" w:color="auto"/>
            <w:bottom w:val="none" w:sz="0" w:space="0" w:color="auto"/>
            <w:right w:val="none" w:sz="0" w:space="0" w:color="auto"/>
          </w:divBdr>
        </w:div>
        <w:div w:id="893782620">
          <w:marLeft w:val="0"/>
          <w:marRight w:val="0"/>
          <w:marTop w:val="0"/>
          <w:marBottom w:val="0"/>
          <w:divBdr>
            <w:top w:val="none" w:sz="0" w:space="0" w:color="auto"/>
            <w:left w:val="none" w:sz="0" w:space="0" w:color="auto"/>
            <w:bottom w:val="none" w:sz="0" w:space="0" w:color="auto"/>
            <w:right w:val="none" w:sz="0" w:space="0" w:color="auto"/>
          </w:divBdr>
        </w:div>
        <w:div w:id="101533045">
          <w:marLeft w:val="0"/>
          <w:marRight w:val="0"/>
          <w:marTop w:val="0"/>
          <w:marBottom w:val="0"/>
          <w:divBdr>
            <w:top w:val="none" w:sz="0" w:space="0" w:color="auto"/>
            <w:left w:val="none" w:sz="0" w:space="0" w:color="auto"/>
            <w:bottom w:val="none" w:sz="0" w:space="0" w:color="auto"/>
            <w:right w:val="none" w:sz="0" w:space="0" w:color="auto"/>
          </w:divBdr>
        </w:div>
        <w:div w:id="1016618637">
          <w:marLeft w:val="0"/>
          <w:marRight w:val="0"/>
          <w:marTop w:val="0"/>
          <w:marBottom w:val="0"/>
          <w:divBdr>
            <w:top w:val="none" w:sz="0" w:space="0" w:color="auto"/>
            <w:left w:val="none" w:sz="0" w:space="0" w:color="auto"/>
            <w:bottom w:val="none" w:sz="0" w:space="0" w:color="auto"/>
            <w:right w:val="none" w:sz="0" w:space="0" w:color="auto"/>
          </w:divBdr>
        </w:div>
        <w:div w:id="2110273805">
          <w:marLeft w:val="0"/>
          <w:marRight w:val="0"/>
          <w:marTop w:val="0"/>
          <w:marBottom w:val="0"/>
          <w:divBdr>
            <w:top w:val="none" w:sz="0" w:space="0" w:color="auto"/>
            <w:left w:val="none" w:sz="0" w:space="0" w:color="auto"/>
            <w:bottom w:val="none" w:sz="0" w:space="0" w:color="auto"/>
            <w:right w:val="none" w:sz="0" w:space="0" w:color="auto"/>
          </w:divBdr>
        </w:div>
        <w:div w:id="839656011">
          <w:marLeft w:val="0"/>
          <w:marRight w:val="0"/>
          <w:marTop w:val="0"/>
          <w:marBottom w:val="0"/>
          <w:divBdr>
            <w:top w:val="none" w:sz="0" w:space="0" w:color="auto"/>
            <w:left w:val="none" w:sz="0" w:space="0" w:color="auto"/>
            <w:bottom w:val="none" w:sz="0" w:space="0" w:color="auto"/>
            <w:right w:val="none" w:sz="0" w:space="0" w:color="auto"/>
          </w:divBdr>
        </w:div>
        <w:div w:id="403183100">
          <w:marLeft w:val="0"/>
          <w:marRight w:val="0"/>
          <w:marTop w:val="0"/>
          <w:marBottom w:val="0"/>
          <w:divBdr>
            <w:top w:val="none" w:sz="0" w:space="0" w:color="auto"/>
            <w:left w:val="none" w:sz="0" w:space="0" w:color="auto"/>
            <w:bottom w:val="none" w:sz="0" w:space="0" w:color="auto"/>
            <w:right w:val="none" w:sz="0" w:space="0" w:color="auto"/>
          </w:divBdr>
        </w:div>
        <w:div w:id="2130581485">
          <w:marLeft w:val="0"/>
          <w:marRight w:val="0"/>
          <w:marTop w:val="0"/>
          <w:marBottom w:val="0"/>
          <w:divBdr>
            <w:top w:val="none" w:sz="0" w:space="0" w:color="auto"/>
            <w:left w:val="none" w:sz="0" w:space="0" w:color="auto"/>
            <w:bottom w:val="none" w:sz="0" w:space="0" w:color="auto"/>
            <w:right w:val="none" w:sz="0" w:space="0" w:color="auto"/>
          </w:divBdr>
        </w:div>
        <w:div w:id="1827479572">
          <w:marLeft w:val="0"/>
          <w:marRight w:val="0"/>
          <w:marTop w:val="0"/>
          <w:marBottom w:val="0"/>
          <w:divBdr>
            <w:top w:val="none" w:sz="0" w:space="0" w:color="auto"/>
            <w:left w:val="none" w:sz="0" w:space="0" w:color="auto"/>
            <w:bottom w:val="none" w:sz="0" w:space="0" w:color="auto"/>
            <w:right w:val="none" w:sz="0" w:space="0" w:color="auto"/>
          </w:divBdr>
        </w:div>
        <w:div w:id="982083397">
          <w:marLeft w:val="0"/>
          <w:marRight w:val="0"/>
          <w:marTop w:val="0"/>
          <w:marBottom w:val="0"/>
          <w:divBdr>
            <w:top w:val="none" w:sz="0" w:space="0" w:color="auto"/>
            <w:left w:val="none" w:sz="0" w:space="0" w:color="auto"/>
            <w:bottom w:val="none" w:sz="0" w:space="0" w:color="auto"/>
            <w:right w:val="none" w:sz="0" w:space="0" w:color="auto"/>
          </w:divBdr>
        </w:div>
      </w:divsChild>
    </w:div>
    <w:div w:id="19324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735606935243B48CE3B845C451010A"/>
        <w:category>
          <w:name w:val="General"/>
          <w:gallery w:val="placeholder"/>
        </w:category>
        <w:types>
          <w:type w:val="bbPlcHdr"/>
        </w:types>
        <w:behaviors>
          <w:behavior w:val="content"/>
        </w:behaviors>
        <w:guid w:val="{7238503A-F434-4D95-A29C-1A90173ADE23}"/>
      </w:docPartPr>
      <w:docPartBody>
        <w:p w:rsidR="005B576A" w:rsidRDefault="00CE511B" w:rsidP="00CE511B">
          <w:pPr>
            <w:pStyle w:val="3E735606935243B48CE3B845C451010A"/>
          </w:pPr>
          <w:r>
            <w:t>[Type the company name]</w:t>
          </w:r>
        </w:p>
      </w:docPartBody>
    </w:docPart>
    <w:docPart>
      <w:docPartPr>
        <w:name w:val="D0D86C6696154A83927B17A5D3053D5B"/>
        <w:category>
          <w:name w:val="General"/>
          <w:gallery w:val="placeholder"/>
        </w:category>
        <w:types>
          <w:type w:val="bbPlcHdr"/>
        </w:types>
        <w:behaviors>
          <w:behavior w:val="content"/>
        </w:behaviors>
        <w:guid w:val="{F8156AA8-B5D2-428C-A393-DF9C2467B870}"/>
      </w:docPartPr>
      <w:docPartBody>
        <w:p w:rsidR="005B576A" w:rsidRDefault="00CE511B" w:rsidP="00CE511B">
          <w:pPr>
            <w:pStyle w:val="D0D86C6696154A83927B17A5D3053D5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980"/>
    <w:rsid w:val="00077896"/>
    <w:rsid w:val="00201797"/>
    <w:rsid w:val="00253F73"/>
    <w:rsid w:val="002D5943"/>
    <w:rsid w:val="00502662"/>
    <w:rsid w:val="005B576A"/>
    <w:rsid w:val="005D480F"/>
    <w:rsid w:val="00702C03"/>
    <w:rsid w:val="00773C33"/>
    <w:rsid w:val="00845498"/>
    <w:rsid w:val="009176AB"/>
    <w:rsid w:val="00B77057"/>
    <w:rsid w:val="00BD3C89"/>
    <w:rsid w:val="00C011EC"/>
    <w:rsid w:val="00C15810"/>
    <w:rsid w:val="00C342DE"/>
    <w:rsid w:val="00CE511B"/>
    <w:rsid w:val="00CF5980"/>
    <w:rsid w:val="00DC134D"/>
    <w:rsid w:val="00EF1E83"/>
    <w:rsid w:val="00F27A47"/>
    <w:rsid w:val="00FA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96AB71DB84161876A409C7070305B">
    <w:name w:val="BD696AB71DB84161876A409C7070305B"/>
    <w:rsid w:val="00CF5980"/>
  </w:style>
  <w:style w:type="paragraph" w:customStyle="1" w:styleId="5F431CEBC3EE4C12BC7201ADA49B03E9">
    <w:name w:val="5F431CEBC3EE4C12BC7201ADA49B03E9"/>
    <w:rsid w:val="00CF5980"/>
  </w:style>
  <w:style w:type="paragraph" w:customStyle="1" w:styleId="E3AC09042725477E8446D86FB831D719">
    <w:name w:val="E3AC09042725477E8446D86FB831D719"/>
    <w:rsid w:val="00CF5980"/>
  </w:style>
  <w:style w:type="paragraph" w:customStyle="1" w:styleId="08EE7CDA557140CAB61A4B966EBAE024">
    <w:name w:val="08EE7CDA557140CAB61A4B966EBAE024"/>
    <w:rsid w:val="00CF5980"/>
  </w:style>
  <w:style w:type="paragraph" w:customStyle="1" w:styleId="C10EEAFD7A54477E8E780EA9142DF73E">
    <w:name w:val="C10EEAFD7A54477E8E780EA9142DF73E"/>
    <w:rsid w:val="00CF5980"/>
  </w:style>
  <w:style w:type="paragraph" w:customStyle="1" w:styleId="8408A9B9FA9F443AA3B486C6BEA29141">
    <w:name w:val="8408A9B9FA9F443AA3B486C6BEA29141"/>
    <w:rsid w:val="00CF5980"/>
  </w:style>
  <w:style w:type="paragraph" w:customStyle="1" w:styleId="49521432AF874B739C13FC754D69F16E">
    <w:name w:val="49521432AF874B739C13FC754D69F16E"/>
    <w:rsid w:val="00CE511B"/>
    <w:rPr>
      <w:lang w:val="en-GB" w:eastAsia="en-GB"/>
    </w:rPr>
  </w:style>
  <w:style w:type="paragraph" w:customStyle="1" w:styleId="ED6E0F8674C94D12B16F7FAF0CA93208">
    <w:name w:val="ED6E0F8674C94D12B16F7FAF0CA93208"/>
    <w:rsid w:val="00CE511B"/>
    <w:rPr>
      <w:lang w:val="en-GB" w:eastAsia="en-GB"/>
    </w:rPr>
  </w:style>
  <w:style w:type="paragraph" w:customStyle="1" w:styleId="3E735606935243B48CE3B845C451010A">
    <w:name w:val="3E735606935243B48CE3B845C451010A"/>
    <w:rsid w:val="00CE511B"/>
    <w:rPr>
      <w:lang w:val="en-GB" w:eastAsia="en-GB"/>
    </w:rPr>
  </w:style>
  <w:style w:type="paragraph" w:customStyle="1" w:styleId="D0D86C6696154A83927B17A5D3053D5B">
    <w:name w:val="D0D86C6696154A83927B17A5D3053D5B"/>
    <w:rsid w:val="00CE511B"/>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B39D-79D6-4F42-8265-7943CE9E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Civil Appeal No. SC 266/15</vt:lpstr>
    </vt:vector>
  </TitlesOfParts>
  <Company>Judgment No. SC 15/18</Company>
  <LinksUpToDate>false</LinksUpToDate>
  <CharactersWithSpaces>18899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266/15</dc:title>
  <dc:subject/>
  <dc:creator>JUDICIAL</dc:creator>
  <cp:keywords/>
  <dc:description/>
  <cp:lastModifiedBy>JSC</cp:lastModifiedBy>
  <cp:revision>2</cp:revision>
  <cp:lastPrinted>2018-03-02T10:12:00Z</cp:lastPrinted>
  <dcterms:created xsi:type="dcterms:W3CDTF">2018-03-07T08:35:00Z</dcterms:created>
  <dcterms:modified xsi:type="dcterms:W3CDTF">2018-03-07T08:35:00Z</dcterms:modified>
</cp:coreProperties>
</file>