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rPr>
          <w:rFonts w:ascii="TH Sarabun New" w:hAnsi="TH Sarabun New" w:cs="TH Sarabun New" w:eastAsia="TH Sarabun New"/>
          <w:b/>
          <w:sz w:val="30"/>
        </w:rPr>
        <w:t>กิจกรรมหลัก: การออกแบบเพลย์ลิสต์ดนตรีบำบัดตามหลัก Iso-Principle (Applied Music Therapy Playlist Design)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🥉 ระดับ Bronze (ซ่อมเสริมเฉพาะจุด): กำหนดกลุ่มเป้าหมาย (Target Persona เช่น เพื่อนที่กำลังเครียดก่อนสอบ) และคัดเลือกบทเพลง 4 เพลง พร้อมระบุความเร็ว (BPM) และสีสันเสียงได้ถูกต้อง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