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3 จำนวน 5 คะแนน (รวมกับคะแนนใบกิจกรรมวิเคราะห์ดนตรี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