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ม.1/2 เปรียบเทียบเสียงร้องและเสียงของเครื่องดนตรีที่มาจากวัฒนธรรมที่ต่างกัน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(6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(16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Podcast Recorder &amp; Community Publisher)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ประเมินจากความเข้าใจกระบวนการสื่อสารและจริยธรรมดิจิทัลในใบกิจกรรม ผ15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  <w:br/>
        <w:t xml:space="preserve">  2. แบบสังเกตสุนทรียภาพและการฟังดนตรีข้ามวัฒนธรรม (เครื่องมือวัดผล ฉบับที่ 8)</w:t>
        <w:br/>
        <w:t xml:space="preserve">  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  <w:br/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