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จังหวะเร็ว (Presto/Allegro) และไดนามิกส์ที่ดังและหนักแน่น (Forte/Crescendo)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เสียงประสานที่กลมกลืน (Consonance) ในระดับเสียงต่ำ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การตัดสินต้องเป็นไปตามเสียงส่วนใหญ่ของผู้ชมในห้องส่ง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การใช้เสียงสังเคราะห์คอมพิวเตอร์แบบ Electronic Dance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