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12 เรื่อง การจัดกลุ่มเสียงวงดนตรีไทย (Thai Ensemble Classification)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12 ออกแบบมาเพื่อให้นักเรียนได้ลงมือปฏิบัติจริง (Hands-on Experience) สอดคล้องกับหัวข้อเรื่อง การจัดกลุ่มเสียงวงดนตรีไทย (Thai Ensemble Classification)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