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การประเมิน</w:t>
            </w:r>
          </w:p>
        </w:tc>
        <w:tc>
          <w:tcPr>
            <w:tcW w:type="dxa" w:w="2340"/>
          </w:tcPr>
          <w:p>
            <w:r>
              <w:t>เครื่องมือวัดผล</w:t>
            </w:r>
          </w:p>
        </w:tc>
        <w:tc>
          <w:tcPr>
            <w:tcW w:type="dxa" w:w="2340"/>
          </w:tcPr>
          <w:p>
            <w: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การสอบวัดผลกลางภาคและปลายภาค</w:t>
            </w:r>
          </w:p>
        </w:tc>
        <w:tc>
          <w:tcPr>
            <w:tcW w:type="dxa" w:w="2340"/>
          </w:tcPr>
          <w:p>
            <w:r>
              <w:t>ข้อสอบปรนัยหน่วย 1-2 (กลางภาค) และ 3-4 (ปลายภาค)</w:t>
            </w:r>
          </w:p>
        </w:tc>
        <w:tc>
          <w:tcPr>
            <w:tcW w:type="dxa" w:w="2340"/>
          </w:tcPr>
          <w:p>
            <w:r>
              <w:t>ข้อสอบกลางภาค 20 ข้อ (ข้อละ 0.5) = 10 คะแนน / ปลายภาค 20 ข้อ (ข้อละ 0.5) = 10 คะแนน</w:t>
            </w:r>
          </w:p>
        </w:tc>
        <w:tc>
          <w:tcPr>
            <w:tcW w:type="dxa" w:w="2340"/>
          </w:tcPr>
          <w:p>
            <w:r>
              <w:t>20 คะแนน (10+10)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