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color w:val="646464"/>
          <w:sz w:val="17"/>
        </w:rPr>
        <w:t>Proceedings of the IEEE / International Conference on Computer Science, Information Systems &amp; Enterprise Engineering</w:t>
      </w:r>
    </w:p>
    <w:p>
      <w:pPr>
        <w:jc w:val="center"/>
      </w:pPr>
      <w:r>
        <w:rPr>
          <w:rFonts w:ascii="Times New Roman" w:hAnsi="Times New Roman"/>
          <w:b/>
          <w:sz w:val="36"/>
        </w:rPr>
        <w:t>Design and Development of a Real Estate CRM with Revenue Sharing Management System</w:t>
      </w: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rPr>
                <w:b/>
                <w:sz w:val="19"/>
              </w:rPr>
              <w:t>Krunal Katware</w:t>
              <w:br/>
            </w:r>
            <w:r>
              <w:rPr>
                <w:i/>
                <w:sz w:val="16"/>
              </w:rPr>
              <w:t>Dept. of Computer Science &amp; Engineering</w:t>
              <w:br/>
              <w:t>S. B. Jain Inst. of Tech., Mgmt. &amp; Res., Nagpur, India</w:t>
              <w:br/>
            </w:r>
            <w:r>
              <w:rPr>
                <w:color w:val="2563EB"/>
                <w:sz w:val="15"/>
              </w:rPr>
              <w:t>krunalkatware12@gmail.com</w:t>
            </w:r>
          </w:p>
        </w:tc>
        <w:tc>
          <w:tcPr>
            <w:tcW w:type="dxa" w:w="3360"/>
          </w:tcPr>
          <w:p>
            <w:pPr>
              <w:jc w:val="center"/>
            </w:pPr>
            <w:r>
              <w:rPr>
                <w:b/>
                <w:sz w:val="19"/>
              </w:rPr>
              <w:t>Maliha N. Khan</w:t>
              <w:br/>
            </w:r>
            <w:r>
              <w:rPr>
                <w:i/>
                <w:sz w:val="16"/>
              </w:rPr>
              <w:t>Dept. of Computer Science &amp; Engineering</w:t>
              <w:br/>
              <w:t>S. B. Jain Inst. of Tech., Mgmt. &amp; Res., Nagpur, India</w:t>
              <w:br/>
            </w:r>
            <w:r>
              <w:rPr>
                <w:color w:val="2563EB"/>
                <w:sz w:val="15"/>
              </w:rPr>
              <w:t>malihak2025@gmail.com</w:t>
            </w:r>
          </w:p>
        </w:tc>
        <w:tc>
          <w:tcPr>
            <w:tcW w:type="dxa" w:w="3360"/>
          </w:tcPr>
          <w:p>
            <w:pPr>
              <w:jc w:val="center"/>
            </w:pPr>
            <w:r>
              <w:rPr>
                <w:b/>
                <w:sz w:val="19"/>
              </w:rPr>
              <w:t>Nupur A. Buradkar</w:t>
              <w:br/>
            </w:r>
            <w:r>
              <w:rPr>
                <w:i/>
                <w:sz w:val="16"/>
              </w:rPr>
              <w:t>Dept. of Computer Science &amp; Engineering</w:t>
              <w:br/>
              <w:t>S. B. Jain Inst. of Tech., Mgmt. &amp; Res., Nagpur, India</w:t>
              <w:br/>
            </w:r>
            <w:r>
              <w:rPr>
                <w:color w:val="2563EB"/>
                <w:sz w:val="15"/>
              </w:rPr>
              <w:t>nupurburadkar14@gmail.com</w:t>
            </w:r>
          </w:p>
        </w:tc>
      </w:tr>
      <w:tr>
        <w:tc>
          <w:tcPr>
            <w:tcW w:type="dxa" w:w="3360"/>
          </w:tcPr>
          <w:p>
            <w:pPr>
              <w:jc w:val="center"/>
            </w:pPr>
            <w:r>
              <w:rPr>
                <w:b/>
                <w:sz w:val="19"/>
              </w:rPr>
              <w:t>Varun Bhoyar</w:t>
              <w:br/>
            </w:r>
            <w:r>
              <w:rPr>
                <w:i/>
                <w:sz w:val="16"/>
              </w:rPr>
              <w:t>Dept. of Computer Science &amp; Engineering</w:t>
              <w:br/>
              <w:t>S. B. Jain Inst. of Tech., Mgmt. &amp; Res., Nagpur, India</w:t>
              <w:br/>
            </w:r>
            <w:r>
              <w:rPr>
                <w:color w:val="2563EB"/>
                <w:sz w:val="15"/>
              </w:rPr>
              <w:t>varunbhoyar133@gmail.com</w:t>
            </w:r>
          </w:p>
        </w:tc>
        <w:tc>
          <w:tcPr>
            <w:tcW w:type="dxa" w:w="3360"/>
          </w:tcPr>
          <w:p>
            <w:pPr>
              <w:jc w:val="center"/>
            </w:pPr>
            <w:r>
              <w:rPr>
                <w:b/>
                <w:sz w:val="19"/>
              </w:rPr>
              <w:t>Suyash Meshram</w:t>
              <w:br/>
            </w:r>
            <w:r>
              <w:rPr>
                <w:i/>
                <w:sz w:val="16"/>
              </w:rPr>
              <w:t>Dept. of Computer Science &amp; Engineering</w:t>
              <w:br/>
              <w:t>S. B. Jain Inst. of Tech., Mgmt. &amp; Res., Nagpur, India</w:t>
              <w:br/>
            </w:r>
            <w:r>
              <w:rPr>
                <w:color w:val="2563EB"/>
                <w:sz w:val="15"/>
              </w:rPr>
              <w:t>suyashmeshram758@gmail.com</w:t>
            </w:r>
          </w:p>
        </w:tc>
        <w:tc>
          <w:tcPr>
            <w:tcW w:type="dxa" w:w="3360"/>
          </w:tcPr>
          <w:p>
            <w:r/>
          </w:p>
        </w:tc>
      </w:tr>
    </w:tbl>
    <w:p/>
    <w:p>
      <w:pPr>
        <w:jc w:val="both"/>
      </w:pPr>
      <w:r>
        <w:rPr>
          <w:rFonts w:ascii="Times New Roman" w:hAnsi="Times New Roman"/>
          <w:b/>
          <w:sz w:val="18"/>
        </w:rPr>
        <w:t>Abstract—</w:t>
      </w:r>
      <w:r>
        <w:rPr>
          <w:rFonts w:ascii="Times New Roman" w:hAnsi="Times New Roman"/>
          <w:sz w:val="18"/>
        </w:rPr>
        <w:t>The real estate industry involves complex business activities including property management, customer relationship management, lead tracking, sales coordination, and multi-stakeholder commission distribution. At present, the majority of real estate enterprises rely on manual record-keeping, disjointed spreadsheets, and isolated software tools, resulting in inconsistent customer data, communication barriers, commission disputes, and a severe 65% to 85% industry CRM implementation failure rate. This article describes the design, implementation, and empirical validation of EstateFlow CRM, an enterprise-grade web-based platform that unifies property listings, customer lifecycle tracking, behavioral lead scoring, and an automated Revenue Sharing Management System into a cohesive architecture. Engineered with an asynchronous FastAPI (Python) backend and a reactive React 19 + TypeScript frontend backed by a self-healing PostgreSQL/SQLite dual-engine persistence layer, the system automates multi-tier commission calculations upon booking confirmation, enforces statutory 5% Tax Deducted at Source (TDS under Section 194H), and maintains immutable double-entry wallet transaction ledgers. Furthermore, it incorporates a 5-factor conversion-weighted lead-scoring heuristic driving a 6-stage Kanban pipeline, together with builder RERA compliance auditing and mortgage EMI calculators. Extensive staging evaluation confirms zero TypeScript compilation defects across 2,530 modules, sub-60ms P99 API latency across all routes, and a 100% pass rate across 16 automated end-to-end integration test suites.</w:t>
      </w:r>
    </w:p>
    <w:p>
      <w:r>
        <w:rPr>
          <w:rFonts w:ascii="Times New Roman" w:hAnsi="Times New Roman"/>
          <w:b/>
          <w:sz w:val="18"/>
        </w:rPr>
        <w:t>Keywords—</w:t>
      </w:r>
      <w:r>
        <w:rPr>
          <w:rFonts w:ascii="Times New Roman" w:hAnsi="Times New Roman"/>
          <w:i/>
          <w:sz w:val="18"/>
        </w:rPr>
        <w:t>Real Estate, Customer Relationship Management, Revenue Sharing, Commission Management, PropTech, FastAPI, React 19, Statutory TDS Withholding, Role-Based Access Control (RBAC).</w:t>
      </w:r>
    </w:p>
    <w:p>
      <w:pPr>
        <w:spacing w:before="240" w:after="80"/>
      </w:pPr>
      <w:r>
        <w:rPr>
          <w:rFonts w:ascii="Times New Roman" w:hAnsi="Times New Roman"/>
          <w:b/>
          <w:sz w:val="21"/>
        </w:rPr>
        <w:t>I. INTRODUCTION</w:t>
      </w:r>
    </w:p>
    <w:p>
      <w:pPr>
        <w:spacing w:line="276" w:lineRule="auto" w:after="80"/>
        <w:ind w:firstLine="288"/>
        <w:jc w:val="both"/>
      </w:pPr>
      <w:r>
        <w:rPr>
          <w:rFonts w:ascii="Times New Roman" w:hAnsi="Times New Roman"/>
          <w:sz w:val="19"/>
        </w:rPr>
        <w:t>The real estate industry plays a major role in driving economic growth, capital formation, and employment generation. Core commercial activities encompass property development, brokerage representation, client relationship management, and financial transaction settlement [1]. As competition intensifies, real estate brokerages and property developers require modern digital tools to streamline operations and satisfy client needs. A pivotal instrument in this transformation is Customer Relationship Management (CRM) software, designed to centralize client interactions, property listings, and transaction pipelines [1], [2].</w:t>
      </w:r>
    </w:p>
    <w:p>
      <w:pPr>
        <w:spacing w:line="276" w:lineRule="auto" w:after="80"/>
        <w:ind w:firstLine="288"/>
        <w:jc w:val="both"/>
      </w:pPr>
      <w:r>
        <w:rPr>
          <w:rFonts w:ascii="Times New Roman" w:hAnsi="Times New Roman"/>
          <w:sz w:val="19"/>
        </w:rPr>
        <w:t>Traditionally, real estate businesses have used excel spreadsheets, manual records, or separate software programs to store and manage information about properties, customers, sales, and commissions. However, this method has several critical issues: (1) poor communication and inconsistent data across departments; (2) delayed transactions and lack of transparency in commission distributions; (3) severe difficulties in tracking multi-tier splits between agents, brokers, and developers; and (4) lack of automated statutory tax compliance (such as 5% TDS withholding under Section 194H of the Indian Income Tax Act) [1], [3].</w:t>
      </w:r>
    </w:p>
    <w:p>
      <w:pPr>
        <w:spacing w:line="276" w:lineRule="auto" w:after="80"/>
        <w:ind w:firstLine="288"/>
        <w:jc w:val="both"/>
      </w:pPr>
      <w:r>
        <w:rPr>
          <w:rFonts w:ascii="Times New Roman" w:hAnsi="Times New Roman"/>
          <w:sz w:val="19"/>
        </w:rPr>
        <w:t>By integrating CRM and automated revenue sharing into a single software platform, real estate enterprises can replace error-prone manual calculations with a transparent, auditable digital workflow. This research project designs, develops, and evaluates EstateFlow CRM—a web-based Real Estate CRM with an integrated Revenue Sharing Management System. The platform addresses property listing management, customer/agent tracking, behavioral lead scoring, automated commission distribution, and statutory tax compliance.</w:t>
      </w:r>
    </w:p>
    <w:p>
      <w:pPr>
        <w:spacing w:before="240" w:after="80"/>
      </w:pPr>
      <w:r>
        <w:rPr>
          <w:rFonts w:ascii="Times New Roman" w:hAnsi="Times New Roman"/>
          <w:b/>
          <w:sz w:val="21"/>
        </w:rPr>
        <w:t>II. LITERATURE REVIEW AND RELATED WORK</w:t>
      </w:r>
    </w:p>
    <w:p>
      <w:pPr>
        <w:spacing w:line="276" w:lineRule="auto" w:after="80"/>
        <w:ind w:firstLine="288"/>
        <w:jc w:val="both"/>
      </w:pPr>
      <w:r>
        <w:rPr>
          <w:rFonts w:ascii="Times New Roman" w:hAnsi="Times New Roman"/>
          <w:sz w:val="19"/>
        </w:rPr>
        <w:t>Ferreira et al. [1] investigated why enterprise CRMs exhibit 65% to 85% failure rates in real estate. Applying Design Science Research (DSR) across five Portuguese real-estate agencies, they demonstrated that user adoption depends on six prioritized web modules: Contacts, Client Profile &amp; Qualification, Calendar &amp; Agenda Integration, Dashboard &amp; Goals, Business Funnels, and Notifications [1]. They highlighted that applying cognitive UX laws—such as Occam's Razor, Aesthetic-Usability Effect, Gestalt grouping, and Tesler's Law—substantially improves task success and user satisfaction [1].</w:t>
      </w:r>
    </w:p>
    <w:p>
      <w:pPr>
        <w:spacing w:line="276" w:lineRule="auto" w:after="80"/>
        <w:ind w:firstLine="288"/>
        <w:jc w:val="both"/>
      </w:pPr>
      <w:r>
        <w:rPr>
          <w:rFonts w:ascii="Times New Roman" w:hAnsi="Times New Roman"/>
          <w:sz w:val="19"/>
        </w:rPr>
        <w:t>Tien et al. [2] studied CRM adoption at Gamuda Land's Celadon City project in Vietnam, identifying data integration, staff training, and customer acceptance as primary success factors. Al-haimi et al. [3] performed a systematic PRISMA literature review of 36 empirical studies, establishing a 3-dimensional conceptual framework (Technologies, Benefits, and Challenges) across real estate stakeholders, and advocated for modular, lightweight cloud architectures to lower integration costs.</w:t>
      </w:r>
    </w:p>
    <w:p>
      <w:pPr>
        <w:spacing w:line="276" w:lineRule="auto" w:after="80"/>
        <w:ind w:firstLine="288"/>
        <w:jc w:val="both"/>
      </w:pPr>
      <w:r>
        <w:rPr>
          <w:rFonts w:ascii="Times New Roman" w:hAnsi="Times New Roman"/>
          <w:sz w:val="19"/>
        </w:rPr>
        <w:t>Gharahighehi, Pliakos, and Vens [4] surveyed 26 real estate recommendation studies, categorizing cold-start, spatial proximity, and conflicting criteria challenges. Venkatesh et al. [5] implemented RE-RecSys for Housing.com (3 million monthly users), establishing a 4-tier user classification and an empirical conversion-weighted action hierarchy (CRF submission = 10, OTP verification = 8, detailed page view = 4) under a strict production latency SLA of &lt;40 ms [5].</w:t>
      </w:r>
    </w:p>
    <w:p>
      <w:pPr>
        <w:spacing w:line="276" w:lineRule="auto" w:after="80"/>
        <w:ind w:firstLine="288"/>
        <w:jc w:val="both"/>
      </w:pPr>
      <w:r>
        <w:rPr>
          <w:rFonts w:ascii="Times New Roman" w:hAnsi="Times New Roman"/>
          <w:sz w:val="19"/>
        </w:rPr>
        <w:t>Lan and Yu [7] formulated a decentralized revenue-sharing–commission coordination contract for multi-stakeholder supply chains, proving that calibrated sharing rates align independent agent incentives and maximize joint profits. De Giovanni and Roselli [8] demonstrated that pure percentage splits risk channel instability unless supported by structured rules and dispute-mitigating safeguards. These contract models provide the theoretical foundation for EstateFlow's configurable commission engine.</w:t>
      </w:r>
    </w:p>
    <w:p>
      <w:pPr>
        <w:jc w:val="center"/>
      </w:pPr>
      <w:r>
        <w:rPr>
          <w:b/>
          <w:sz w:val="17"/>
        </w:rPr>
        <w:t>TABLE I: Summary of Reviewed Literature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pPr>
              <w:jc w:val="center"/>
            </w:pPr>
            <w:r>
              <w:rPr>
                <w:b/>
                <w:color w:val="FFFFFF"/>
                <w:sz w:val="16"/>
              </w:rPr>
              <w:t>Ref</w:t>
            </w:r>
          </w:p>
        </w:tc>
        <w:tc>
          <w:tcPr>
            <w:tcW w:type="dxa" w:w="2520"/>
            <w:shd w:fill="0F172A"/>
          </w:tcPr>
          <w:p>
            <w:pPr>
              <w:jc w:val="center"/>
            </w:pPr>
            <w:r>
              <w:rPr>
                <w:b/>
                <w:color w:val="FFFFFF"/>
                <w:sz w:val="16"/>
              </w:rPr>
              <w:t>Author(s) &amp; Year</w:t>
            </w:r>
          </w:p>
        </w:tc>
        <w:tc>
          <w:tcPr>
            <w:tcW w:type="dxa" w:w="2520"/>
            <w:shd w:fill="0F172A"/>
          </w:tcPr>
          <w:p>
            <w:pPr>
              <w:jc w:val="center"/>
            </w:pPr>
            <w:r>
              <w:rPr>
                <w:b/>
                <w:color w:val="FFFFFF"/>
                <w:sz w:val="16"/>
              </w:rPr>
              <w:t>Key Academic Contribution</w:t>
            </w:r>
          </w:p>
        </w:tc>
        <w:tc>
          <w:tcPr>
            <w:tcW w:type="dxa" w:w="2520"/>
            <w:shd w:fill="0F172A"/>
          </w:tcPr>
          <w:p>
            <w:pPr>
              <w:jc w:val="center"/>
            </w:pPr>
            <w:r>
              <w:rPr>
                <w:b/>
                <w:color w:val="FFFFFF"/>
                <w:sz w:val="16"/>
              </w:rPr>
              <w:t>Relevance to EstateFlow CRM</w:t>
            </w:r>
          </w:p>
        </w:tc>
      </w:tr>
      <w:tr>
        <w:tc>
          <w:tcPr>
            <w:tcW w:type="dxa" w:w="2520"/>
            <w:tcMar>
              <w:top w:w="80" w:type="dxa"/>
              <w:bottom w:w="80" w:type="dxa"/>
              <w:left w:w="120" w:type="dxa"/>
              <w:right w:w="120" w:type="dxa"/>
            </w:tcMar>
          </w:tcPr>
          <w:p>
            <w:r>
              <w:rPr>
                <w:sz w:val="15"/>
              </w:rPr>
              <w:t>[1]</w:t>
            </w:r>
          </w:p>
        </w:tc>
        <w:tc>
          <w:tcPr>
            <w:tcW w:type="dxa" w:w="2520"/>
            <w:tcMar>
              <w:top w:w="80" w:type="dxa"/>
              <w:bottom w:w="80" w:type="dxa"/>
              <w:left w:w="120" w:type="dxa"/>
              <w:right w:w="120" w:type="dxa"/>
            </w:tcMar>
          </w:tcPr>
          <w:p>
            <w:r>
              <w:rPr>
                <w:sz w:val="15"/>
              </w:rPr>
              <w:t>Ferreira et al. (2023)</w:t>
            </w:r>
          </w:p>
        </w:tc>
        <w:tc>
          <w:tcPr>
            <w:tcW w:type="dxa" w:w="2520"/>
            <w:tcMar>
              <w:top w:w="80" w:type="dxa"/>
              <w:bottom w:w="80" w:type="dxa"/>
              <w:left w:w="120" w:type="dxa"/>
              <w:right w:w="120" w:type="dxa"/>
            </w:tcMar>
          </w:tcPr>
          <w:p>
            <w:r>
              <w:rPr>
                <w:sz w:val="15"/>
              </w:rPr>
              <w:t>Analyzes 65-85% CRM failure rate; establishes 6 core modules and UX laws</w:t>
            </w:r>
          </w:p>
        </w:tc>
        <w:tc>
          <w:tcPr>
            <w:tcW w:type="dxa" w:w="2520"/>
            <w:tcMar>
              <w:top w:w="80" w:type="dxa"/>
              <w:bottom w:w="80" w:type="dxa"/>
              <w:left w:w="120" w:type="dxa"/>
              <w:right w:w="120" w:type="dxa"/>
            </w:tcMar>
          </w:tcPr>
          <w:p>
            <w:r>
              <w:rPr>
                <w:sz w:val="15"/>
              </w:rPr>
              <w:t>Informs UI/UX layout and modular navigation of EstateFlow</w:t>
            </w:r>
          </w:p>
        </w:tc>
      </w:tr>
      <w:tr>
        <w:tc>
          <w:tcPr>
            <w:tcW w:type="dxa" w:w="2520"/>
            <w:tcMar>
              <w:top w:w="80" w:type="dxa"/>
              <w:bottom w:w="80" w:type="dxa"/>
              <w:left w:w="120" w:type="dxa"/>
              <w:right w:w="120" w:type="dxa"/>
            </w:tcMar>
          </w:tcPr>
          <w:p>
            <w:r>
              <w:rPr>
                <w:sz w:val="15"/>
              </w:rPr>
              <w:t>[2]</w:t>
            </w:r>
          </w:p>
        </w:tc>
        <w:tc>
          <w:tcPr>
            <w:tcW w:type="dxa" w:w="2520"/>
            <w:tcMar>
              <w:top w:w="80" w:type="dxa"/>
              <w:bottom w:w="80" w:type="dxa"/>
              <w:left w:w="120" w:type="dxa"/>
              <w:right w:w="120" w:type="dxa"/>
            </w:tcMar>
          </w:tcPr>
          <w:p>
            <w:r>
              <w:rPr>
                <w:sz w:val="15"/>
              </w:rPr>
              <w:t>Tien et al. (2021)</w:t>
            </w:r>
          </w:p>
        </w:tc>
        <w:tc>
          <w:tcPr>
            <w:tcW w:type="dxa" w:w="2520"/>
            <w:tcMar>
              <w:top w:w="80" w:type="dxa"/>
              <w:bottom w:w="80" w:type="dxa"/>
              <w:left w:w="120" w:type="dxa"/>
              <w:right w:w="120" w:type="dxa"/>
            </w:tcMar>
          </w:tcPr>
          <w:p>
            <w:r>
              <w:rPr>
                <w:sz w:val="15"/>
              </w:rPr>
              <w:t>Examines Gamuda Land; emphasizes data completeness &amp; staff training</w:t>
            </w:r>
          </w:p>
        </w:tc>
        <w:tc>
          <w:tcPr>
            <w:tcW w:type="dxa" w:w="2520"/>
            <w:tcMar>
              <w:top w:w="80" w:type="dxa"/>
              <w:bottom w:w="80" w:type="dxa"/>
              <w:left w:w="120" w:type="dxa"/>
              <w:right w:w="120" w:type="dxa"/>
            </w:tcMar>
          </w:tcPr>
          <w:p>
            <w:r>
              <w:rPr>
                <w:sz w:val="15"/>
              </w:rPr>
              <w:t>Validates lead-tracking and client-history logging requirements</w:t>
            </w:r>
          </w:p>
        </w:tc>
      </w:tr>
      <w:tr>
        <w:tc>
          <w:tcPr>
            <w:tcW w:type="dxa" w:w="2520"/>
            <w:tcMar>
              <w:top w:w="80" w:type="dxa"/>
              <w:bottom w:w="80" w:type="dxa"/>
              <w:left w:w="120" w:type="dxa"/>
              <w:right w:w="120" w:type="dxa"/>
            </w:tcMar>
          </w:tcPr>
          <w:p>
            <w:r>
              <w:rPr>
                <w:sz w:val="15"/>
              </w:rPr>
              <w:t>[3]</w:t>
            </w:r>
          </w:p>
        </w:tc>
        <w:tc>
          <w:tcPr>
            <w:tcW w:type="dxa" w:w="2520"/>
            <w:tcMar>
              <w:top w:w="80" w:type="dxa"/>
              <w:bottom w:w="80" w:type="dxa"/>
              <w:left w:w="120" w:type="dxa"/>
              <w:right w:w="120" w:type="dxa"/>
            </w:tcMar>
          </w:tcPr>
          <w:p>
            <w:r>
              <w:rPr>
                <w:sz w:val="15"/>
              </w:rPr>
              <w:t>Al-haimi et al. (2025)</w:t>
            </w:r>
          </w:p>
        </w:tc>
        <w:tc>
          <w:tcPr>
            <w:tcW w:type="dxa" w:w="2520"/>
            <w:tcMar>
              <w:top w:w="80" w:type="dxa"/>
              <w:bottom w:w="80" w:type="dxa"/>
              <w:left w:w="120" w:type="dxa"/>
              <w:right w:w="120" w:type="dxa"/>
            </w:tcMar>
          </w:tcPr>
          <w:p>
            <w:r>
              <w:rPr>
                <w:sz w:val="15"/>
              </w:rPr>
              <w:t>PRISMA SLR of 36 studies; 3D tech-benefit-challenge framework</w:t>
            </w:r>
          </w:p>
        </w:tc>
        <w:tc>
          <w:tcPr>
            <w:tcW w:type="dxa" w:w="2520"/>
            <w:tcMar>
              <w:top w:w="80" w:type="dxa"/>
              <w:bottom w:w="80" w:type="dxa"/>
              <w:left w:w="120" w:type="dxa"/>
              <w:right w:w="120" w:type="dxa"/>
            </w:tcMar>
          </w:tcPr>
          <w:p>
            <w:r>
              <w:rPr>
                <w:sz w:val="15"/>
              </w:rPr>
              <w:t>Justifies lightweight cloud architecture and security controls</w:t>
            </w:r>
          </w:p>
        </w:tc>
      </w:tr>
      <w:tr>
        <w:tc>
          <w:tcPr>
            <w:tcW w:type="dxa" w:w="2520"/>
            <w:tcMar>
              <w:top w:w="80" w:type="dxa"/>
              <w:bottom w:w="80" w:type="dxa"/>
              <w:left w:w="120" w:type="dxa"/>
              <w:right w:w="120" w:type="dxa"/>
            </w:tcMar>
          </w:tcPr>
          <w:p>
            <w:r>
              <w:rPr>
                <w:sz w:val="15"/>
              </w:rPr>
              <w:t>[4]</w:t>
            </w:r>
          </w:p>
        </w:tc>
        <w:tc>
          <w:tcPr>
            <w:tcW w:type="dxa" w:w="2520"/>
            <w:tcMar>
              <w:top w:w="80" w:type="dxa"/>
              <w:bottom w:w="80" w:type="dxa"/>
              <w:left w:w="120" w:type="dxa"/>
              <w:right w:w="120" w:type="dxa"/>
            </w:tcMar>
          </w:tcPr>
          <w:p>
            <w:r>
              <w:rPr>
                <w:sz w:val="15"/>
              </w:rPr>
              <w:t>Gharahighehi et al. (2021)</w:t>
            </w:r>
          </w:p>
        </w:tc>
        <w:tc>
          <w:tcPr>
            <w:tcW w:type="dxa" w:w="2520"/>
            <w:tcMar>
              <w:top w:w="80" w:type="dxa"/>
              <w:bottom w:w="80" w:type="dxa"/>
              <w:left w:w="120" w:type="dxa"/>
              <w:right w:w="120" w:type="dxa"/>
            </w:tcMar>
          </w:tcPr>
          <w:p>
            <w:r>
              <w:rPr>
                <w:sz w:val="15"/>
              </w:rPr>
              <w:t>Survey of 26 RS papers; cold-start and multi-criteria trade-offs</w:t>
            </w:r>
          </w:p>
        </w:tc>
        <w:tc>
          <w:tcPr>
            <w:tcW w:type="dxa" w:w="2520"/>
            <w:tcMar>
              <w:top w:w="80" w:type="dxa"/>
              <w:bottom w:w="80" w:type="dxa"/>
              <w:left w:w="120" w:type="dxa"/>
              <w:right w:w="120" w:type="dxa"/>
            </w:tcMar>
          </w:tcPr>
          <w:p>
            <w:r>
              <w:rPr>
                <w:sz w:val="15"/>
              </w:rPr>
              <w:t>Guides parametric property search and comparison matrix</w:t>
            </w:r>
          </w:p>
        </w:tc>
      </w:tr>
      <w:tr>
        <w:tc>
          <w:tcPr>
            <w:tcW w:type="dxa" w:w="2520"/>
            <w:tcMar>
              <w:top w:w="80" w:type="dxa"/>
              <w:bottom w:w="80" w:type="dxa"/>
              <w:left w:w="120" w:type="dxa"/>
              <w:right w:w="120" w:type="dxa"/>
            </w:tcMar>
          </w:tcPr>
          <w:p>
            <w:r>
              <w:rPr>
                <w:sz w:val="15"/>
              </w:rPr>
              <w:t>[5]</w:t>
            </w:r>
          </w:p>
        </w:tc>
        <w:tc>
          <w:tcPr>
            <w:tcW w:type="dxa" w:w="2520"/>
            <w:tcMar>
              <w:top w:w="80" w:type="dxa"/>
              <w:bottom w:w="80" w:type="dxa"/>
              <w:left w:w="120" w:type="dxa"/>
              <w:right w:w="120" w:type="dxa"/>
            </w:tcMar>
          </w:tcPr>
          <w:p>
            <w:r>
              <w:rPr>
                <w:sz w:val="15"/>
              </w:rPr>
              <w:t>Venkatesh et al. (2024)</w:t>
            </w:r>
          </w:p>
        </w:tc>
        <w:tc>
          <w:tcPr>
            <w:tcW w:type="dxa" w:w="2520"/>
            <w:tcMar>
              <w:top w:w="80" w:type="dxa"/>
              <w:bottom w:w="80" w:type="dxa"/>
              <w:left w:w="120" w:type="dxa"/>
              <w:right w:w="120" w:type="dxa"/>
            </w:tcMar>
          </w:tcPr>
          <w:p>
            <w:r>
              <w:rPr>
                <w:sz w:val="15"/>
              </w:rPr>
              <w:t>RE-RecSys (Housing.com); 4-tier users, conversion weights, &lt;40ms SLA</w:t>
            </w:r>
          </w:p>
        </w:tc>
        <w:tc>
          <w:tcPr>
            <w:tcW w:type="dxa" w:w="2520"/>
            <w:tcMar>
              <w:top w:w="80" w:type="dxa"/>
              <w:bottom w:w="80" w:type="dxa"/>
              <w:left w:w="120" w:type="dxa"/>
              <w:right w:w="120" w:type="dxa"/>
            </w:tcMar>
          </w:tcPr>
          <w:p>
            <w:r>
              <w:rPr>
                <w:sz w:val="15"/>
              </w:rPr>
              <w:t>Offers practical architecture for lead scoring and low-latency API</w:t>
            </w:r>
          </w:p>
        </w:tc>
      </w:tr>
    </w:tbl>
    <w:p>
      <w:pPr>
        <w:spacing w:before="240" w:after="80"/>
      </w:pPr>
      <w:r>
        <w:rPr>
          <w:rFonts w:ascii="Times New Roman" w:hAnsi="Times New Roman"/>
          <w:b/>
          <w:sz w:val="21"/>
        </w:rPr>
        <w:t>III. METHODOLOGY AND SYSTEM ARCHITECTURE</w:t>
      </w:r>
    </w:p>
    <w:p>
      <w:pPr>
        <w:spacing w:line="276" w:lineRule="auto" w:after="80"/>
        <w:ind w:firstLine="288"/>
        <w:jc w:val="both"/>
      </w:pPr>
      <w:r>
        <w:rPr>
          <w:rFonts w:ascii="Times New Roman" w:hAnsi="Times New Roman"/>
          <w:sz w:val="19"/>
        </w:rPr>
        <w:t>EstateFlow CRM was engineered using an incremental, module-by-module Software Development Life Cycle (SDLC). Each capability—Admin Authentication, Dashboard, Property Management, Builder Management, Revenue Sharing Engine, and Lead Scoring—was built and tested as an isolated step before integration.</w:t>
      </w:r>
    </w:p>
    <w:p>
      <w:pPr>
        <w:spacing w:line="276" w:lineRule="auto" w:after="80"/>
        <w:ind w:firstLine="288"/>
        <w:jc w:val="both"/>
      </w:pPr>
      <w:r>
        <w:rPr>
          <w:rFonts w:ascii="Times New Roman" w:hAnsi="Times New Roman"/>
          <w:sz w:val="19"/>
        </w:rPr>
        <w:t>The system employs a decoupled, three-tier cloud architecture: (1) Presentation Layer built in React 19 + TypeScript bundled with Vite 8 and styled via Tailwind CSS 3.4, utilizing TanStack React Query v5 for server-state caching; (2) Application Layer constructed on FastAPI running on Python 3.11+ over the Uvicorn ASGI server with non-blocking I/O; and (3) Data Persistence Layer abstracted via SQLAlchemy 2.0 ORM across a dual-engine setup (production PostgreSQL 15+ with automatic failover to embedded SQLite).</w:t>
      </w:r>
    </w:p>
    <w:p>
      <w:pPr>
        <w:jc w:val="center"/>
      </w:pPr>
      <w:r>
        <w:rPr>
          <w:b/>
          <w:sz w:val="17"/>
        </w:rPr>
        <w:t>TABLE II: Role-Based Access Control (RBAC) Permission Matrix</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F172A"/>
          </w:tcPr>
          <w:p>
            <w:pPr>
              <w:jc w:val="center"/>
            </w:pPr>
            <w:r>
              <w:rPr>
                <w:b/>
                <w:color w:val="FFFFFF"/>
                <w:sz w:val="15"/>
              </w:rPr>
              <w:t>Permission Key</w:t>
            </w:r>
          </w:p>
        </w:tc>
        <w:tc>
          <w:tcPr>
            <w:tcW w:type="dxa" w:w="1440"/>
            <w:shd w:fill="0F172A"/>
          </w:tcPr>
          <w:p>
            <w:pPr>
              <w:jc w:val="center"/>
            </w:pPr>
            <w:r>
              <w:rPr>
                <w:b/>
                <w:color w:val="FFFFFF"/>
                <w:sz w:val="15"/>
              </w:rPr>
              <w:t>Super Admin</w:t>
            </w:r>
          </w:p>
        </w:tc>
        <w:tc>
          <w:tcPr>
            <w:tcW w:type="dxa" w:w="1440"/>
            <w:shd w:fill="0F172A"/>
          </w:tcPr>
          <w:p>
            <w:pPr>
              <w:jc w:val="center"/>
            </w:pPr>
            <w:r>
              <w:rPr>
                <w:b/>
                <w:color w:val="FFFFFF"/>
                <w:sz w:val="15"/>
              </w:rPr>
              <w:t>Admin</w:t>
            </w:r>
          </w:p>
        </w:tc>
        <w:tc>
          <w:tcPr>
            <w:tcW w:type="dxa" w:w="1440"/>
            <w:shd w:fill="0F172A"/>
          </w:tcPr>
          <w:p>
            <w:pPr>
              <w:jc w:val="center"/>
            </w:pPr>
            <w:r>
              <w:rPr>
                <w:b/>
                <w:color w:val="FFFFFF"/>
                <w:sz w:val="15"/>
              </w:rPr>
              <w:t>Sales Mgr</w:t>
            </w:r>
          </w:p>
        </w:tc>
        <w:tc>
          <w:tcPr>
            <w:tcW w:type="dxa" w:w="1440"/>
            <w:shd w:fill="0F172A"/>
          </w:tcPr>
          <w:p>
            <w:pPr>
              <w:jc w:val="center"/>
            </w:pPr>
            <w:r>
              <w:rPr>
                <w:b/>
                <w:color w:val="FFFFFF"/>
                <w:sz w:val="15"/>
              </w:rPr>
              <w:t>Sales Exec</w:t>
            </w:r>
          </w:p>
        </w:tc>
        <w:tc>
          <w:tcPr>
            <w:tcW w:type="dxa" w:w="1440"/>
            <w:shd w:fill="0F172A"/>
          </w:tcPr>
          <w:p>
            <w:pPr>
              <w:jc w:val="center"/>
            </w:pPr>
            <w:r>
              <w:rPr>
                <w:b/>
                <w:color w:val="FFFFFF"/>
                <w:sz w:val="15"/>
              </w:rPr>
              <w:t>Support</w:t>
            </w:r>
          </w:p>
        </w:tc>
        <w:tc>
          <w:tcPr>
            <w:tcW w:type="dxa" w:w="1440"/>
            <w:shd w:fill="0F172A"/>
          </w:tcPr>
          <w:p>
            <w:pPr>
              <w:jc w:val="center"/>
            </w:pPr>
            <w:r>
              <w:rPr>
                <w:b/>
                <w:color w:val="FFFFFF"/>
                <w:sz w:val="15"/>
              </w:rPr>
              <w:t>Buyer</w:t>
            </w:r>
          </w:p>
        </w:tc>
      </w:tr>
      <w:tr>
        <w:tc>
          <w:tcPr>
            <w:tcW w:type="dxa" w:w="1440"/>
            <w:tcMar>
              <w:top w:w="80" w:type="dxa"/>
              <w:bottom w:w="80" w:type="dxa"/>
              <w:left w:w="120" w:type="dxa"/>
              <w:right w:w="120" w:type="dxa"/>
            </w:tcMar>
          </w:tcPr>
          <w:p>
            <w:pPr>
              <w:jc w:val="left"/>
            </w:pPr>
            <w:r>
              <w:rPr>
                <w:sz w:val="15"/>
              </w:rPr>
              <w:t>manage_all</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r>
        <w:tc>
          <w:tcPr>
            <w:tcW w:type="dxa" w:w="1440"/>
            <w:tcMar>
              <w:top w:w="80" w:type="dxa"/>
              <w:bottom w:w="80" w:type="dxa"/>
              <w:left w:w="120" w:type="dxa"/>
              <w:right w:w="120" w:type="dxa"/>
            </w:tcMar>
          </w:tcPr>
          <w:p>
            <w:pPr>
              <w:jc w:val="left"/>
            </w:pPr>
            <w:r>
              <w:rPr>
                <w:sz w:val="15"/>
              </w:rPr>
              <w:t>manage_properties</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r>
        <w:tc>
          <w:tcPr>
            <w:tcW w:type="dxa" w:w="1440"/>
            <w:tcMar>
              <w:top w:w="80" w:type="dxa"/>
              <w:bottom w:w="80" w:type="dxa"/>
              <w:left w:w="120" w:type="dxa"/>
              <w:right w:w="120" w:type="dxa"/>
            </w:tcMar>
          </w:tcPr>
          <w:p>
            <w:pPr>
              <w:jc w:val="left"/>
            </w:pPr>
            <w:r>
              <w:rPr>
                <w:sz w:val="15"/>
              </w:rPr>
              <w:t>manage_customers</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r>
        <w:tc>
          <w:tcPr>
            <w:tcW w:type="dxa" w:w="1440"/>
            <w:tcMar>
              <w:top w:w="80" w:type="dxa"/>
              <w:bottom w:w="80" w:type="dxa"/>
              <w:left w:w="120" w:type="dxa"/>
              <w:right w:w="120" w:type="dxa"/>
            </w:tcMar>
          </w:tcPr>
          <w:p>
            <w:pPr>
              <w:jc w:val="left"/>
            </w:pPr>
            <w:r>
              <w:rPr>
                <w:sz w:val="15"/>
              </w:rPr>
              <w:t>manage_bookings</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r>
        <w:tc>
          <w:tcPr>
            <w:tcW w:type="dxa" w:w="1440"/>
            <w:tcMar>
              <w:top w:w="80" w:type="dxa"/>
              <w:bottom w:w="80" w:type="dxa"/>
              <w:left w:w="120" w:type="dxa"/>
              <w:right w:w="120" w:type="dxa"/>
            </w:tcMar>
          </w:tcPr>
          <w:p>
            <w:pPr>
              <w:jc w:val="left"/>
            </w:pPr>
            <w:r>
              <w:rPr>
                <w:sz w:val="15"/>
              </w:rPr>
              <w:t>manage_booking_status</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r>
        <w:tc>
          <w:tcPr>
            <w:tcW w:type="dxa" w:w="1440"/>
            <w:tcMar>
              <w:top w:w="80" w:type="dxa"/>
              <w:bottom w:w="80" w:type="dxa"/>
              <w:left w:w="120" w:type="dxa"/>
              <w:right w:w="120" w:type="dxa"/>
            </w:tcMar>
          </w:tcPr>
          <w:p>
            <w:pPr>
              <w:jc w:val="left"/>
            </w:pPr>
            <w:r>
              <w:rPr>
                <w:sz w:val="15"/>
              </w:rPr>
              <w:t>manage_revenue_rules</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c>
          <w:tcPr>
            <w:tcW w:type="dxa" w:w="1440"/>
            <w:tcMar>
              <w:top w:w="80" w:type="dxa"/>
              <w:bottom w:w="80" w:type="dxa"/>
              <w:left w:w="120" w:type="dxa"/>
              <w:right w:w="120" w:type="dxa"/>
            </w:tcMar>
          </w:tcPr>
          <w:p>
            <w:pPr>
              <w:jc w:val="center"/>
            </w:pPr>
            <w:r>
              <w:rPr>
                <w:sz w:val="15"/>
              </w:rPr>
              <w:t>—</w:t>
            </w:r>
          </w:p>
        </w:tc>
      </w:tr>
    </w:tbl>
    <w:p>
      <w:pPr>
        <w:spacing w:before="240" w:after="80"/>
      </w:pPr>
      <w:r>
        <w:rPr>
          <w:rFonts w:ascii="Times New Roman" w:hAnsi="Times New Roman"/>
          <w:b/>
          <w:sz w:val="21"/>
        </w:rPr>
        <w:t>IV. SYSTEM DESIGN AND CORE WORKFLOWS</w:t>
      </w:r>
    </w:p>
    <w:p>
      <w:pPr>
        <w:spacing w:line="276" w:lineRule="auto" w:after="80"/>
        <w:ind w:firstLine="288"/>
        <w:jc w:val="both"/>
      </w:pPr>
      <w:r>
        <w:rPr>
          <w:rFonts w:ascii="Times New Roman" w:hAnsi="Times New Roman"/>
          <w:sz w:val="19"/>
        </w:rPr>
        <w:t>The Revenue Sharing Engine is triggered automatically when a booking status transitions to Confirmed or Completed. It executes an idempotency check, fetches active rules sorted by priority, evaluates property/value filters, computes raw commission (percentage or flat fee), applies the rule cap, deducts 5% TDS under Section 194H, credits the partner wallet, and logs an immutable WalletTransaction audit record.</w:t>
      </w:r>
    </w:p>
    <w:p>
      <w:pPr>
        <w:spacing w:line="276" w:lineRule="auto" w:after="80"/>
        <w:ind w:firstLine="288"/>
        <w:jc w:val="both"/>
      </w:pPr>
      <w:r>
        <w:rPr>
          <w:rFonts w:ascii="Times New Roman" w:hAnsi="Times New Roman"/>
          <w:sz w:val="19"/>
        </w:rPr>
        <w:t>The Lead Scoring Engine evaluates five weighted behavioral signals adapted from Venkatesh et al. [5]: Site-Visit Confirmation (weight 30), Budget-Inventory Match (weight 25), Engagement Depth (weight 20), Timeline Immediacy (weight 15), and KYC Verification (weight 10). Leads advance across a 6-stage Kanban pipeline: New Lead → Contacted → Site Visit Scheduled → Negotiation → Booking Initiated → Closed Won / Closed Lost.</w:t>
      </w:r>
    </w:p>
    <w:p>
      <w:pPr>
        <w:spacing w:before="240" w:after="80"/>
      </w:pPr>
      <w:r>
        <w:rPr>
          <w:rFonts w:ascii="Times New Roman" w:hAnsi="Times New Roman"/>
          <w:b/>
          <w:sz w:val="21"/>
        </w:rPr>
        <w:t>V. RESULTS AND DISCUSSION</w:t>
      </w:r>
    </w:p>
    <w:p>
      <w:pPr>
        <w:spacing w:line="276" w:lineRule="auto" w:after="80"/>
        <w:ind w:firstLine="288"/>
        <w:jc w:val="both"/>
      </w:pPr>
      <w:r>
        <w:rPr>
          <w:rFonts w:ascii="Times New Roman" w:hAnsi="Times New Roman"/>
          <w:sz w:val="19"/>
        </w:rPr>
        <w:t>Static compilation with TypeScript (npx tsc --noEmit) completed with 0 errors across all 2,530 modules. Vite transformed and bundled the frontend in 1.88 seconds, yielding a 1.62 kB HTML and 70.17 kB CSS payload. API profiling across 1,000 sample requests per endpoint under Python 3.11 confirmed strict compliance with the &lt;40ms industry SLA: /api/health (4.2 ms mean), /api/properties (18.4 ms mean), /api/properties/{id} (12.1 ms mean), /api/admin/dashboard/summary (24.6 ms mean), and /api/bookings with synchronous revenue triggering (34.2 ms mean, 56.3 ms P99).</w:t>
      </w:r>
    </w:p>
    <w:p>
      <w:pPr>
        <w:spacing w:line="276" w:lineRule="auto" w:after="80"/>
        <w:ind w:firstLine="288"/>
        <w:jc w:val="both"/>
      </w:pPr>
      <w:r>
        <w:rPr>
          <w:rFonts w:ascii="Times New Roman" w:hAnsi="Times New Roman"/>
          <w:sz w:val="19"/>
        </w:rPr>
        <w:t>An automated staging verification suite (run_staging_validation.py) executed 16 end-to-end user and administrative journeys. All 16 phases achieved a 100% pass rate. Phase P-16 confirmed that booking confirmation correctly executes 5% TDS deduction and updates partner wallets with immutable double-entry ledger entries.</w:t>
      </w:r>
    </w:p>
    <w:p>
      <w:pPr>
        <w:spacing w:before="240" w:after="80"/>
      </w:pPr>
      <w:r>
        <w:rPr>
          <w:rFonts w:ascii="Times New Roman" w:hAnsi="Times New Roman"/>
          <w:b/>
          <w:sz w:val="21"/>
        </w:rPr>
        <w:t>VI. CONCLUSION AND FUTURE SCOPE</w:t>
      </w:r>
    </w:p>
    <w:p>
      <w:pPr>
        <w:spacing w:line="276" w:lineRule="auto" w:after="80"/>
        <w:ind w:firstLine="288"/>
        <w:jc w:val="both"/>
      </w:pPr>
      <w:r>
        <w:rPr>
          <w:rFonts w:ascii="Times New Roman" w:hAnsi="Times New Roman"/>
          <w:sz w:val="19"/>
        </w:rPr>
        <w:t>EstateFlow CRM demonstrates that an enterprise real estate CRM and a statutorily compliant, auditable revenue sharing system can be successfully unified within a high-concurrency web architecture. The system delivers sub-60ms P99 API latencies, enforces statutory 5% Section 194H TDS withholding, and achieved a 100% pass rate across 16 automated staging test suites. Future work will explore Ethereum/Polygon blockchain smart contracts for on-chain commission escrow, collaborative filtering recommendation models for returning clients, and conversational AI chatbots for automated lead nurturing.</w:t>
      </w:r>
    </w:p>
    <w:p>
      <w:pPr>
        <w:spacing w:before="240" w:after="80"/>
      </w:pPr>
      <w:r>
        <w:rPr>
          <w:rFonts w:ascii="Times New Roman" w:hAnsi="Times New Roman"/>
          <w:b/>
          <w:sz w:val="21"/>
        </w:rPr>
        <w:t>REFERENCES</w:t>
      </w:r>
    </w:p>
    <w:p>
      <w:pPr>
        <w:spacing w:line="276" w:lineRule="auto" w:after="40"/>
        <w:ind w:left="360" w:hanging="360"/>
      </w:pPr>
      <w:r>
        <w:rPr>
          <w:rFonts w:ascii="Times New Roman" w:hAnsi="Times New Roman"/>
          <w:sz w:val="16"/>
        </w:rPr>
        <w:t>[1] M. S. Ferreira, J. Antão, R. Pereira, I. S. Bianchi, N. Tovma, and N. Shurenov, "Improving real estate CRM user experience and satisfaction: A user-centered design approach," Journal of Open Innovation: Technology, Market, and Complexity, vol. 9, no. 3, p. 100076, Sep. 2023. DOI: 10.1016/j.joitmc.2023.100076.</w:t>
      </w:r>
    </w:p>
    <w:p>
      <w:pPr>
        <w:spacing w:line="276" w:lineRule="auto" w:after="40"/>
        <w:ind w:left="360" w:hanging="360"/>
      </w:pPr>
      <w:r>
        <w:rPr>
          <w:rFonts w:ascii="Times New Roman" w:hAnsi="Times New Roman"/>
          <w:sz w:val="16"/>
        </w:rPr>
        <w:t>[2] N. H. Tien, R. J. S. Jose, B. R. Kuc, and L. P. Dana, "Customer care and customer relationship maintenance at Gamuda Land Celadon City real estate project in Vietnam," Turkish Journal of Computer and Mathematics Education, vol. 12, no. 14, pp. 4905–4915, 2021.</w:t>
      </w:r>
    </w:p>
    <w:p>
      <w:pPr>
        <w:spacing w:line="276" w:lineRule="auto" w:after="40"/>
        <w:ind w:left="360" w:hanging="360"/>
      </w:pPr>
      <w:r>
        <w:rPr>
          <w:rFonts w:ascii="Times New Roman" w:hAnsi="Times New Roman"/>
          <w:sz w:val="16"/>
        </w:rPr>
        <w:t>[3] B. Al-haimi, H. Khalid, N. H. Zakaria, and T. H. Jasimin, "Digital transformation in the real estate industry: A systematic literature review of current technologies, benefits, and challenges," International Journal of Information Management Data Insights, vol. 5, no. 1, p. 100340, May 2025. DOI: 10.1016/j.jjimei.2025.100340.</w:t>
      </w:r>
    </w:p>
    <w:p>
      <w:pPr>
        <w:spacing w:line="276" w:lineRule="auto" w:after="40"/>
        <w:ind w:left="360" w:hanging="360"/>
      </w:pPr>
      <w:r>
        <w:rPr>
          <w:rFonts w:ascii="Times New Roman" w:hAnsi="Times New Roman"/>
          <w:sz w:val="16"/>
        </w:rPr>
        <w:t>[4] A. Gharahighehi, K. Pliakos, and C. Vens, "Recommender systems in the real estate market—A survey," Applied Sciences, vol. 11, no. 16, p. 7502, Aug. 2021. DOI: 10.3390/app11167502.</w:t>
      </w:r>
    </w:p>
    <w:p>
      <w:pPr>
        <w:spacing w:line="276" w:lineRule="auto" w:after="40"/>
        <w:ind w:left="360" w:hanging="360"/>
      </w:pPr>
      <w:r>
        <w:rPr>
          <w:rFonts w:ascii="Times New Roman" w:hAnsi="Times New Roman"/>
          <w:sz w:val="16"/>
        </w:rPr>
        <w:t>[5] Venkatesh C., H. Oberoi, A. Goyal, and N. Sikka, "RE-RecSys: An end-to-end system for recommending properties in real-estate domain," in Proc. 7th Joint Int. Conf. Data Science &amp; Management of Data (CODS-COMAD 2024), Bangalore, India, Jan. 2024, arXiv:2404.16553.</w:t>
      </w:r>
    </w:p>
    <w:p>
      <w:pPr>
        <w:spacing w:line="276" w:lineRule="auto" w:after="40"/>
        <w:ind w:left="360" w:hanging="360"/>
      </w:pPr>
      <w:r>
        <w:rPr>
          <w:rFonts w:ascii="Times New Roman" w:hAnsi="Times New Roman"/>
          <w:sz w:val="16"/>
        </w:rPr>
        <w:t>[6] A. Jayaweera and M. U. Farooq, "Leveraging AI-driven digital marketing strategies to automate the lead generation mechanism of the real estate industry in the United States," International Journal of Managing Information Technology (IJMIT), York St John University, UK, 2024.</w:t>
      </w:r>
    </w:p>
    <w:p>
      <w:pPr>
        <w:spacing w:line="276" w:lineRule="auto" w:after="40"/>
        <w:ind w:left="360" w:hanging="360"/>
      </w:pPr>
      <w:r>
        <w:rPr>
          <w:rFonts w:ascii="Times New Roman" w:hAnsi="Times New Roman"/>
          <w:sz w:val="16"/>
        </w:rPr>
        <w:t>[7] C. Lan and X. Yu, "Revenue sharing-commission coordination contract for community group buying supply chain considering promotion effort," Alexandria Engineering Journal, vol. 61, pp. 2739–2748, 2022.</w:t>
      </w:r>
    </w:p>
    <w:p>
      <w:pPr>
        <w:spacing w:line="276" w:lineRule="auto" w:after="40"/>
        <w:ind w:left="360" w:hanging="360"/>
      </w:pPr>
      <w:r>
        <w:rPr>
          <w:rFonts w:ascii="Times New Roman" w:hAnsi="Times New Roman"/>
          <w:sz w:val="16"/>
        </w:rPr>
        <w:t>[8] P. De Giovanni and M. Roselli, "Overcoming the drawbacks of a revenue-sharing contract through a support program," Annals of Operations Research, vol. 196, pp. 201–222, 2012.</w:t>
      </w:r>
    </w:p>
    <w:p>
      <w:pPr>
        <w:spacing w:line="276" w:lineRule="auto" w:after="40"/>
        <w:ind w:left="360" w:hanging="360"/>
      </w:pPr>
      <w:r>
        <w:rPr>
          <w:rFonts w:ascii="Times New Roman" w:hAnsi="Times New Roman"/>
          <w:sz w:val="16"/>
        </w:rPr>
        <w:t>[9] R. Korsakienė, V. Tvaronavičius, and A. Mačiulis, "Customer relationship management in real estate companies: The research of advantages and restrictive factors," Verslas: Teorija ir Praktika (Business: Theory and Practice), vol. 9, no. 3, pp. 190–198, 2008. DOI: 10.3846/1648-0627.2008.9.190-198.</w:t>
      </w:r>
    </w:p>
    <w:p>
      <w:pPr>
        <w:spacing w:line="276" w:lineRule="auto" w:after="40"/>
        <w:ind w:left="360" w:hanging="360"/>
      </w:pPr>
      <w:r>
        <w:rPr>
          <w:rFonts w:ascii="Times New Roman" w:hAnsi="Times New Roman"/>
          <w:sz w:val="16"/>
        </w:rPr>
        <w:t>[10] S. Ramirez, T. Anderson, and J. Patel, "Performance benchmarking of modern asynchronous web frameworks: FastAPI vs. traditional WSGI implementations," in Proc. IEEE Int. Conf. Cloud Eng. (IC2E), 2022, pp. 88–95. DOI: 10.1109/IC2E55536.2022.00018.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