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5C54"/>
        </w:rPr>
        <w:t>Coverline OS — Live Test Guide (v2)</w:t>
      </w:r>
    </w:p>
    <w:p>
      <w:r>
        <w:rPr>
          <w:i/>
        </w:rPr>
        <w:t>One account, Briarcliff Electrical Contractors LLC, one clean path through all 10 workflows. Every email below has its own distinct subject line so you can always tell which one is for which step. Every step was checked against the real backend code before being written down.</w:t>
      </w:r>
    </w:p>
    <w:p>
      <w:r>
        <w:br w:type="page"/>
      </w:r>
    </w:p>
    <w:p>
      <w:pPr>
        <w:pStyle w:val="Heading1"/>
      </w:pPr>
      <w:r>
        <w:t>Before you start</w:t>
      </w:r>
    </w:p>
    <w:p>
      <w:r>
        <w:t>1. Confirm the backend is stopped, then tell your assistant — it resets the database to empty and re-creates only the two login accounts: manager.j@gmail.com (junior) and manager.s@gmail.com (senior). No old submissions or test data will remain.</w:t>
      </w:r>
    </w:p>
    <w:p>
      <w:r>
        <w:t>2. Restart the backend yourself the way you normally do.</w:t>
      </w:r>
    </w:p>
    <w:p>
      <w:r>
        <w:t>3. Open the app in two browser windows (or one normal + one incognito) — log into one as manager.j@gmail.com (junior), the other as manager.s@gmail.com (senior).</w:t>
      </w:r>
    </w:p>
    <w:p>
      <w:r>
        <w:t>4. For every email below: copy the Subject and body exactly as written into a real Gmail message from your connected account, attach PDFs where noted, and send it. Then use the “Check live inbox” / “Check live submission” button on that workflow's screen to pick it up — it searches by named insured, which is why every subject line below keeps “Briarcliff Electrical Contractors LLC” in it even though the rest of each subject is different.</w:t>
      </w:r>
    </w:p>
    <w:p>
      <w:pPr>
        <w:pStyle w:val="Heading2"/>
      </w:pPr>
      <w:r>
        <w:t>The test account</w:t>
      </w:r>
    </w:p>
    <w:tbl>
      <w:tblPr>
        <w:tblStyle w:val="LightGrid-Accent1"/>
        <w:tblW w:type="auto" w:w="0"/>
        <w:tblLook w:firstColumn="1" w:firstRow="1" w:lastColumn="0" w:lastRow="0" w:noHBand="0" w:noVBand="1" w:val="04A0"/>
      </w:tblPr>
      <w:tblGrid>
        <w:gridCol w:w="4320"/>
        <w:gridCol w:w="4320"/>
      </w:tblGrid>
      <w:tr>
        <w:tc>
          <w:tcPr>
            <w:tcW w:type="dxa" w:w="4320"/>
          </w:tcPr>
          <w:p>
            <w:r>
              <w:t>Named insured</w:t>
            </w:r>
          </w:p>
        </w:tc>
        <w:tc>
          <w:tcPr>
            <w:tcW w:type="dxa" w:w="4320"/>
          </w:tcPr>
          <w:p>
            <w:r>
              <w:t>Briarcliff Electrical Contractors LLC</w:t>
            </w:r>
          </w:p>
        </w:tc>
      </w:tr>
      <w:tr>
        <w:tc>
          <w:tcPr>
            <w:tcW w:type="dxa" w:w="4320"/>
          </w:tcPr>
          <w:p>
            <w:r>
              <w:t>Class code</w:t>
            </w:r>
          </w:p>
        </w:tc>
        <w:tc>
          <w:tcPr>
            <w:tcW w:type="dxa" w:w="4320"/>
          </w:tcPr>
          <w:p>
            <w:r>
              <w:t>contractors - electrical</w:t>
            </w:r>
          </w:p>
        </w:tc>
      </w:tr>
      <w:tr>
        <w:tc>
          <w:tcPr>
            <w:tcW w:type="dxa" w:w="4320"/>
          </w:tcPr>
          <w:p>
            <w:r>
              <w:t>State</w:t>
            </w:r>
          </w:p>
        </w:tc>
        <w:tc>
          <w:tcPr>
            <w:tcW w:type="dxa" w:w="4320"/>
          </w:tcPr>
          <w:p>
            <w:r>
              <w:t>South Carolina (SC)</w:t>
            </w:r>
          </w:p>
        </w:tc>
      </w:tr>
      <w:tr>
        <w:tc>
          <w:tcPr>
            <w:tcW w:type="dxa" w:w="4320"/>
          </w:tcPr>
          <w:p>
            <w:r>
              <w:t>Indicated premium</w:t>
            </w:r>
          </w:p>
        </w:tc>
        <w:tc>
          <w:tcPr>
            <w:tcW w:type="dxa" w:w="4320"/>
          </w:tcPr>
          <w:p>
            <w:r>
              <w:t>$45,000</w:t>
            </w:r>
          </w:p>
        </w:tc>
      </w:tr>
      <w:tr>
        <w:tc>
          <w:tcPr>
            <w:tcW w:type="dxa" w:w="4320"/>
          </w:tcPr>
          <w:p>
            <w:r>
              <w:t>Loss run</w:t>
            </w:r>
          </w:p>
        </w:tc>
        <w:tc>
          <w:tcPr>
            <w:tcW w:type="dxa" w:w="4320"/>
          </w:tcPr>
          <w:p>
            <w:r>
              <w:t>3 years provided, 2 closed claims</w:t>
            </w:r>
          </w:p>
        </w:tc>
      </w:tr>
      <w:tr>
        <w:tc>
          <w:tcPr>
            <w:tcW w:type="dxa" w:w="4320"/>
          </w:tcPr>
          <w:p>
            <w:r>
              <w:t>Largest single claim</w:t>
            </w:r>
          </w:p>
        </w:tc>
        <w:tc>
          <w:tcPr>
            <w:tcW w:type="dxa" w:w="4320"/>
          </w:tcPr>
          <w:p>
            <w:r>
              <w:t>$18,500</w:t>
            </w:r>
          </w:p>
        </w:tc>
      </w:tr>
    </w:tbl>
    <w:p/>
    <w:p>
      <w:pPr>
        <w:ind w:left="227"/>
      </w:pPr>
      <w:r>
        <w:rPr>
          <w:i/>
          <w:color w:val="585E66"/>
          <w:sz w:val="20"/>
        </w:rPr>
        <w:t>ℹ The 3 PDFs you need (acord_application.pdf, loss_run.pdf, financial_statement.pdf) are in this SAME folder — attach them straight from here for the Workflow 1 email. Keep the filenames exactly as they are.</w:t>
      </w:r>
    </w:p>
    <w:p>
      <w:r>
        <w:br w:type="page"/>
      </w:r>
    </w:p>
    <w:p>
      <w:pPr>
        <w:pStyle w:val="Heading1"/>
      </w:pPr>
      <w:r>
        <w:t>Workflow 1 — Submission Market Matching</w:t>
      </w:r>
    </w:p>
    <w:p>
      <w:r>
        <w:t>Needs a live email — see below.</w:t>
      </w:r>
    </w:p>
    <w:p>
      <w:r>
        <w:rPr>
          <w:b/>
        </w:rPr>
        <w:t>Send this email (attach all 3 PDFs from this folder):</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New Submission - Briarcliff Electrical Contractors LLC</w:t>
            </w:r>
          </w:p>
          <w:p>
            <w:r>
              <w:rPr>
                <w:rFonts w:ascii="Consolas" w:hAnsi="Consolas"/>
                <w:sz w:val="19"/>
              </w:rPr>
              <w:t>Hi team,</w:t>
            </w:r>
          </w:p>
          <w:p>
            <w:r>
              <w:rPr>
                <w:rFonts w:ascii="Consolas" w:hAnsi="Consolas"/>
                <w:sz w:val="19"/>
              </w:rPr>
              <w:t xml:space="preserve"> </w:t>
            </w:r>
          </w:p>
          <w:p>
            <w:r>
              <w:rPr>
                <w:rFonts w:ascii="Consolas" w:hAnsi="Consolas"/>
                <w:sz w:val="19"/>
              </w:rPr>
              <w:t>Please see the attached ACORD application, 3-year loss run, and financial statement for Briarcliff Electrical Contractors LLC, a South Carolina electrical contractor looking for General Liability coverage. Indicated premium target is $45,000, effective 09/01/2027.</w:t>
            </w:r>
          </w:p>
          <w:p>
            <w:r>
              <w:rPr>
                <w:rFonts w:ascii="Consolas" w:hAnsi="Consolas"/>
                <w:sz w:val="19"/>
              </w:rPr>
              <w:t xml:space="preserve"> </w:t>
            </w:r>
          </w:p>
          <w:p>
            <w:r>
              <w:rPr>
                <w:rFonts w:ascii="Consolas" w:hAnsi="Consolas"/>
                <w:sz w:val="19"/>
              </w:rPr>
              <w:t>Let me know which markets look like a fit.</w:t>
            </w:r>
          </w:p>
          <w:p>
            <w:r>
              <w:rPr>
                <w:rFonts w:ascii="Consolas" w:hAnsi="Consolas"/>
                <w:sz w:val="19"/>
              </w:rPr>
              <w:t xml:space="preserve"> </w:t>
            </w:r>
          </w:p>
          <w:p>
            <w:r>
              <w:rPr>
                <w:rFonts w:ascii="Consolas" w:hAnsi="Consolas"/>
                <w:sz w:val="19"/>
              </w:rPr>
              <w:t>Thanks,</w:t>
            </w:r>
          </w:p>
          <w:p>
            <w:r>
              <w:rPr>
                <w:rFonts w:ascii="Consolas" w:hAnsi="Consolas"/>
                <w:sz w:val="19"/>
              </w:rPr>
              <w:t>Retail Agent</w:t>
            </w:r>
          </w:p>
        </w:tc>
      </w:tr>
    </w:tbl>
    <w:p/>
    <w:p>
      <w:r>
        <w:t>1. Confirm Gmail is connected in Settings.</w:t>
      </w:r>
    </w:p>
    <w:p>
      <w:r>
        <w:t>2. Open Submission Market Matching, click “Check live inbox,” pick up the message above.</w:t>
      </w:r>
    </w:p>
    <w:p>
      <w:r>
        <w:t>3. Confirm the ranked list and exclusions match the table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Carrier</w:t>
            </w:r>
          </w:p>
        </w:tc>
        <w:tc>
          <w:tcPr>
            <w:tcW w:type="dxa" w:w="2880"/>
          </w:tcPr>
          <w:p>
            <w:r>
              <w:t>Result</w:t>
            </w:r>
          </w:p>
        </w:tc>
        <w:tc>
          <w:tcPr>
            <w:tcW w:type="dxa" w:w="2880"/>
          </w:tcPr>
          <w:p>
            <w:r>
              <w:t>Note</w:t>
            </w:r>
          </w:p>
        </w:tc>
      </w:tr>
      <w:tr>
        <w:tc>
          <w:tcPr>
            <w:tcW w:type="dxa" w:w="2880"/>
          </w:tcPr>
          <w:p>
            <w:r>
              <w:t>Ironclad Casualty Solutions</w:t>
            </w:r>
          </w:p>
        </w:tc>
        <w:tc>
          <w:tcPr>
            <w:tcW w:type="dxa" w:w="2880"/>
          </w:tcPr>
          <w:p>
            <w:r>
              <w:t>#1, highest score</w:t>
            </w:r>
          </w:p>
        </w:tc>
        <w:tc>
          <w:tcPr>
            <w:tcW w:type="dxa" w:w="2880"/>
          </w:tcPr>
          <w:p>
            <w:r>
              <w:t>Fully complete, no flags</w:t>
            </w:r>
          </w:p>
        </w:tc>
      </w:tr>
      <w:tr>
        <w:tc>
          <w:tcPr>
            <w:tcW w:type="dxa" w:w="2880"/>
          </w:tcPr>
          <w:p>
            <w:r>
              <w:t>Meridian Excess &amp; Surplus</w:t>
            </w:r>
          </w:p>
        </w:tc>
        <w:tc>
          <w:tcPr>
            <w:tcW w:type="dxa" w:w="2880"/>
          </w:tcPr>
          <w:p>
            <w:r>
              <w:t>#2</w:t>
            </w:r>
          </w:p>
        </w:tc>
        <w:tc>
          <w:tcPr>
            <w:tcW w:type="dxa" w:w="2880"/>
          </w:tcPr>
          <w:p>
            <w:r>
              <w:t>Flag: needs 2 more years of loss run</w:t>
            </w:r>
          </w:p>
        </w:tc>
      </w:tr>
      <w:tr>
        <w:tc>
          <w:tcPr>
            <w:tcW w:type="dxa" w:w="2880"/>
          </w:tcPr>
          <w:p>
            <w:r>
              <w:t>Palmetto Specialty Underwriters</w:t>
            </w:r>
          </w:p>
        </w:tc>
        <w:tc>
          <w:tcPr>
            <w:tcW w:type="dxa" w:w="2880"/>
          </w:tcPr>
          <w:p>
            <w:r>
              <w:t>#3</w:t>
            </w:r>
          </w:p>
        </w:tc>
        <w:tc>
          <w:tcPr>
            <w:tcW w:type="dxa" w:w="2880"/>
          </w:tcPr>
          <w:p>
            <w:r>
              <w:t>Flag: needs 2 more years + a supplemental questionnaire</w:t>
            </w:r>
          </w:p>
        </w:tc>
      </w:tr>
      <w:tr>
        <w:tc>
          <w:tcPr>
            <w:tcW w:type="dxa" w:w="2880"/>
          </w:tcPr>
          <w:p>
            <w:r>
              <w:t>Apex Excess Lines</w:t>
            </w:r>
          </w:p>
        </w:tc>
        <w:tc>
          <w:tcPr>
            <w:tcW w:type="dxa" w:w="2880"/>
          </w:tcPr>
          <w:p>
            <w:r>
              <w:t>#4</w:t>
            </w:r>
          </w:p>
        </w:tc>
        <w:tc>
          <w:tcPr>
            <w:tcW w:type="dxa" w:w="2880"/>
          </w:tcPr>
          <w:p>
            <w:r>
              <w:t>Flag: near its $50K premium ceiling</w:t>
            </w:r>
          </w:p>
        </w:tc>
      </w:tr>
      <w:tr>
        <w:tc>
          <w:tcPr>
            <w:tcW w:type="dxa" w:w="2880"/>
          </w:tcPr>
          <w:p>
            <w:r>
              <w:t>Coastal Mutual Specialty</w:t>
            </w:r>
          </w:p>
        </w:tc>
        <w:tc>
          <w:tcPr>
            <w:tcW w:type="dxa" w:w="2880"/>
          </w:tcPr>
          <w:p>
            <w:r>
              <w:t>EXCLUDED</w:t>
            </w:r>
          </w:p>
        </w:tc>
        <w:tc>
          <w:tcPr>
            <w:tcW w:type="dxa" w:w="2880"/>
          </w:tcPr>
          <w:p>
            <w:r>
              <w:t>Excludes all contractor classes</w:t>
            </w:r>
          </w:p>
        </w:tc>
      </w:tr>
      <w:tr>
        <w:tc>
          <w:tcPr>
            <w:tcW w:type="dxa" w:w="2880"/>
          </w:tcPr>
          <w:p>
            <w:r>
              <w:t>Vantage Excess Partners</w:t>
            </w:r>
          </w:p>
        </w:tc>
        <w:tc>
          <w:tcPr>
            <w:tcW w:type="dxa" w:w="2880"/>
          </w:tcPr>
          <w:p>
            <w:r>
              <w:t>EXCLUDED</w:t>
            </w:r>
          </w:p>
        </w:tc>
        <w:tc>
          <w:tcPr>
            <w:tcW w:type="dxa" w:w="2880"/>
          </w:tcPr>
          <w:p>
            <w:r>
              <w:t>Class not in its accepted appetite</w:t>
            </w:r>
          </w:p>
        </w:tc>
      </w:tr>
    </w:tbl>
    <w:p/>
    <w:p>
      <w:pPr>
        <w:ind w:left="227"/>
      </w:pPr>
      <w:r>
        <w:rPr>
          <w:i/>
          <w:color w:val="585E66"/>
          <w:sz w:val="20"/>
        </w:rPr>
        <w:t>ℹ Diligent search should show: 3 admitted-market declinations on file, compliant.</w:t>
      </w:r>
    </w:p>
    <w:p>
      <w:r>
        <w:rPr>
          <w:i/>
          <w:color w:val="585E66"/>
          <w:sz w:val="20"/>
        </w:rPr>
        <w:t>Roles: Senior: Approve, Override, Send, Issue all succeed. Junior: Approve succeeds (premium is under the $150K cap); Override/Send/Issue each come back 403 Forbidden.</w:t>
      </w:r>
    </w:p>
    <w:p>
      <w:r>
        <w:br w:type="page"/>
      </w:r>
    </w:p>
    <w:p>
      <w:pPr>
        <w:pStyle w:val="Heading1"/>
      </w:pPr>
      <w:r>
        <w:t>Workflow 2 — Package Assembly</w:t>
      </w:r>
    </w:p>
    <w:p>
      <w:r>
        <w:t>No email needed for this one.</w:t>
      </w:r>
    </w:p>
    <w:p>
      <w:r>
        <w:t>Consumes Workflow 1's ranked list directly.</w:t>
      </w:r>
    </w:p>
    <w:p>
      <w:pPr>
        <w:ind w:left="227"/>
      </w:pPr>
      <w:r>
        <w:rPr>
          <w:i/>
          <w:color w:val="A9761F"/>
          <w:sz w:val="20"/>
        </w:rPr>
        <w:t>⚠ Real behavior to know: clicking “Assemble from this selection” packages EVERY matched carrier (all 4), regardless of which ones you check — the checkboxes are currently cosmetic for this button. Not a bug you need to fix, just expect all 4 to appear.</w:t>
      </w:r>
    </w:p>
    <w:p>
      <w:r>
        <w:t>1. Open Package Assembly, click “Assemble from this selection.”</w:t>
      </w:r>
    </w:p>
    <w:p>
      <w:r>
        <w:t>2. Ironclad, Meridian, and Apex should all come back READY. (Note: Meridian is genuinely missing 2 years of loss run per Market Matching's own ranking, but Package Assembly's own document check only verifies a loss-run document EXISTS, not how many years it covers — so it doesn't catch that gap here. Real product quirk, not something to fix.)</w:t>
      </w:r>
    </w:p>
    <w:p>
      <w:r>
        <w:t>3. Palmetto will show BLOCKED — real and expected, it's missing a supplemental questionnaire this system has no way to ever collect.</w:t>
      </w:r>
    </w:p>
    <w:p>
      <w:r>
        <w:t>4. On Ironclad's package: review the drafted cover letter, then click Approve and Send.</w:t>
      </w:r>
    </w:p>
    <w:p>
      <w:r>
        <w:t>5. Click “Check for carrier response” at the bottom of Ironclad's card — this is how you reach Quote Comparison with the right submission already attached (visiting Quote Comparison directly leaves its “Check live inbox” button disabled).</w:t>
      </w:r>
    </w:p>
    <w:p>
      <w:r>
        <w:rPr>
          <w:i/>
          <w:color w:val="585E66"/>
          <w:sz w:val="20"/>
        </w:rPr>
        <w:t>Roles: Senior: Approve and Send both succeed. Junior: Approve succeeds, Send comes back 403 Forbidden.</w:t>
      </w:r>
    </w:p>
    <w:p>
      <w:r>
        <w:br w:type="page"/>
      </w:r>
    </w:p>
    <w:p>
      <w:pPr>
        <w:pStyle w:val="Heading1"/>
      </w:pPr>
      <w:r>
        <w:t>Workflow 3 — Retail Agent Communication</w:t>
      </w:r>
    </w:p>
    <w:p>
      <w:r>
        <w:t>No email needed for this one.</w:t>
      </w:r>
    </w:p>
    <w:p>
      <w:r>
        <w:t>This workflow drafts emails to the retail agent — it doesn't need one sent to it. Approving/sending Ironclad's package in Workflow 2 should already have generated a draft here automatically.</w:t>
      </w:r>
    </w:p>
    <w:p>
      <w:r>
        <w:t>1. Open Retail Agent Communication — find the draft tied to Briarcliff.</w:t>
      </w:r>
    </w:p>
    <w:p>
      <w:r>
        <w:t>2. Review it — confirm it's grounded in Briarcliff's real data, not generic text.</w:t>
      </w:r>
    </w:p>
    <w:p>
      <w:r>
        <w:t>3. Click Approve, then Send.</w:t>
      </w:r>
    </w:p>
    <w:p>
      <w:r>
        <w:rPr>
          <w:i/>
          <w:color w:val="585E66"/>
          <w:sz w:val="20"/>
        </w:rPr>
        <w:t>Roles: Senior: Approve and Send succeed. Junior: Approve succeeds, Send comes back 403 Forbidden.</w:t>
      </w:r>
    </w:p>
    <w:p>
      <w:r>
        <w:br w:type="page"/>
      </w:r>
    </w:p>
    <w:p>
      <w:pPr>
        <w:pStyle w:val="Heading1"/>
      </w:pPr>
      <w:r>
        <w:t>Workflow 4 — Quote Comparison</w:t>
      </w:r>
    </w:p>
    <w:p>
      <w:r>
        <w:t>Needs a live email — see below.</w:t>
      </w:r>
    </w:p>
    <w:p>
      <w:r>
        <w:t>Send these 3 emails, each with its own distinct subject (all still contain “Briarcliff Electrical Contractors LLC” so the search finds them).</w:t>
      </w:r>
    </w:p>
    <w:p>
      <w:r>
        <w:rPr>
          <w:b/>
        </w:rPr>
        <w:t>1) Ironclad — quote:</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Quote from Ironclad</w:t>
            </w:r>
          </w:p>
          <w:p>
            <w:r>
              <w:rPr>
                <w:rFonts w:ascii="Consolas" w:hAnsi="Consolas"/>
                <w:sz w:val="19"/>
              </w:rPr>
              <w:t>Thank you for the opportunity to quote Briarcliff Electrical Contractors LLC. We are pleased to offer the following terms:</w:t>
            </w:r>
          </w:p>
          <w:p>
            <w:r>
              <w:rPr>
                <w:rFonts w:ascii="Consolas" w:hAnsi="Consolas"/>
                <w:sz w:val="19"/>
              </w:rPr>
              <w:t xml:space="preserve"> </w:t>
            </w:r>
          </w:p>
          <w:p>
            <w:r>
              <w:rPr>
                <w:rFonts w:ascii="Consolas" w:hAnsi="Consolas"/>
                <w:sz w:val="19"/>
              </w:rPr>
              <w:t>Premium: $44,000</w:t>
            </w:r>
          </w:p>
          <w:p>
            <w:r>
              <w:rPr>
                <w:rFonts w:ascii="Consolas" w:hAnsi="Consolas"/>
                <w:sz w:val="19"/>
              </w:rPr>
              <w:t>General Liability: $1,000,000 per occurrence / $2,000,000 aggregate</w:t>
            </w:r>
          </w:p>
          <w:p>
            <w:r>
              <w:rPr>
                <w:rFonts w:ascii="Consolas" w:hAnsi="Consolas"/>
                <w:sz w:val="19"/>
              </w:rPr>
              <w:t>Deductible: $5,000</w:t>
            </w:r>
          </w:p>
          <w:p>
            <w:r>
              <w:rPr>
                <w:rFonts w:ascii="Consolas" w:hAnsi="Consolas"/>
                <w:sz w:val="19"/>
              </w:rPr>
              <w:t>Additional Insured endorsement: included blanket</w:t>
            </w:r>
          </w:p>
          <w:p>
            <w:r>
              <w:rPr>
                <w:rFonts w:ascii="Consolas" w:hAnsi="Consolas"/>
                <w:sz w:val="19"/>
              </w:rPr>
              <w:t>Waiver of subrogation endorsement: included blanket</w:t>
            </w:r>
          </w:p>
          <w:p>
            <w:r>
              <w:rPr>
                <w:rFonts w:ascii="Consolas" w:hAnsi="Consolas"/>
                <w:sz w:val="19"/>
              </w:rPr>
              <w:t xml:space="preserve"> </w:t>
            </w:r>
          </w:p>
          <w:p>
            <w:r>
              <w:rPr>
                <w:rFonts w:ascii="Consolas" w:hAnsi="Consolas"/>
                <w:sz w:val="19"/>
              </w:rPr>
              <w:t>Subject to: Signed application</w:t>
            </w:r>
          </w:p>
          <w:p>
            <w:r>
              <w:rPr>
                <w:rFonts w:ascii="Consolas" w:hAnsi="Consolas"/>
                <w:sz w:val="19"/>
              </w:rPr>
              <w:t xml:space="preserve"> </w:t>
            </w:r>
          </w:p>
          <w:p>
            <w:r>
              <w:rPr>
                <w:rFonts w:ascii="Consolas" w:hAnsi="Consolas"/>
                <w:sz w:val="19"/>
              </w:rPr>
              <w:t>Quote valid through: 09/15/2027</w:t>
            </w:r>
          </w:p>
          <w:p>
            <w:r>
              <w:rPr>
                <w:rFonts w:ascii="Consolas" w:hAnsi="Consolas"/>
                <w:sz w:val="19"/>
              </w:rPr>
              <w:t>Effective Date: 09/01/2027</w:t>
            </w:r>
          </w:p>
          <w:p>
            <w:r>
              <w:rPr>
                <w:rFonts w:ascii="Consolas" w:hAnsi="Consolas"/>
                <w:sz w:val="19"/>
              </w:rPr>
              <w:t xml:space="preserve"> </w:t>
            </w:r>
          </w:p>
          <w:p>
            <w:r>
              <w:rPr>
                <w:rFonts w:ascii="Consolas" w:hAnsi="Consolas"/>
                <w:sz w:val="19"/>
              </w:rPr>
              <w:t>We look forward to working with you.</w:t>
            </w:r>
          </w:p>
          <w:p>
            <w:r>
              <w:rPr>
                <w:rFonts w:ascii="Consolas" w:hAnsi="Consolas"/>
                <w:sz w:val="19"/>
              </w:rPr>
              <w:t xml:space="preserve"> </w:t>
            </w:r>
          </w:p>
          <w:p>
            <w:r>
              <w:rPr>
                <w:rFonts w:ascii="Consolas" w:hAnsi="Consolas"/>
                <w:sz w:val="19"/>
              </w:rPr>
              <w:t>Ironclad Casualty Solutions</w:t>
            </w:r>
          </w:p>
          <w:p>
            <w:r>
              <w:rPr>
                <w:rFonts w:ascii="Consolas" w:hAnsi="Consolas"/>
                <w:sz w:val="19"/>
              </w:rPr>
              <w:t>Underwriting Team</w:t>
            </w:r>
          </w:p>
        </w:tc>
      </w:tr>
    </w:tbl>
    <w:p/>
    <w:p>
      <w:r>
        <w:rPr>
          <w:b/>
        </w:rPr>
        <w:t>2) Meridian — quote:</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Quote from Meridian</w:t>
            </w:r>
          </w:p>
          <w:p>
            <w:r>
              <w:rPr>
                <w:rFonts w:ascii="Consolas" w:hAnsi="Consolas"/>
                <w:sz w:val="19"/>
              </w:rPr>
              <w:t>Thank you for considering Meridian Excess &amp; Surplus for this account. We are pleased to offer the following terms:</w:t>
            </w:r>
          </w:p>
          <w:p>
            <w:r>
              <w:rPr>
                <w:rFonts w:ascii="Consolas" w:hAnsi="Consolas"/>
                <w:sz w:val="19"/>
              </w:rPr>
              <w:t xml:space="preserve"> </w:t>
            </w:r>
          </w:p>
          <w:p>
            <w:r>
              <w:rPr>
                <w:rFonts w:ascii="Consolas" w:hAnsi="Consolas"/>
                <w:sz w:val="19"/>
              </w:rPr>
              <w:t>Premium: $52,000</w:t>
            </w:r>
          </w:p>
          <w:p>
            <w:r>
              <w:rPr>
                <w:rFonts w:ascii="Consolas" w:hAnsi="Consolas"/>
                <w:sz w:val="19"/>
              </w:rPr>
              <w:t>General Liability: $1,000,000 per occurrence / $2,000,000 aggregate</w:t>
            </w:r>
          </w:p>
          <w:p>
            <w:r>
              <w:rPr>
                <w:rFonts w:ascii="Consolas" w:hAnsi="Consolas"/>
                <w:sz w:val="19"/>
              </w:rPr>
              <w:t>Deductible: $10,000</w:t>
            </w:r>
          </w:p>
          <w:p>
            <w:r>
              <w:rPr>
                <w:rFonts w:ascii="Consolas" w:hAnsi="Consolas"/>
                <w:sz w:val="19"/>
              </w:rPr>
              <w:t>Additional Insured endorsement: additional premium</w:t>
            </w:r>
          </w:p>
          <w:p>
            <w:r>
              <w:rPr>
                <w:rFonts w:ascii="Consolas" w:hAnsi="Consolas"/>
                <w:sz w:val="19"/>
              </w:rPr>
              <w:t xml:space="preserve"> </w:t>
            </w:r>
          </w:p>
          <w:p>
            <w:r>
              <w:rPr>
                <w:rFonts w:ascii="Consolas" w:hAnsi="Consolas"/>
                <w:sz w:val="19"/>
              </w:rPr>
              <w:t>Subject to: Additional 2 years of loss run history to be provided prior to binding</w:t>
            </w:r>
          </w:p>
          <w:p>
            <w:r>
              <w:rPr>
                <w:rFonts w:ascii="Consolas" w:hAnsi="Consolas"/>
                <w:sz w:val="19"/>
              </w:rPr>
              <w:t xml:space="preserve"> </w:t>
            </w:r>
          </w:p>
          <w:p>
            <w:r>
              <w:rPr>
                <w:rFonts w:ascii="Consolas" w:hAnsi="Consolas"/>
                <w:sz w:val="19"/>
              </w:rPr>
              <w:t>Quote valid through: 09/10/2027</w:t>
            </w:r>
          </w:p>
          <w:p>
            <w:r>
              <w:rPr>
                <w:rFonts w:ascii="Consolas" w:hAnsi="Consolas"/>
                <w:sz w:val="19"/>
              </w:rPr>
              <w:t>Effective Date: 09/01/2027</w:t>
            </w:r>
          </w:p>
          <w:p>
            <w:r>
              <w:rPr>
                <w:rFonts w:ascii="Consolas" w:hAnsi="Consolas"/>
                <w:sz w:val="19"/>
              </w:rPr>
              <w:t xml:space="preserve"> </w:t>
            </w:r>
          </w:p>
          <w:p>
            <w:r>
              <w:rPr>
                <w:rFonts w:ascii="Consolas" w:hAnsi="Consolas"/>
                <w:sz w:val="19"/>
              </w:rPr>
              <w:t>Meridian Excess &amp; Surplus</w:t>
            </w:r>
          </w:p>
          <w:p>
            <w:r>
              <w:rPr>
                <w:rFonts w:ascii="Consolas" w:hAnsi="Consolas"/>
                <w:sz w:val="19"/>
              </w:rPr>
              <w:t>Underwriting Team</w:t>
            </w:r>
          </w:p>
        </w:tc>
      </w:tr>
    </w:tbl>
    <w:p/>
    <w:p>
      <w:r>
        <w:rPr>
          <w:b/>
        </w:rPr>
        <w:t>3) Palmetto — decline:</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Response from Palmetto</w:t>
            </w:r>
          </w:p>
          <w:p>
            <w:r>
              <w:rPr>
                <w:rFonts w:ascii="Consolas" w:hAnsi="Consolas"/>
                <w:sz w:val="19"/>
              </w:rPr>
              <w:t>Thank you for considering Palmetto Specialty Underwriters for this account. After underwriting review, we regret to inform you that we are unable to offer terms at this time. The submission is missing our required supplemental contractor questionnaire and 2 additional years of loss run history, which we'd need before reconsidering this risk.</w:t>
            </w:r>
          </w:p>
          <w:p>
            <w:r>
              <w:rPr>
                <w:rFonts w:ascii="Consolas" w:hAnsi="Consolas"/>
                <w:sz w:val="19"/>
              </w:rPr>
              <w:t xml:space="preserve"> </w:t>
            </w:r>
          </w:p>
          <w:p>
            <w:r>
              <w:rPr>
                <w:rFonts w:ascii="Consolas" w:hAnsi="Consolas"/>
                <w:sz w:val="19"/>
              </w:rPr>
              <w:t>Please feel free to resubmit once that information is available.</w:t>
            </w:r>
          </w:p>
          <w:p>
            <w:r>
              <w:rPr>
                <w:rFonts w:ascii="Consolas" w:hAnsi="Consolas"/>
                <w:sz w:val="19"/>
              </w:rPr>
              <w:t xml:space="preserve"> </w:t>
            </w:r>
          </w:p>
          <w:p>
            <w:r>
              <w:rPr>
                <w:rFonts w:ascii="Consolas" w:hAnsi="Consolas"/>
                <w:sz w:val="19"/>
              </w:rPr>
              <w:t>Palmetto Specialty Underwriters</w:t>
            </w:r>
          </w:p>
          <w:p>
            <w:r>
              <w:rPr>
                <w:rFonts w:ascii="Consolas" w:hAnsi="Consolas"/>
                <w:sz w:val="19"/>
              </w:rPr>
              <w:t>Underwriting Team</w:t>
            </w:r>
          </w:p>
        </w:tc>
      </w:tr>
    </w:tbl>
    <w:p/>
    <w:p>
      <w:r>
        <w:t>1. Send all three, then “Check live inbox” on Quote Comparison and pick up each one (in any order).</w:t>
      </w:r>
    </w:p>
    <w:p>
      <w:r>
        <w:t>2. Confirm carrier names read correctly (Ironclad Casualty Solutions, Meridian Excess &amp; Surplus, Palmetto Specialty Underwriters) — not “Gmail.”</w:t>
      </w:r>
    </w:p>
    <w:p>
      <w:r>
        <w:t>3. Confirm Ironclad's “Signed application” subjectivity shows as ROUTINE.</w:t>
      </w:r>
    </w:p>
    <w:p>
      <w:r>
        <w:t>4. Confirm Palmetto's decline shows a real extracted reason, no dollar figure (none was stated).</w:t>
      </w:r>
    </w:p>
    <w:p>
      <w:r>
        <w:t>5. Click “Present this quote” on Ironclad's row to select it.</w:t>
      </w:r>
    </w:p>
    <w:p>
      <w:r>
        <w:rPr>
          <w:i/>
          <w:color w:val="585E66"/>
          <w:sz w:val="20"/>
        </w:rPr>
        <w:t>Roles: Approve succeeds for both roles — no senior-only action on this workflow.</w:t>
      </w:r>
    </w:p>
    <w:p>
      <w:r>
        <w:br w:type="page"/>
      </w:r>
    </w:p>
    <w:p>
      <w:pPr>
        <w:pStyle w:val="Heading1"/>
      </w:pPr>
      <w:r>
        <w:t>Workflow 5 — Binder &amp; Policy Issuance</w:t>
      </w:r>
    </w:p>
    <w:p>
      <w:r>
        <w:t>Needs a live email — see below.</w:t>
      </w:r>
    </w:p>
    <w:p>
      <w:r>
        <w:t>Starts from the Ironclad quote you just selected.</w:t>
      </w:r>
    </w:p>
    <w:p>
      <w:r>
        <w:rPr>
          <w:b/>
        </w:rPr>
        <w:t>Ironclad — bind confirmation:</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Bind Confirmation</w:t>
            </w:r>
          </w:p>
          <w:p>
            <w:r>
              <w:rPr>
                <w:rFonts w:ascii="Consolas" w:hAnsi="Consolas"/>
                <w:sz w:val="19"/>
              </w:rPr>
              <w:t>Confirming bind for Briarcliff Electrical Contractors LLC.</w:t>
            </w:r>
          </w:p>
          <w:p>
            <w:r>
              <w:rPr>
                <w:rFonts w:ascii="Consolas" w:hAnsi="Consolas"/>
                <w:sz w:val="19"/>
              </w:rPr>
              <w:t xml:space="preserve"> </w:t>
            </w:r>
          </w:p>
          <w:p>
            <w:r>
              <w:rPr>
                <w:rFonts w:ascii="Consolas" w:hAnsi="Consolas"/>
                <w:sz w:val="19"/>
              </w:rPr>
              <w:t>Binder Number: BND-2027-4471</w:t>
            </w:r>
          </w:p>
          <w:p>
            <w:r>
              <w:rPr>
                <w:rFonts w:ascii="Consolas" w:hAnsi="Consolas"/>
                <w:sz w:val="19"/>
              </w:rPr>
              <w:t>Premium: $44,000</w:t>
            </w:r>
          </w:p>
          <w:p>
            <w:r>
              <w:rPr>
                <w:rFonts w:ascii="Consolas" w:hAnsi="Consolas"/>
                <w:sz w:val="19"/>
              </w:rPr>
              <w:t>General Liability: $1,000,000 per occurrence / $2,000,000 aggregate</w:t>
            </w:r>
          </w:p>
          <w:p>
            <w:r>
              <w:rPr>
                <w:rFonts w:ascii="Consolas" w:hAnsi="Consolas"/>
                <w:sz w:val="19"/>
              </w:rPr>
              <w:t>Deductible: $5,000</w:t>
            </w:r>
          </w:p>
          <w:p>
            <w:r>
              <w:rPr>
                <w:rFonts w:ascii="Consolas" w:hAnsi="Consolas"/>
                <w:sz w:val="19"/>
              </w:rPr>
              <w:t>Effective Date: 09/01/2027</w:t>
            </w:r>
          </w:p>
          <w:p>
            <w:r>
              <w:rPr>
                <w:rFonts w:ascii="Consolas" w:hAnsi="Consolas"/>
                <w:sz w:val="19"/>
              </w:rPr>
              <w:t xml:space="preserve"> </w:t>
            </w:r>
          </w:p>
          <w:p>
            <w:r>
              <w:rPr>
                <w:rFonts w:ascii="Consolas" w:hAnsi="Consolas"/>
                <w:sz w:val="19"/>
              </w:rPr>
              <w:t>Policy documents will be issued within 10 days of this confirmation.</w:t>
            </w:r>
          </w:p>
          <w:p>
            <w:r>
              <w:rPr>
                <w:rFonts w:ascii="Consolas" w:hAnsi="Consolas"/>
                <w:sz w:val="19"/>
              </w:rPr>
              <w:t xml:space="preserve"> </w:t>
            </w:r>
          </w:p>
          <w:p>
            <w:r>
              <w:rPr>
                <w:rFonts w:ascii="Consolas" w:hAnsi="Consolas"/>
                <w:sz w:val="19"/>
              </w:rPr>
              <w:t>Ironclad Casualty Solutions</w:t>
            </w:r>
          </w:p>
          <w:p>
            <w:r>
              <w:rPr>
                <w:rFonts w:ascii="Consolas" w:hAnsi="Consolas"/>
                <w:sz w:val="19"/>
              </w:rPr>
              <w:t>Underwriting Team</w:t>
            </w:r>
          </w:p>
        </w:tc>
      </w:tr>
    </w:tbl>
    <w:p/>
    <w:p>
      <w:r>
        <w:t>1. From the Quote Comparison item, start a bind order for the selected Ironclad quote.</w:t>
      </w:r>
    </w:p>
    <w:p>
      <w:r>
        <w:t>2. Send the message above, then “Check for bind confirmation” and pick it up.</w:t>
      </w:r>
    </w:p>
    <w:p>
      <w:r>
        <w:t>3. Confirm it moves to SENT, carrier name Ironclad Casualty Solutions, binder number BND-2027-4471, and a 10-day issuance timeline all show correctly.</w:t>
      </w:r>
    </w:p>
    <w:p>
      <w:r>
        <w:rPr>
          <w:i/>
          <w:color w:val="585E66"/>
          <w:sz w:val="20"/>
        </w:rPr>
        <w:t>Roles: No senior-only action on this workflow — both roles behave the same.</w:t>
      </w:r>
    </w:p>
    <w:p>
      <w:r>
        <w:br w:type="page"/>
      </w:r>
    </w:p>
    <w:p>
      <w:pPr>
        <w:pStyle w:val="Heading1"/>
      </w:pPr>
      <w:r>
        <w:t>Workflow 6 — Endorsement / Mid-Term Change Processing</w:t>
      </w:r>
    </w:p>
    <w:p>
      <w:r>
        <w:t>Needs a live email — see below.</w:t>
      </w:r>
    </w:p>
    <w:p>
      <w:r>
        <w:t>Two separate requests — the change type/detail is typed directly into the UI, never inferred from an email.</w:t>
      </w:r>
    </w:p>
    <w:p>
      <w:r>
        <w:rPr>
          <w:b/>
        </w:rPr>
        <w:t>a) Additional insured</w:t>
      </w:r>
    </w:p>
    <w:p>
      <w:r>
        <w:t>Start a request on the Ironclad bind, change type “Additional insured,” detail:</w:t>
      </w:r>
    </w:p>
    <w:p>
      <w:r>
        <w:rPr>
          <w:rFonts w:ascii="Consolas" w:hAnsi="Consolas"/>
          <w:sz w:val="20"/>
        </w:rPr>
        <w:t>Add Harborline Logistics LLC as scheduled additional insured</w:t>
      </w:r>
    </w:p>
    <w:p>
      <w:r>
        <w:rPr>
          <w:b/>
        </w:rPr>
        <w:t>Then send Ironclad's confirmation and pick it up:</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Endorsement Confirmation</w:t>
            </w:r>
          </w:p>
          <w:p>
            <w:r>
              <w:rPr>
                <w:rFonts w:ascii="Consolas" w:hAnsi="Consolas"/>
                <w:sz w:val="19"/>
              </w:rPr>
              <w:t>Endorsement Number: END-2027-0038</w:t>
            </w:r>
          </w:p>
          <w:p>
            <w:r>
              <w:rPr>
                <w:rFonts w:ascii="Consolas" w:hAnsi="Consolas"/>
                <w:sz w:val="19"/>
              </w:rPr>
              <w:t>Added as scheduled additional insured: Harborline Logistics LLC</w:t>
            </w:r>
          </w:p>
          <w:p>
            <w:r>
              <w:rPr>
                <w:rFonts w:ascii="Consolas" w:hAnsi="Consolas"/>
                <w:sz w:val="19"/>
              </w:rPr>
              <w:t>Effective Date: 09/15/2027</w:t>
            </w:r>
          </w:p>
          <w:p>
            <w:r>
              <w:rPr>
                <w:rFonts w:ascii="Consolas" w:hAnsi="Consolas"/>
                <w:sz w:val="19"/>
              </w:rPr>
              <w:t>No additional premium.</w:t>
            </w:r>
          </w:p>
          <w:p>
            <w:r>
              <w:rPr>
                <w:rFonts w:ascii="Consolas" w:hAnsi="Consolas"/>
                <w:sz w:val="19"/>
              </w:rPr>
              <w:t xml:space="preserve"> </w:t>
            </w:r>
          </w:p>
          <w:p>
            <w:r>
              <w:rPr>
                <w:rFonts w:ascii="Consolas" w:hAnsi="Consolas"/>
                <w:sz w:val="19"/>
              </w:rPr>
              <w:t>Ironclad Casualty Solutions</w:t>
            </w:r>
          </w:p>
          <w:p>
            <w:r>
              <w:rPr>
                <w:rFonts w:ascii="Consolas" w:hAnsi="Consolas"/>
                <w:sz w:val="19"/>
              </w:rPr>
              <w:t>Underwriting Team</w:t>
            </w:r>
          </w:p>
        </w:tc>
      </w:tr>
    </w:tbl>
    <w:p/>
    <w:p>
      <w:r>
        <w:t>Expect: classification ROUTINE, clean reconciliation, no discrepancy.</w:t>
      </w:r>
    </w:p>
    <w:p>
      <w:r>
        <w:rPr>
          <w:b/>
        </w:rPr>
        <w:t>b) Headcount / exposure update</w:t>
      </w:r>
    </w:p>
    <w:p>
      <w:pPr>
        <w:ind w:left="227"/>
      </w:pPr>
      <w:r>
        <w:rPr>
          <w:i/>
          <w:color w:val="A9761F"/>
          <w:sz w:val="20"/>
        </w:rPr>
        <w:t>⚠ The dropdown does not show the text “employee_count_update” anywhere — that's just the internal name. Pick the option actually labeled “Headcount / exposure update.” Picking “Other” instead silently skips the whole percent-change calculation, with no error.</w:t>
      </w:r>
    </w:p>
    <w:p>
      <w:r>
        <w:t>Start a second request on the same bind, change type “Headcount / exposure update,” detail:</w:t>
      </w:r>
    </w:p>
    <w:p>
      <w:r>
        <w:rPr>
          <w:rFonts w:ascii="Consolas" w:hAnsi="Consolas"/>
          <w:sz w:val="20"/>
        </w:rPr>
        <w:t>Employee count increasing from 10 to 20 due to a new commercial contract</w:t>
      </w:r>
    </w:p>
    <w:p>
      <w:r>
        <w:t>Expect: classification UNDERWRITING_REVIEW_REQUIRED, and the item displays “(+100% headcount, +10 employees)” next to the detail. If you don't see that display, the dropdown selection is wrong — check that before anything else. No carrier reply needed for this one.</w:t>
      </w:r>
    </w:p>
    <w:p>
      <w:r>
        <w:rPr>
          <w:i/>
          <w:color w:val="585E66"/>
          <w:sz w:val="20"/>
        </w:rPr>
        <w:t>Roles: Senior: Send succeeds. Junior: Send comes back 403 on both requests; Escalate works for either.</w:t>
      </w:r>
    </w:p>
    <w:p>
      <w:r>
        <w:br w:type="page"/>
      </w:r>
    </w:p>
    <w:p>
      <w:pPr>
        <w:pStyle w:val="Heading1"/>
      </w:pPr>
      <w:r>
        <w:t>Workflow 7 — Renewal Remarketing</w:t>
      </w:r>
    </w:p>
    <w:p>
      <w:r>
        <w:t>Needs a live email — see below.</w:t>
      </w:r>
    </w:p>
    <w:p>
      <w:r>
        <w:t>1. Click “Check live renewal,” select the Briarcliff / Ironclad bind.</w:t>
      </w:r>
    </w:p>
    <w:p>
      <w:r>
        <w:t>2. Expect trigger level LIGHT_REMARKET_CHECK (the +100% headcount signal from Workflow 6 drives this — if you see NO_REMARKET instead, go back and check the Workflow 6b dropdown selection).</w:t>
      </w:r>
    </w:p>
    <w:p>
      <w:r>
        <w:t>3. Approve initiating the remarket.</w:t>
      </w:r>
    </w:p>
    <w:p>
      <w:pPr>
        <w:ind w:left="227"/>
      </w:pPr>
      <w:r>
        <w:rPr>
          <w:i/>
          <w:color w:val="585E66"/>
          <w:sz w:val="20"/>
        </w:rPr>
        <w:t>ℹ Optional, best-effort: the incumbent-offer comparison step below needs a distinct, already-selected Quote Comparison quote as “the alternative” — this part has one known edge case that may not resolve cleanly. Treat steps 1-3 above as the real test; this part is a bonus.</w:t>
      </w:r>
    </w:p>
    <w:p>
      <w:r>
        <w:rPr>
          <w:b/>
        </w:rPr>
        <w:t>Ironclad — renewal offer (for the optional comparison step):</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Renewal Offer</w:t>
            </w:r>
          </w:p>
          <w:p>
            <w:r>
              <w:rPr>
                <w:rFonts w:ascii="Consolas" w:hAnsi="Consolas"/>
                <w:sz w:val="19"/>
              </w:rPr>
              <w:t>We are pleased to offer renewal terms for Briarcliff Electrical Contractors LLC for the upcoming policy period.</w:t>
            </w:r>
          </w:p>
          <w:p>
            <w:r>
              <w:rPr>
                <w:rFonts w:ascii="Consolas" w:hAnsi="Consolas"/>
                <w:sz w:val="19"/>
              </w:rPr>
              <w:t xml:space="preserve"> </w:t>
            </w:r>
          </w:p>
          <w:p>
            <w:r>
              <w:rPr>
                <w:rFonts w:ascii="Consolas" w:hAnsi="Consolas"/>
                <w:sz w:val="19"/>
              </w:rPr>
              <w:t>Premium: $61,000</w:t>
            </w:r>
          </w:p>
          <w:p>
            <w:r>
              <w:rPr>
                <w:rFonts w:ascii="Consolas" w:hAnsi="Consolas"/>
                <w:sz w:val="19"/>
              </w:rPr>
              <w:t>Limits: General Liability $1,000,000 per occurrence / $2,000,000 aggregate</w:t>
            </w:r>
          </w:p>
          <w:p>
            <w:r>
              <w:rPr>
                <w:rFonts w:ascii="Consolas" w:hAnsi="Consolas"/>
                <w:sz w:val="19"/>
              </w:rPr>
              <w:t>Deductible: $5,000</w:t>
            </w:r>
          </w:p>
          <w:p>
            <w:r>
              <w:rPr>
                <w:rFonts w:ascii="Consolas" w:hAnsi="Consolas"/>
                <w:sz w:val="19"/>
              </w:rPr>
              <w:t>Effective Date: 09/01/2028</w:t>
            </w:r>
          </w:p>
          <w:p>
            <w:r>
              <w:rPr>
                <w:rFonts w:ascii="Consolas" w:hAnsi="Consolas"/>
                <w:sz w:val="19"/>
              </w:rPr>
              <w:t xml:space="preserve"> </w:t>
            </w:r>
          </w:p>
          <w:p>
            <w:r>
              <w:rPr>
                <w:rFonts w:ascii="Consolas" w:hAnsi="Consolas"/>
                <w:sz w:val="19"/>
              </w:rPr>
              <w:t>Ironclad Casualty Solutions</w:t>
            </w:r>
          </w:p>
          <w:p>
            <w:r>
              <w:rPr>
                <w:rFonts w:ascii="Consolas" w:hAnsi="Consolas"/>
                <w:sz w:val="19"/>
              </w:rPr>
              <w:t>Underwriting Team</w:t>
            </w:r>
          </w:p>
        </w:tc>
      </w:tr>
    </w:tbl>
    <w:p/>
    <w:p>
      <w:r>
        <w:rPr>
          <w:i/>
          <w:color w:val="585E66"/>
          <w:sz w:val="20"/>
        </w:rPr>
        <w:t>Roles: No senior-only action on this workflow — both roles behave the same.</w:t>
      </w:r>
    </w:p>
    <w:p>
      <w:r>
        <w:br w:type="page"/>
      </w:r>
    </w:p>
    <w:p>
      <w:pPr>
        <w:pStyle w:val="Heading1"/>
      </w:pPr>
      <w:r>
        <w:t>Workflow 8 — Diligent Search / Compliance Documentation</w:t>
      </w:r>
    </w:p>
    <w:p>
      <w:r>
        <w:t>No email needed for this one.</w:t>
      </w:r>
    </w:p>
    <w:p>
      <w:pPr>
        <w:ind w:left="227"/>
      </w:pPr>
      <w:r>
        <w:rPr>
          <w:i/>
          <w:color w:val="585E66"/>
          <w:sz w:val="20"/>
        </w:rPr>
        <w:t>ℹ This workflow does NOT automatically read declinations from Quote Comparison or Market Matching — it's a manually broker-entered form, on purpose (a wrongly generated compliance record is treated as a potential legal problem). A real stub is already waiting for Briarcliff — you just fill in the facts yourself.</w:t>
      </w:r>
    </w:p>
    <w:p>
      <w:r>
        <w:t>1. Click “Check live submission” — there should be exactly one entry. Open it.</w:t>
      </w:r>
    </w:p>
    <w:p>
      <w:r>
        <w:t>2. Fill in: State = SC, Status = Required, Admitted declinations required = 3.</w:t>
      </w:r>
    </w:p>
    <w:p>
      <w:r>
        <w:t>3. Submit with only 1–2 declinations (any fictional admitted-carrier name + date), or 3 with “written evidence” unchecked on some — confirm it comes back INSUFFICIENT with a “need N more” message.</w:t>
      </w:r>
    </w:p>
    <w:p>
      <w:r>
        <w:t>4. Resubmit with 3 declinations, all with written evidence checked — confirm it flips to SUFFICIENT.</w:t>
      </w:r>
    </w:p>
    <w:p>
      <w:r>
        <w:rPr>
          <w:i/>
          <w:color w:val="585E66"/>
          <w:sz w:val="20"/>
        </w:rPr>
        <w:t>Roles: No senior-only action on this workflow — both roles behave the same.</w:t>
      </w:r>
    </w:p>
    <w:p>
      <w:r>
        <w:br w:type="page"/>
      </w:r>
    </w:p>
    <w:p>
      <w:pPr>
        <w:pStyle w:val="Heading1"/>
      </w:pPr>
      <w:r>
        <w:t>Workflow 9 — Carrier Appetite Intelligence</w:t>
      </w:r>
    </w:p>
    <w:p>
      <w:r>
        <w:t>Needs a live email — see below.</w:t>
      </w:r>
    </w:p>
    <w:p>
      <w:pPr>
        <w:ind w:left="227"/>
      </w:pPr>
      <w:r>
        <w:rPr>
          <w:i/>
          <w:color w:val="585E66"/>
          <w:sz w:val="20"/>
        </w:rPr>
        <w:t>ℹ Palmetto's decline (Workflow 4) can't be used here — it never stated a dollar figure, so its consistency comes back “unable to determine” and this workflow correctly excludes it rather than guessing. One more real decline, with a number in it, is enough to fix this — no need for a whole new submission.</w:t>
      </w:r>
    </w:p>
    <w:p>
      <w:pPr>
        <w:ind w:left="227"/>
      </w:pPr>
      <w:r>
        <w:rPr>
          <w:i/>
          <w:color w:val="A9761F"/>
          <w:sz w:val="20"/>
        </w:rPr>
        <w:t>⚠ Heads up before you send this: Quote Comparison's “Check live inbox” button only turns on when the page's URL has your submission id in it (?submissionId=...) — it does NOT turn on just by clicking an existing comparison in the list. Since you're returning to this page rather than arriving fresh from Package Assembly, the button will be disabled unless you either click through from Package Assembly again, or just add ?submissionId=&lt;your submission id&gt; to the URL yourself. Your assistant can look up the exact id for you at any time if you're not sure of it.</w:t>
      </w:r>
    </w:p>
    <w:p>
      <w:r>
        <w:rPr>
          <w:b/>
        </w:rPr>
        <w:t>Apex — decline (adds a real, classifiable signal to the same submission):</w:t>
      </w:r>
    </w:p>
    <w:tbl>
      <w:tblPr>
        <w:tblW w:type="auto" w:w="0"/>
        <w:jc w:val="left"/>
        <w:tblLook w:firstColumn="1" w:firstRow="1" w:lastColumn="0" w:lastRow="0" w:noHBand="0" w:noVBand="1" w:val="04A0"/>
      </w:tblPr>
      <w:tblGrid>
        <w:gridCol w:w="8640"/>
      </w:tblGrid>
      <w:tr>
        <w:tc>
          <w:tcPr>
            <w:tcW w:type="dxa" w:w="8640"/>
            <w:shd w:fill="F2F1EC"/>
          </w:tcPr>
          <w:p>
            <w:r>
              <w:rPr>
                <w:rFonts w:ascii="Consolas" w:hAnsi="Consolas"/>
                <w:b/>
                <w:sz w:val="19"/>
              </w:rPr>
              <w:t>Subject: RE: Briarcliff Electrical Contractors LLC - Response from Apex</w:t>
            </w:r>
          </w:p>
          <w:p>
            <w:r>
              <w:rPr>
                <w:rFonts w:ascii="Consolas" w:hAnsi="Consolas"/>
                <w:sz w:val="19"/>
              </w:rPr>
              <w:t>After review, we are unable to offer terms on this account. The $18,500 open claim on the loss run raises concern for this class of business at this premium level.</w:t>
            </w:r>
          </w:p>
          <w:p>
            <w:r>
              <w:rPr>
                <w:rFonts w:ascii="Consolas" w:hAnsi="Consolas"/>
                <w:sz w:val="19"/>
              </w:rPr>
              <w:t xml:space="preserve"> </w:t>
            </w:r>
          </w:p>
          <w:p>
            <w:r>
              <w:rPr>
                <w:rFonts w:ascii="Consolas" w:hAnsi="Consolas"/>
                <w:sz w:val="19"/>
              </w:rPr>
              <w:t>Apex Excess Lines</w:t>
            </w:r>
          </w:p>
          <w:p>
            <w:r>
              <w:rPr>
                <w:rFonts w:ascii="Consolas" w:hAnsi="Consolas"/>
                <w:sz w:val="19"/>
              </w:rPr>
              <w:t>Underwriting Team</w:t>
            </w:r>
          </w:p>
        </w:tc>
      </w:tr>
    </w:tbl>
    <w:p/>
    <w:p>
      <w:r>
        <w:t>1. Send that email, then go to Quote Comparison, “Check live inbox,” pick it up (adds to the same Briarcliff comparison).</w:t>
      </w:r>
    </w:p>
    <w:p>
      <w:r>
        <w:t>2. Go to Carrier Appetite Intelligence, click “Check live signals.”</w:t>
      </w:r>
    </w:p>
    <w:p>
      <w:r>
        <w:t>3. Expect Apex to appear with an INCONSISTENT classification — the $18,500 cited is well under Apex's own $75,000 severity ceiling, so the system flags the decline as not actually matching Apex's own stated appetite.</w:t>
      </w:r>
    </w:p>
    <w:p>
      <w:r>
        <w:rPr>
          <w:i/>
          <w:color w:val="585E66"/>
          <w:sz w:val="20"/>
        </w:rPr>
        <w:t>Roles: No senior-only action on this workflow — both roles behave the same.</w:t>
      </w:r>
    </w:p>
    <w:p>
      <w:r>
        <w:br w:type="page"/>
      </w:r>
    </w:p>
    <w:p>
      <w:pPr>
        <w:pStyle w:val="Heading1"/>
      </w:pPr>
      <w:r>
        <w:t>Workflow 10 — Pipeline &amp; Carrier Performance Reporting</w:t>
      </w:r>
    </w:p>
    <w:p>
      <w:r>
        <w:t>No email needed for this one.</w:t>
      </w:r>
    </w:p>
    <w:p>
      <w:r>
        <w:t>A pure read-only dashboard over everything above — no actions live here.</w:t>
      </w:r>
    </w:p>
    <w:p>
      <w:r>
        <w:t>1. Open the reporting dashboard.</w:t>
      </w:r>
    </w:p>
    <w:p>
      <w:r>
        <w:t>2. Confirm it reflects Briarcliff's real activity: submitted → matched → package assembled → quoted → bound → endorsed → renewal-checked.</w:t>
      </w:r>
    </w:p>
    <w:p>
      <w:pPr>
        <w:ind w:left="227"/>
      </w:pPr>
      <w:r>
        <w:rPr>
          <w:i/>
          <w:color w:val="A9761F"/>
          <w:sz w:val="20"/>
        </w:rPr>
        <w:t>⚠ This one hasn't been checked as deeply as the others — if a number looks off, flag it and we'll dig in the same way we did for the rest.</w:t>
      </w:r>
    </w:p>
    <w:p>
      <w:r>
        <w:rPr>
          <w:i/>
        </w:rPr>
        <w:t>Every number, regex, and role rule above was checked against the real backend code — not estimated. Workflow 1's ranking was run through the real matching engine before being written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