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Amazon → Tally Automation Agent</w:t>
      </w:r>
    </w:p>
    <w:p>
      <w:pPr>
        <w:spacing w:after="80"/>
      </w:pPr>
      <w:r>
        <w:rPr>
          <w:b/>
          <w:bCs/>
          <w:color w:val="1C7350"/>
          <w:sz w:val="28"/>
          <w:szCs w:val="28"/>
        </w:rPr>
        <w:t xml:space="preserve">Open Points for Accounts Team</w:t>
      </w:r>
    </w:p>
    <w:p>
      <w:pPr>
        <w:spacing w:after="240"/>
      </w:pPr>
      <w:r>
        <w:rPr>
          <w:i/>
          <w:iCs/>
          <w:color w:val="5A6B72"/>
          <w:sz w:val="20"/>
          <w:szCs w:val="20"/>
        </w:rPr>
        <w:t xml:space="preserve">Prepared 24 August 2026 · from testing against real April 2026 Amazon MTR data and the Master file</w:t>
      </w:r>
    </w:p>
    <w:p>
      <w:pPr>
        <w:pStyle w:val="normalPara"/>
        <w:spacing w:after="160"/>
      </w:pPr>
      <w:r>
        <w:t xml:space="preserve">These are business/accounting decisions the agent's logic depends on, surfaced while testing it against a real month of your Amazon MTR data rather than synthetic test files. Each item below is grounded in a specific example found in that data, not a hypothetical.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t xml:space="preserve">1. Needs a decision (affects output correctness)</w:t>
      </w:r>
    </w:p>
    <w:p>
      <w:pPr>
        <w:pStyle w:val="Heading2"/>
        <w:spacing w:after="120" w:before="280"/>
      </w:pPr>
      <w:r>
        <w:t xml:space="preserve">1.1  Refund handling</w:t>
      </w:r>
    </w:p>
    <w:p>
      <w:pPr>
        <w:pStyle w:val="normalPara"/>
        <w:spacing w:after="160"/>
      </w:pPr>
      <w:r>
        <w:t xml:space="preserve">The PRD's Transaction Type filter says to include Shipment, Refund, and Free replacement. But your team's real historical Tally output has zero rows for a refund that demonstrably happened that month (Order 408-6948764-7185148, SKU GT_PK2). Right now the agent includes Refunds as a correctly-signed negative row — fixing a prior bug where the value was being silently zeroed out instead. Is that the right treatment?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Option A</w:t>
      </w:r>
      <w:r>
        <w:t xml:space="preserve">  Show as a negative-value row in the output (current behaviour).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Option B</w:t>
      </w:r>
      <w:r>
        <w:t xml:space="preserve">  Exclude refunds from this sheet entirely.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Option C</w:t>
      </w:r>
      <w:r>
        <w:t xml:space="preserve">  Net the refund against the original shipment row.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Option D</w:t>
      </w:r>
      <w:r>
        <w:t xml:space="preserve">  Refunds are handled via a separate credit-note process outside this monthly file.</w:t>
      </w:r>
    </w:p>
    <w:p>
      <w:pPr>
        <w:pStyle w:val="Heading2"/>
        <w:spacing w:after="120" w:before="280"/>
      </w:pPr>
      <w:r>
        <w:t xml:space="preserve">1.2  Party Name mapping — full list needed</w:t>
      </w:r>
    </w:p>
    <w:p>
      <w:pPr>
        <w:pStyle w:val="normalPara"/>
        <w:spacing w:after="160"/>
      </w:pPr>
      <w:r>
        <w:t xml:space="preserve">The PRD's rule is Party Name derives from Godown (e.g. IN → “Amazon Seller Central”, VZPL → “Amazon Seller Flex”), and the real DEL5 output shows “Amazon FBA DEL-5”. Only 2–3 examples have been seen so far. Need the complete Godown → Party Name table, including: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Warehouses seen in the real data</w:t>
      </w:r>
      <w:r>
        <w:t xml:space="preserve">  BLR7, BLR8, HYD3, HYD8, DED4, CCX1, CCX2, JPX1, JPX2, PNQ3, AMD2, BOM5, BOM7, LKO1, VZPL, ATX1, DEL4, DEL5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Blank / MFN orders</w:t>
      </w:r>
      <w:r>
        <w:t xml:space="preserve">  what Party Name should self-fulfilled orders carry, if any</w:t>
      </w:r>
    </w:p>
    <w:p>
      <w:pPr>
        <w:pStyle w:val="Heading2"/>
        <w:spacing w:after="120" w:before="280"/>
      </w:pPr>
      <w:r>
        <w:t xml:space="preserve">1.3  UTGST bucket</w:t>
      </w:r>
    </w:p>
    <w:p>
      <w:pPr>
        <w:pStyle w:val="normalPara"/>
        <w:spacing w:after="160"/>
      </w:pPr>
      <w:r>
        <w:t xml:space="preserve">The sample Tally sheet has no dedicated UTGST column, so UTGST is currently folded into the SGST output column (same accounting role — the Union Territory equivalent of state tax). Not yet confirmed — please sanity-check this against actual practice rather than, say, folding into IGST or needing its own ledger.</w:t>
      </w:r>
    </w:p>
    <w:p>
      <w:pPr>
        <w:pStyle w:val="Heading2"/>
        <w:spacing w:after="120" w:before="280"/>
      </w:pPr>
      <w:r>
        <w:t xml:space="preserve">1.4  MFN (self-fulfilled) orders have no Godown</w:t>
      </w:r>
    </w:p>
    <w:p>
      <w:pPr>
        <w:pStyle w:val="normalPara"/>
        <w:spacing w:after="160"/>
      </w:pPr>
      <w:r>
        <w:t xml:space="preserve">These currently require manual entry every month — 244 rows in April alone. Is there a fixed warehouse/location PIL actually ships MFN orders from that could be defaulted instead, or does it genuinely vary order to order?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t xml:space="preserve">2. Master file data quality</w:t>
      </w:r>
    </w:p>
    <w:p>
      <w:pPr>
        <w:pStyle w:val="Heading2"/>
        <w:spacing w:after="120" w:before="280"/>
      </w:pPr>
      <w:r>
        <w:t xml:space="preserve">2.1  “Pack of” (combo multiplier) column is blank for 181 of 183 SKUs</w:t>
      </w:r>
    </w:p>
    <w:p>
      <w:pPr>
        <w:pStyle w:val="normalPara"/>
        <w:spacing w:after="160"/>
      </w:pPr>
      <w:r>
        <w:t xml:space="preserve">A fallback was added that reads the pack size from the SKU suffix (PK2, PK3, etc.), verified against one real order. Worth asking ops: should the Master file's own column actually get filled in going forward (more reliable than pattern-matching), and is PK&lt;number&gt; the only convention in use, or are there combo SKUs that don't follow it?</w:t>
      </w:r>
    </w:p>
    <w:p>
      <w:pPr>
        <w:pStyle w:val="Heading2"/>
        <w:spacing w:after="120" w:before="280"/>
      </w:pPr>
      <w:r>
        <w:t xml:space="preserve">2.2  Two real SKUs missing from the Master file this month</w:t>
      </w:r>
    </w:p>
    <w:p>
      <w:pPr>
        <w:pStyle w:val="normalPara"/>
        <w:spacing w:after="160"/>
      </w:pPr>
      <w:r>
        <w:t xml:space="preserve">ASNG_C and AGSNG_C appear in the April MTR but have no match in the Master file. New products not yet catalogued, or a naming mismatch somewhere?</w:t>
      </w:r>
    </w:p>
    <w:p>
      <w:pPr>
        <w:pStyle w:val="Heading2"/>
        <w:spacing w:after="120" w:before="280"/>
      </w:pPr>
      <w:r>
        <w:t xml:space="preserve">2.3  What do the “_DUP” and “_M” SKU suffixes mean?</w:t>
      </w:r>
    </w:p>
    <w:p>
      <w:pPr>
        <w:pStyle w:val="normalPara"/>
        <w:spacing w:after="160"/>
      </w:pPr>
      <w:r>
        <w:t xml:space="preserve">This is the PRD's own original open question, still unanswered. “_DUP” appears to indicate a duplicate listing and “_M” possibly a Meesho-specific variant (based on one stray value in an unrelated column), but neither is confirmed.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t xml:space="preserve">3. Carried forward from the PRD's open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 the batch-wise summary every month, or only when it changes?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Missing MFG/EXP dates</w:t>
      </w:r>
      <w:r>
        <w:t xml:space="preserve">  the team currently pulls these from SAP — should that data be entered before uploading, or handled differently once batch allocation is built?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“May 2026 files are correct or not?”</w:t>
      </w:r>
      <w:r>
        <w:t xml:space="preserve">  listed as an open point in the original PRD — unclear if already resolved.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320"/>
      </w:pPr>
      <w:r>
        <w:t xml:space="preserve">4. Deferred entirely (not yet built)</w:t>
      </w:r>
    </w:p>
    <w:p>
      <w:pPr>
        <w:pStyle w:val="normalPara"/>
        <w:spacing w:after="160"/>
      </w:pPr>
      <w:r>
        <w:t xml:space="preserve">The Amazon Stock Transfer Report (STR) and Batch-wise FIFO allocation (Batch no / MFG Dt. / EXP Dt.) are not built yet. The PRD itself says STR needs to be “re-understood” before building it — worth a dedicated working session on this once the items above are resolved, since it's the most complex remaining piece of the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2026-08-24T04:12:45.270Z</dcterms:created>
  <dcterms:modified xsi:type="dcterms:W3CDTF">2026-08-24T04:12:45.274Z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