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B5797"/>
          <w:sz w:val="44"/>
        </w:rPr>
        <w:t>Breast Cancer Diagnostic Metric Correlation &amp;</w:t>
        <w:br/>
        <w:t>Tumor Size Regression Study</w:t>
        <w:br/>
      </w:r>
    </w:p>
    <w:p>
      <w:pPr>
        <w:jc w:val="center"/>
      </w:pPr>
      <w:r>
        <w:rPr>
          <w:b/>
          <w:color w:val="505050"/>
          <w:sz w:val="28"/>
        </w:rPr>
        <w:t>Comprehensive Data Analysis &amp; Machine Learning Project Report</w:t>
        <w:br/>
      </w:r>
      <w:r>
        <w:rPr>
          <w:i/>
          <w:sz w:val="20"/>
        </w:rPr>
        <w:t>Academic Track: TYBCA (Bachelor of Computer Applications) | Data Analytics Project</w:t>
        <w:br/>
        <w:t>Dataset: 5,000 Verified Clinical Records | Evaluation: Exploratory &amp; Predictive Modeling</w:t>
        <w:br/>
      </w:r>
    </w:p>
    <w:p/>
    <w:p>
      <w:pPr>
        <w:spacing w:before="280" w:after="120"/>
      </w:pPr>
      <w:r>
        <w:rPr>
          <w:b/>
          <w:color w:val="2B5797"/>
          <w:sz w:val="30"/>
        </w:rPr>
        <w:t>1. Executive Summary</w:t>
      </w:r>
    </w:p>
    <w:p>
      <w:pPr>
        <w:spacing w:after="120" w:line="276" w:lineRule="auto"/>
      </w:pPr>
      <w:r>
        <w:rPr>
          <w:sz w:val="21"/>
        </w:rPr>
        <w:t>This project presents an end-to-end data analytics and statistical modeling investigation titled 'Breast Cancer Diagnostic Metric Correlation &amp; Tumor Size Regression Study'. Utilizing the verified clinical dataset of 5,000 patient records across 12 diagnostic, demographic, and pathological attributes, this study investigates clinical metric correlations, diagnostic boundaries, and the feasibility of predicting primary tumor dimensions using non-invasive biometrics.</w:t>
      </w:r>
    </w:p>
    <w:p>
      <w:pPr>
        <w:spacing w:after="120" w:line="276" w:lineRule="auto"/>
      </w:pPr>
      <w:r>
        <w:rPr>
          <w:sz w:val="21"/>
        </w:rPr>
        <w:t>Through rigorous Exploratory Data Analysis (EDA) encompassing Univariate, Bivariate, Multivariate (5×5 KDE Pair Plot), and Correlation Heatmap analyses, we demonstrate that Tumor Size exhibits near-zero linear dependence with systemic physiological variables. A multiple Linear Regression model confirmed these empirical findings, producing an R² of 0.0007, MAE of 2.3807 cm, and RMSE of 2.7514 cm. In parallel, a Logistic Regression classification model attained an overall predictive accuracy of 49.90% in classifying post-treatment survival status.</w:t>
      </w:r>
    </w:p>
    <w:p>
      <w:pPr>
        <w:spacing w:before="280" w:after="120"/>
      </w:pPr>
      <w:r>
        <w:rPr>
          <w:b/>
          <w:color w:val="2B5797"/>
          <w:sz w:val="30"/>
        </w:rPr>
        <w:t>2. Problem Statement</w:t>
      </w:r>
    </w:p>
    <w:p>
      <w:pPr>
        <w:spacing w:after="120" w:line="276" w:lineRule="auto"/>
      </w:pPr>
      <w:r>
        <w:rPr>
          <w:sz w:val="21"/>
        </w:rPr>
        <w:t>Breast cancer represents one of the most prevalent and critical oncological challenges globally. Accurate assessment of primary tumor dimensions (Tumor Size) and post-treatment survival status is central to staging, surgical planning, and therapeutic intervention. However, clinical inquiries often face ambiguity regarding whether systemic physiological and baseline demographic metrics can serve as preliminary predictive proxies for anatomical tumor burden.</w:t>
      </w:r>
    </w:p>
    <w:p>
      <w:pPr>
        <w:spacing w:before="280" w:after="120"/>
      </w:pPr>
      <w:r>
        <w:rPr>
          <w:b/>
          <w:color w:val="2B5797"/>
          <w:sz w:val="30"/>
        </w:rPr>
        <w:t>3. Objectives of the Study</w:t>
      </w:r>
    </w:p>
    <w:p>
      <w:pPr>
        <w:spacing w:after="120" w:line="276" w:lineRule="auto"/>
      </w:pPr>
      <w:r>
        <w:rPr>
          <w:sz w:val="21"/>
        </w:rPr>
        <w:t>• Conduct comprehensive data hygiene and exploratory data analysis across 5,000 verified clinical records.</w:t>
        <w:br/>
        <w:t>• Formulate and test rigorous statistical null and alternative hypotheses regarding metric correlation and tumor type dimension variances.</w:t>
        <w:br/>
        <w:t>• Implement univariate, bivariate, and multivariate visualizations (including a standardized 5×5 Pair Plot with KDE diagonals and a publication-quality scatter plot separating Malignant and Benign cases with category regression lines) to uncover data distributions.</w:t>
        <w:br/>
        <w:t>• Fit, evaluate, and interpret a multiple Linear Regression model for Tumor Size estimation.</w:t>
        <w:br/>
        <w:t>• Fit, evaluate, and interpret a Logistic Regression model for post-treatment survival classification.</w:t>
      </w:r>
    </w:p>
    <w:p>
      <w:pPr>
        <w:spacing w:before="280" w:after="120"/>
      </w:pPr>
      <w:r>
        <w:rPr>
          <w:b/>
          <w:color w:val="2B5797"/>
          <w:sz w:val="30"/>
        </w:rPr>
        <w:t>4. Research Questions &amp; Hypotheses</w:t>
      </w:r>
    </w:p>
    <w:p>
      <w:pPr>
        <w:spacing w:after="120" w:line="276" w:lineRule="auto"/>
      </w:pPr>
      <w:r>
        <w:rPr>
          <w:sz w:val="21"/>
        </w:rPr>
        <w:t>RQ1: Does patient age or metabolic BMI exhibit a statistically significant correlation with primary tumor dimensions?</w:t>
        <w:br/>
        <w:t>• Null Hypothesis (H₀₁): There is no significant linear correlation between patient Age/BMI and Tumor Size (r = 0).</w:t>
        <w:br/>
        <w:t>• Alternative Hypothesis (H₁₁): A significant correlation exists between patient Age/BMI and Tumor Size (r ≠ 0).</w:t>
      </w:r>
    </w:p>
    <w:p>
      <w:pPr>
        <w:spacing w:before="280" w:after="120"/>
      </w:pPr>
      <w:r>
        <w:rPr>
          <w:b/>
          <w:color w:val="2B5797"/>
          <w:sz w:val="30"/>
        </w:rPr>
        <w:t>5. Dataset Architecture &amp; Metadata</w:t>
      </w:r>
    </w:p>
    <w:tbl>
      <w:tblPr>
        <w:tblW w:type="auto" w:w="0"/>
        <w:jc w:val="center"/>
        <w:tblLook w:firstColumn="1" w:firstRow="1" w:lastColumn="0" w:lastRow="0" w:noHBand="0" w:noVBand="1" w:val="04A0"/>
      </w:tblPr>
      <w:tblGrid>
        <w:gridCol w:w="2340"/>
        <w:gridCol w:w="2340"/>
        <w:gridCol w:w="2340"/>
        <w:gridCol w:w="2340"/>
      </w:tblGrid>
      <w:tr>
        <w:tc>
          <w:tcPr>
            <w:tcW w:type="dxa" w:w="2592"/>
            <w:shd w:fill="2B5797"/>
          </w:tcPr>
          <w:p>
            <w:pPr>
              <w:spacing w:before="60" w:after="60"/>
              <w:jc w:val="center"/>
            </w:pPr>
            <w:r>
              <w:rPr>
                <w:b/>
                <w:color w:val="FFFFFF"/>
                <w:sz w:val="19"/>
              </w:rPr>
              <w:t>Attribute Name</w:t>
            </w:r>
          </w:p>
        </w:tc>
        <w:tc>
          <w:tcPr>
            <w:tcW w:type="dxa" w:w="1728"/>
            <w:shd w:fill="2B5797"/>
          </w:tcPr>
          <w:p>
            <w:pPr>
              <w:spacing w:before="60" w:after="60"/>
              <w:jc w:val="center"/>
            </w:pPr>
            <w:r>
              <w:rPr>
                <w:b/>
                <w:color w:val="FFFFFF"/>
                <w:sz w:val="19"/>
              </w:rPr>
              <w:t>Data Type</w:t>
            </w:r>
          </w:p>
        </w:tc>
        <w:tc>
          <w:tcPr>
            <w:tcW w:type="dxa" w:w="1872"/>
            <w:shd w:fill="2B5797"/>
          </w:tcPr>
          <w:p>
            <w:pPr>
              <w:spacing w:before="60" w:after="60"/>
              <w:jc w:val="center"/>
            </w:pPr>
            <w:r>
              <w:rPr>
                <w:b/>
                <w:color w:val="FFFFFF"/>
                <w:sz w:val="19"/>
              </w:rPr>
              <w:t>Clinical Category</w:t>
            </w:r>
          </w:p>
        </w:tc>
        <w:tc>
          <w:tcPr>
            <w:tcW w:type="dxa" w:w="3168"/>
            <w:shd w:fill="2B5797"/>
          </w:tcPr>
          <w:p>
            <w:pPr>
              <w:spacing w:before="60" w:after="60"/>
              <w:jc w:val="center"/>
            </w:pPr>
            <w:r>
              <w:rPr>
                <w:b/>
                <w:color w:val="FFFFFF"/>
                <w:sz w:val="19"/>
              </w:rPr>
              <w:t>Domain Range / Categories</w:t>
            </w:r>
          </w:p>
        </w:tc>
      </w:tr>
      <w:tr>
        <w:tc>
          <w:tcPr>
            <w:tcW w:type="dxa" w:w="2592"/>
            <w:shd w:fill="FFFFFF"/>
          </w:tcPr>
          <w:p>
            <w:pPr>
              <w:spacing w:before="40" w:after="40"/>
              <w:jc w:val="left"/>
            </w:pPr>
            <w:r>
              <w:rPr>
                <w:sz w:val="18"/>
              </w:rPr>
              <w:t>Patient_ID</w:t>
            </w:r>
          </w:p>
        </w:tc>
        <w:tc>
          <w:tcPr>
            <w:tcW w:type="dxa" w:w="1728"/>
            <w:shd w:fill="FFFFFF"/>
          </w:tcPr>
          <w:p>
            <w:pPr>
              <w:spacing w:before="40" w:after="40"/>
              <w:jc w:val="center"/>
            </w:pPr>
            <w:r>
              <w:rPr>
                <w:sz w:val="18"/>
              </w:rPr>
              <w:t>String</w:t>
            </w:r>
          </w:p>
        </w:tc>
        <w:tc>
          <w:tcPr>
            <w:tcW w:type="dxa" w:w="1872"/>
            <w:shd w:fill="FFFFFF"/>
          </w:tcPr>
          <w:p>
            <w:pPr>
              <w:spacing w:before="40" w:after="40"/>
              <w:jc w:val="center"/>
            </w:pPr>
            <w:r>
              <w:rPr>
                <w:sz w:val="18"/>
              </w:rPr>
              <w:t>Identifier</w:t>
            </w:r>
          </w:p>
        </w:tc>
        <w:tc>
          <w:tcPr>
            <w:tcW w:type="dxa" w:w="3168"/>
            <w:shd w:fill="FFFFFF"/>
          </w:tcPr>
          <w:p>
            <w:pPr>
              <w:spacing w:before="40" w:after="40"/>
              <w:jc w:val="left"/>
            </w:pPr>
            <w:r>
              <w:rPr>
                <w:sz w:val="18"/>
              </w:rPr>
              <w:t>Patient_1 to Patient_5000</w:t>
            </w:r>
          </w:p>
        </w:tc>
      </w:tr>
      <w:tr>
        <w:tc>
          <w:tcPr>
            <w:tcW w:type="dxa" w:w="2592"/>
            <w:shd w:fill="F9FAFC"/>
          </w:tcPr>
          <w:p>
            <w:pPr>
              <w:spacing w:before="40" w:after="40"/>
              <w:jc w:val="left"/>
            </w:pPr>
            <w:r>
              <w:rPr>
                <w:sz w:val="18"/>
              </w:rPr>
              <w:t>Age</w:t>
            </w:r>
          </w:p>
        </w:tc>
        <w:tc>
          <w:tcPr>
            <w:tcW w:type="dxa" w:w="1728"/>
            <w:shd w:fill="F9FAFC"/>
          </w:tcPr>
          <w:p>
            <w:pPr>
              <w:spacing w:before="40" w:after="40"/>
              <w:jc w:val="center"/>
            </w:pPr>
            <w:r>
              <w:rPr>
                <w:sz w:val="18"/>
              </w:rPr>
              <w:t>Integer</w:t>
            </w:r>
          </w:p>
        </w:tc>
        <w:tc>
          <w:tcPr>
            <w:tcW w:type="dxa" w:w="1872"/>
            <w:shd w:fill="F9FAFC"/>
          </w:tcPr>
          <w:p>
            <w:pPr>
              <w:spacing w:before="40" w:after="40"/>
              <w:jc w:val="center"/>
            </w:pPr>
            <w:r>
              <w:rPr>
                <w:sz w:val="18"/>
              </w:rPr>
              <w:t>Demographic</w:t>
            </w:r>
          </w:p>
        </w:tc>
        <w:tc>
          <w:tcPr>
            <w:tcW w:type="dxa" w:w="3168"/>
            <w:shd w:fill="F9FAFC"/>
          </w:tcPr>
          <w:p>
            <w:pPr>
              <w:spacing w:before="40" w:after="40"/>
              <w:jc w:val="center"/>
            </w:pPr>
            <w:r>
              <w:rPr>
                <w:sz w:val="18"/>
              </w:rPr>
              <w:t>20 to 79 Years</w:t>
            </w:r>
          </w:p>
        </w:tc>
      </w:tr>
      <w:tr>
        <w:tc>
          <w:tcPr>
            <w:tcW w:type="dxa" w:w="2592"/>
            <w:shd w:fill="FFFFFF"/>
          </w:tcPr>
          <w:p>
            <w:pPr>
              <w:spacing w:before="40" w:after="40"/>
              <w:jc w:val="left"/>
            </w:pPr>
            <w:r>
              <w:rPr>
                <w:sz w:val="18"/>
              </w:rPr>
              <w:t>Tumor_Size</w:t>
            </w:r>
          </w:p>
        </w:tc>
        <w:tc>
          <w:tcPr>
            <w:tcW w:type="dxa" w:w="1728"/>
            <w:shd w:fill="FFFFFF"/>
          </w:tcPr>
          <w:p>
            <w:pPr>
              <w:spacing w:before="40" w:after="40"/>
              <w:jc w:val="center"/>
            </w:pPr>
            <w:r>
              <w:rPr>
                <w:sz w:val="18"/>
              </w:rPr>
              <w:t>Float</w:t>
            </w:r>
          </w:p>
        </w:tc>
        <w:tc>
          <w:tcPr>
            <w:tcW w:type="dxa" w:w="1872"/>
            <w:shd w:fill="FFFFFF"/>
          </w:tcPr>
          <w:p>
            <w:pPr>
              <w:spacing w:before="40" w:after="40"/>
              <w:jc w:val="left"/>
            </w:pPr>
            <w:r>
              <w:rPr>
                <w:sz w:val="18"/>
              </w:rPr>
              <w:t>Diagnostic / Target</w:t>
            </w:r>
          </w:p>
        </w:tc>
        <w:tc>
          <w:tcPr>
            <w:tcW w:type="dxa" w:w="3168"/>
            <w:shd w:fill="FFFFFF"/>
          </w:tcPr>
          <w:p>
            <w:pPr>
              <w:spacing w:before="40" w:after="40"/>
              <w:jc w:val="left"/>
            </w:pPr>
            <w:r>
              <w:rPr>
                <w:sz w:val="18"/>
              </w:rPr>
              <w:t>0.50 to 10.00 cm</w:t>
            </w:r>
          </w:p>
        </w:tc>
      </w:tr>
      <w:tr>
        <w:tc>
          <w:tcPr>
            <w:tcW w:type="dxa" w:w="2592"/>
            <w:shd w:fill="F9FAFC"/>
          </w:tcPr>
          <w:p>
            <w:pPr>
              <w:spacing w:before="40" w:after="40"/>
              <w:jc w:val="left"/>
            </w:pPr>
            <w:r>
              <w:rPr>
                <w:sz w:val="18"/>
              </w:rPr>
              <w:t>Tumor_Type</w:t>
            </w:r>
          </w:p>
        </w:tc>
        <w:tc>
          <w:tcPr>
            <w:tcW w:type="dxa" w:w="1728"/>
            <w:shd w:fill="F9FAFC"/>
          </w:tcPr>
          <w:p>
            <w:pPr>
              <w:spacing w:before="40" w:after="40"/>
              <w:jc w:val="center"/>
            </w:pPr>
            <w:r>
              <w:rPr>
                <w:sz w:val="18"/>
              </w:rPr>
              <w:t>String</w:t>
            </w:r>
          </w:p>
        </w:tc>
        <w:tc>
          <w:tcPr>
            <w:tcW w:type="dxa" w:w="1872"/>
            <w:shd w:fill="F9FAFC"/>
          </w:tcPr>
          <w:p>
            <w:pPr>
              <w:spacing w:before="40" w:after="40"/>
              <w:jc w:val="center"/>
            </w:pPr>
            <w:r>
              <w:rPr>
                <w:sz w:val="18"/>
              </w:rPr>
              <w:t>Pathological</w:t>
            </w:r>
          </w:p>
        </w:tc>
        <w:tc>
          <w:tcPr>
            <w:tcW w:type="dxa" w:w="3168"/>
            <w:shd w:fill="F9FAFC"/>
          </w:tcPr>
          <w:p>
            <w:pPr>
              <w:spacing w:before="40" w:after="40"/>
              <w:jc w:val="left"/>
            </w:pPr>
            <w:r>
              <w:rPr>
                <w:sz w:val="18"/>
              </w:rPr>
              <w:t>Benign (2,481), Malignant (2,519)</w:t>
            </w:r>
          </w:p>
        </w:tc>
      </w:tr>
      <w:tr>
        <w:tc>
          <w:tcPr>
            <w:tcW w:type="dxa" w:w="2592"/>
            <w:shd w:fill="FFFFFF"/>
          </w:tcPr>
          <w:p>
            <w:pPr>
              <w:spacing w:before="40" w:after="40"/>
              <w:jc w:val="left"/>
            </w:pPr>
            <w:r>
              <w:rPr>
                <w:sz w:val="18"/>
              </w:rPr>
              <w:t>Lymph_Node_Status</w:t>
            </w:r>
          </w:p>
        </w:tc>
        <w:tc>
          <w:tcPr>
            <w:tcW w:type="dxa" w:w="1728"/>
            <w:shd w:fill="FFFFFF"/>
          </w:tcPr>
          <w:p>
            <w:pPr>
              <w:spacing w:before="40" w:after="40"/>
              <w:jc w:val="center"/>
            </w:pPr>
            <w:r>
              <w:rPr>
                <w:sz w:val="18"/>
              </w:rPr>
              <w:t>String</w:t>
            </w:r>
          </w:p>
        </w:tc>
        <w:tc>
          <w:tcPr>
            <w:tcW w:type="dxa" w:w="1872"/>
            <w:shd w:fill="FFFFFF"/>
          </w:tcPr>
          <w:p>
            <w:pPr>
              <w:spacing w:before="40" w:after="40"/>
              <w:jc w:val="center"/>
            </w:pPr>
            <w:r>
              <w:rPr>
                <w:sz w:val="18"/>
              </w:rPr>
              <w:t>Staging</w:t>
            </w:r>
          </w:p>
        </w:tc>
        <w:tc>
          <w:tcPr>
            <w:tcW w:type="dxa" w:w="3168"/>
            <w:shd w:fill="FFFFFF"/>
          </w:tcPr>
          <w:p>
            <w:pPr>
              <w:spacing w:before="40" w:after="40"/>
              <w:jc w:val="left"/>
            </w:pPr>
            <w:r>
              <w:rPr>
                <w:sz w:val="18"/>
              </w:rPr>
              <w:t>Negative (2,502), Positive (2,498)</w:t>
            </w:r>
          </w:p>
        </w:tc>
      </w:tr>
      <w:tr>
        <w:tc>
          <w:tcPr>
            <w:tcW w:type="dxa" w:w="2592"/>
            <w:shd w:fill="F9FAFC"/>
          </w:tcPr>
          <w:p>
            <w:pPr>
              <w:spacing w:before="40" w:after="40"/>
              <w:jc w:val="left"/>
            </w:pPr>
            <w:r>
              <w:rPr>
                <w:sz w:val="18"/>
              </w:rPr>
              <w:t>Hormone_Receptor_Status</w:t>
            </w:r>
          </w:p>
        </w:tc>
        <w:tc>
          <w:tcPr>
            <w:tcW w:type="dxa" w:w="1728"/>
            <w:shd w:fill="F9FAFC"/>
          </w:tcPr>
          <w:p>
            <w:pPr>
              <w:spacing w:before="40" w:after="40"/>
              <w:jc w:val="center"/>
            </w:pPr>
            <w:r>
              <w:rPr>
                <w:sz w:val="18"/>
              </w:rPr>
              <w:t>String</w:t>
            </w:r>
          </w:p>
        </w:tc>
        <w:tc>
          <w:tcPr>
            <w:tcW w:type="dxa" w:w="1872"/>
            <w:shd w:fill="F9FAFC"/>
          </w:tcPr>
          <w:p>
            <w:pPr>
              <w:spacing w:before="40" w:after="40"/>
              <w:jc w:val="center"/>
            </w:pPr>
            <w:r>
              <w:rPr>
                <w:sz w:val="18"/>
              </w:rPr>
              <w:t>Biomarker</w:t>
            </w:r>
          </w:p>
        </w:tc>
        <w:tc>
          <w:tcPr>
            <w:tcW w:type="dxa" w:w="3168"/>
            <w:shd w:fill="F9FAFC"/>
          </w:tcPr>
          <w:p>
            <w:pPr>
              <w:spacing w:before="40" w:after="40"/>
              <w:jc w:val="left"/>
            </w:pPr>
            <w:r>
              <w:rPr>
                <w:sz w:val="18"/>
              </w:rPr>
              <w:t>Negative (1,699), Positive (1,649), Unknown (1,652)</w:t>
            </w:r>
          </w:p>
        </w:tc>
      </w:tr>
      <w:tr>
        <w:tc>
          <w:tcPr>
            <w:tcW w:type="dxa" w:w="2592"/>
            <w:shd w:fill="FFFFFF"/>
          </w:tcPr>
          <w:p>
            <w:pPr>
              <w:spacing w:before="40" w:after="40"/>
              <w:jc w:val="left"/>
            </w:pPr>
            <w:r>
              <w:rPr>
                <w:sz w:val="18"/>
              </w:rPr>
              <w:t>Genetic_Mutation</w:t>
            </w:r>
          </w:p>
        </w:tc>
        <w:tc>
          <w:tcPr>
            <w:tcW w:type="dxa" w:w="1728"/>
            <w:shd w:fill="FFFFFF"/>
          </w:tcPr>
          <w:p>
            <w:pPr>
              <w:spacing w:before="40" w:after="40"/>
              <w:jc w:val="center"/>
            </w:pPr>
            <w:r>
              <w:rPr>
                <w:sz w:val="18"/>
              </w:rPr>
              <w:t>String</w:t>
            </w:r>
          </w:p>
        </w:tc>
        <w:tc>
          <w:tcPr>
            <w:tcW w:type="dxa" w:w="1872"/>
            <w:shd w:fill="FFFFFF"/>
          </w:tcPr>
          <w:p>
            <w:pPr>
              <w:spacing w:before="40" w:after="40"/>
              <w:jc w:val="center"/>
            </w:pPr>
            <w:r>
              <w:rPr>
                <w:sz w:val="18"/>
              </w:rPr>
              <w:t>Genomic Factor</w:t>
            </w:r>
          </w:p>
        </w:tc>
        <w:tc>
          <w:tcPr>
            <w:tcW w:type="dxa" w:w="3168"/>
            <w:shd w:fill="FFFFFF"/>
          </w:tcPr>
          <w:p>
            <w:pPr>
              <w:spacing w:before="40" w:after="40"/>
              <w:jc w:val="left"/>
            </w:pPr>
            <w:r>
              <w:rPr>
                <w:sz w:val="18"/>
              </w:rPr>
              <w:t>BRCA1 (1,644), BRCA2 (1,677), Other (1,679)</w:t>
            </w:r>
          </w:p>
        </w:tc>
      </w:tr>
      <w:tr>
        <w:tc>
          <w:tcPr>
            <w:tcW w:type="dxa" w:w="2592"/>
            <w:shd w:fill="F9FAFC"/>
          </w:tcPr>
          <w:p>
            <w:pPr>
              <w:spacing w:before="40" w:after="40"/>
              <w:jc w:val="left"/>
            </w:pPr>
            <w:r>
              <w:rPr>
                <w:sz w:val="18"/>
              </w:rPr>
              <w:t>Treatment</w:t>
            </w:r>
          </w:p>
        </w:tc>
        <w:tc>
          <w:tcPr>
            <w:tcW w:type="dxa" w:w="1728"/>
            <w:shd w:fill="F9FAFC"/>
          </w:tcPr>
          <w:p>
            <w:pPr>
              <w:spacing w:before="40" w:after="40"/>
              <w:jc w:val="center"/>
            </w:pPr>
            <w:r>
              <w:rPr>
                <w:sz w:val="18"/>
              </w:rPr>
              <w:t>String</w:t>
            </w:r>
          </w:p>
        </w:tc>
        <w:tc>
          <w:tcPr>
            <w:tcW w:type="dxa" w:w="1872"/>
            <w:shd w:fill="F9FAFC"/>
          </w:tcPr>
          <w:p>
            <w:pPr>
              <w:spacing w:before="40" w:after="40"/>
              <w:jc w:val="center"/>
            </w:pPr>
            <w:r>
              <w:rPr>
                <w:sz w:val="18"/>
              </w:rPr>
              <w:t>Intervention</w:t>
            </w:r>
          </w:p>
        </w:tc>
        <w:tc>
          <w:tcPr>
            <w:tcW w:type="dxa" w:w="3168"/>
            <w:shd w:fill="F9FAFC"/>
          </w:tcPr>
          <w:p>
            <w:pPr>
              <w:spacing w:before="40" w:after="40"/>
              <w:jc w:val="left"/>
            </w:pPr>
            <w:r>
              <w:rPr>
                <w:sz w:val="18"/>
              </w:rPr>
              <w:t>Surgery, Chemotherapy, Radiation, Hormone Therapy</w:t>
            </w:r>
          </w:p>
        </w:tc>
      </w:tr>
      <w:tr>
        <w:tc>
          <w:tcPr>
            <w:tcW w:type="dxa" w:w="2592"/>
            <w:shd w:fill="FFFFFF"/>
          </w:tcPr>
          <w:p>
            <w:pPr>
              <w:spacing w:before="40" w:after="40"/>
              <w:jc w:val="left"/>
            </w:pPr>
            <w:r>
              <w:rPr>
                <w:sz w:val="18"/>
              </w:rPr>
              <w:t>Survival_Status</w:t>
            </w:r>
          </w:p>
        </w:tc>
        <w:tc>
          <w:tcPr>
            <w:tcW w:type="dxa" w:w="1728"/>
            <w:shd w:fill="FFFFFF"/>
          </w:tcPr>
          <w:p>
            <w:pPr>
              <w:spacing w:before="40" w:after="40"/>
              <w:jc w:val="center"/>
            </w:pPr>
            <w:r>
              <w:rPr>
                <w:sz w:val="18"/>
              </w:rPr>
              <w:t>String</w:t>
            </w:r>
          </w:p>
        </w:tc>
        <w:tc>
          <w:tcPr>
            <w:tcW w:type="dxa" w:w="1872"/>
            <w:shd w:fill="FFFFFF"/>
          </w:tcPr>
          <w:p>
            <w:pPr>
              <w:spacing w:before="40" w:after="40"/>
              <w:jc w:val="left"/>
            </w:pPr>
            <w:r>
              <w:rPr>
                <w:sz w:val="18"/>
              </w:rPr>
              <w:t>Outcome / Target</w:t>
            </w:r>
          </w:p>
        </w:tc>
        <w:tc>
          <w:tcPr>
            <w:tcW w:type="dxa" w:w="3168"/>
            <w:shd w:fill="FFFFFF"/>
          </w:tcPr>
          <w:p>
            <w:pPr>
              <w:spacing w:before="40" w:after="40"/>
              <w:jc w:val="left"/>
            </w:pPr>
            <w:r>
              <w:rPr>
                <w:sz w:val="18"/>
              </w:rPr>
              <w:t>Alive (2,596), Deceased (2,404)</w:t>
            </w:r>
          </w:p>
        </w:tc>
      </w:tr>
      <w:tr>
        <w:tc>
          <w:tcPr>
            <w:tcW w:type="dxa" w:w="2592"/>
            <w:shd w:fill="F9FAFC"/>
          </w:tcPr>
          <w:p>
            <w:pPr>
              <w:spacing w:before="40" w:after="40"/>
              <w:jc w:val="left"/>
            </w:pPr>
            <w:r>
              <w:rPr>
                <w:sz w:val="18"/>
              </w:rPr>
              <w:t>Follow_Up_Duration</w:t>
            </w:r>
          </w:p>
        </w:tc>
        <w:tc>
          <w:tcPr>
            <w:tcW w:type="dxa" w:w="1728"/>
            <w:shd w:fill="F9FAFC"/>
          </w:tcPr>
          <w:p>
            <w:pPr>
              <w:spacing w:before="40" w:after="40"/>
              <w:jc w:val="center"/>
            </w:pPr>
            <w:r>
              <w:rPr>
                <w:sz w:val="18"/>
              </w:rPr>
              <w:t>Integer</w:t>
            </w:r>
          </w:p>
        </w:tc>
        <w:tc>
          <w:tcPr>
            <w:tcW w:type="dxa" w:w="1872"/>
            <w:shd w:fill="F9FAFC"/>
          </w:tcPr>
          <w:p>
            <w:pPr>
              <w:spacing w:before="40" w:after="40"/>
              <w:jc w:val="center"/>
            </w:pPr>
            <w:r>
              <w:rPr>
                <w:sz w:val="18"/>
              </w:rPr>
              <w:t>Longitudinal</w:t>
            </w:r>
          </w:p>
        </w:tc>
        <w:tc>
          <w:tcPr>
            <w:tcW w:type="dxa" w:w="3168"/>
            <w:shd w:fill="F9FAFC"/>
          </w:tcPr>
          <w:p>
            <w:pPr>
              <w:spacing w:before="40" w:after="40"/>
              <w:jc w:val="left"/>
            </w:pPr>
            <w:r>
              <w:rPr>
                <w:sz w:val="18"/>
              </w:rPr>
              <w:t>12 to 119 Months</w:t>
            </w:r>
          </w:p>
        </w:tc>
      </w:tr>
      <w:tr>
        <w:tc>
          <w:tcPr>
            <w:tcW w:type="dxa" w:w="2592"/>
            <w:shd w:fill="FFFFFF"/>
          </w:tcPr>
          <w:p>
            <w:pPr>
              <w:spacing w:before="40" w:after="40"/>
              <w:jc w:val="left"/>
            </w:pPr>
            <w:r>
              <w:rPr>
                <w:sz w:val="18"/>
              </w:rPr>
              <w:t>Blood_Pressure</w:t>
            </w:r>
          </w:p>
        </w:tc>
        <w:tc>
          <w:tcPr>
            <w:tcW w:type="dxa" w:w="1728"/>
            <w:shd w:fill="FFFFFF"/>
          </w:tcPr>
          <w:p>
            <w:pPr>
              <w:spacing w:before="40" w:after="40"/>
              <w:jc w:val="center"/>
            </w:pPr>
            <w:r>
              <w:rPr>
                <w:sz w:val="18"/>
              </w:rPr>
              <w:t>Integer</w:t>
            </w:r>
          </w:p>
        </w:tc>
        <w:tc>
          <w:tcPr>
            <w:tcW w:type="dxa" w:w="1872"/>
            <w:shd w:fill="FFFFFF"/>
          </w:tcPr>
          <w:p>
            <w:pPr>
              <w:spacing w:before="40" w:after="40"/>
              <w:jc w:val="center"/>
            </w:pPr>
            <w:r>
              <w:rPr>
                <w:sz w:val="18"/>
              </w:rPr>
              <w:t>Physiological</w:t>
            </w:r>
          </w:p>
        </w:tc>
        <w:tc>
          <w:tcPr>
            <w:tcW w:type="dxa" w:w="3168"/>
            <w:shd w:fill="FFFFFF"/>
          </w:tcPr>
          <w:p>
            <w:pPr>
              <w:spacing w:before="40" w:after="40"/>
              <w:jc w:val="center"/>
            </w:pPr>
            <w:r>
              <w:rPr>
                <w:sz w:val="18"/>
              </w:rPr>
              <w:t>80 to 179 mmHg</w:t>
            </w:r>
          </w:p>
        </w:tc>
      </w:tr>
      <w:tr>
        <w:tc>
          <w:tcPr>
            <w:tcW w:type="dxa" w:w="2592"/>
            <w:shd w:fill="F9FAFC"/>
          </w:tcPr>
          <w:p>
            <w:pPr>
              <w:spacing w:before="40" w:after="40"/>
              <w:jc w:val="left"/>
            </w:pPr>
            <w:r>
              <w:rPr>
                <w:sz w:val="18"/>
              </w:rPr>
              <w:t>BMI</w:t>
            </w:r>
          </w:p>
        </w:tc>
        <w:tc>
          <w:tcPr>
            <w:tcW w:type="dxa" w:w="1728"/>
            <w:shd w:fill="F9FAFC"/>
          </w:tcPr>
          <w:p>
            <w:pPr>
              <w:spacing w:before="40" w:after="40"/>
              <w:jc w:val="center"/>
            </w:pPr>
            <w:r>
              <w:rPr>
                <w:sz w:val="18"/>
              </w:rPr>
              <w:t>Float</w:t>
            </w:r>
          </w:p>
        </w:tc>
        <w:tc>
          <w:tcPr>
            <w:tcW w:type="dxa" w:w="1872"/>
            <w:shd w:fill="F9FAFC"/>
          </w:tcPr>
          <w:p>
            <w:pPr>
              <w:spacing w:before="40" w:after="40"/>
              <w:jc w:val="left"/>
            </w:pPr>
            <w:r>
              <w:rPr>
                <w:sz w:val="18"/>
              </w:rPr>
              <w:t>Metabolic Metric</w:t>
            </w:r>
          </w:p>
        </w:tc>
        <w:tc>
          <w:tcPr>
            <w:tcW w:type="dxa" w:w="3168"/>
            <w:shd w:fill="F9FAFC"/>
          </w:tcPr>
          <w:p>
            <w:pPr>
              <w:spacing w:before="40" w:after="40"/>
              <w:jc w:val="left"/>
            </w:pPr>
            <w:r>
              <w:rPr>
                <w:sz w:val="18"/>
              </w:rPr>
              <w:t>18.00 to 40.00 kg/m²</w:t>
            </w:r>
          </w:p>
        </w:tc>
      </w:tr>
    </w:tbl>
    <w:p/>
    <w:p>
      <w:pPr>
        <w:spacing w:before="280" w:after="120"/>
      </w:pPr>
      <w:r>
        <w:rPr>
          <w:b/>
          <w:color w:val="2B5797"/>
          <w:sz w:val="30"/>
        </w:rPr>
        <w:t>6. Data Hygiene &amp; Preprocessing</w:t>
      </w:r>
    </w:p>
    <w:p>
      <w:pPr>
        <w:spacing w:after="120" w:line="276" w:lineRule="auto"/>
      </w:pPr>
      <w:r>
        <w:rPr>
          <w:sz w:val="21"/>
        </w:rPr>
        <w:t>Prior to statistical modeling, data hygiene validation was executed across all 5,000 rows. The dataset contains 0 null, NaN, or undefined values across all 12 columns.</w:t>
      </w:r>
    </w:p>
    <w:p>
      <w:pPr>
        <w:spacing w:before="280" w:after="120"/>
      </w:pPr>
      <w:r>
        <w:rPr>
          <w:b/>
          <w:color w:val="2B5797"/>
          <w:sz w:val="30"/>
        </w:rPr>
        <w:t>7. Descriptive Statistical Summary</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160"/>
            <w:shd w:fill="2B5797"/>
          </w:tcPr>
          <w:p>
            <w:pPr>
              <w:spacing w:before="60" w:after="60"/>
              <w:jc w:val="center"/>
            </w:pPr>
            <w:r>
              <w:rPr>
                <w:b/>
                <w:color w:val="FFFFFF"/>
                <w:sz w:val="19"/>
              </w:rPr>
              <w:t>Metric</w:t>
            </w:r>
          </w:p>
        </w:tc>
        <w:tc>
          <w:tcPr>
            <w:tcW w:type="dxa" w:w="1440"/>
            <w:shd w:fill="2B5797"/>
          </w:tcPr>
          <w:p>
            <w:pPr>
              <w:spacing w:before="60" w:after="60"/>
              <w:jc w:val="center"/>
            </w:pPr>
            <w:r>
              <w:rPr>
                <w:b/>
                <w:color w:val="FFFFFF"/>
                <w:sz w:val="19"/>
              </w:rPr>
              <w:t>Mean</w:t>
            </w:r>
          </w:p>
        </w:tc>
        <w:tc>
          <w:tcPr>
            <w:tcW w:type="dxa" w:w="1440"/>
            <w:shd w:fill="2B5797"/>
          </w:tcPr>
          <w:p>
            <w:pPr>
              <w:spacing w:before="60" w:after="60"/>
              <w:jc w:val="center"/>
            </w:pPr>
            <w:r>
              <w:rPr>
                <w:b/>
                <w:color w:val="FFFFFF"/>
                <w:sz w:val="19"/>
              </w:rPr>
              <w:t>Std Dev</w:t>
            </w:r>
          </w:p>
        </w:tc>
        <w:tc>
          <w:tcPr>
            <w:tcW w:type="dxa" w:w="1440"/>
            <w:shd w:fill="2B5797"/>
          </w:tcPr>
          <w:p>
            <w:pPr>
              <w:spacing w:before="60" w:after="60"/>
              <w:jc w:val="center"/>
            </w:pPr>
            <w:r>
              <w:rPr>
                <w:b/>
                <w:color w:val="FFFFFF"/>
                <w:sz w:val="19"/>
              </w:rPr>
              <w:t>Median (Q2)</w:t>
            </w:r>
          </w:p>
        </w:tc>
        <w:tc>
          <w:tcPr>
            <w:tcW w:type="dxa" w:w="1440"/>
            <w:shd w:fill="2B5797"/>
          </w:tcPr>
          <w:p>
            <w:pPr>
              <w:spacing w:before="60" w:after="60"/>
              <w:jc w:val="center"/>
            </w:pPr>
            <w:r>
              <w:rPr>
                <w:b/>
                <w:color w:val="FFFFFF"/>
                <w:sz w:val="19"/>
              </w:rPr>
              <w:t>IQR</w:t>
            </w:r>
          </w:p>
        </w:tc>
        <w:tc>
          <w:tcPr>
            <w:tcW w:type="dxa" w:w="1440"/>
            <w:shd w:fill="2B5797"/>
          </w:tcPr>
          <w:p>
            <w:pPr>
              <w:spacing w:before="60" w:after="60"/>
              <w:jc w:val="center"/>
            </w:pPr>
            <w:r>
              <w:rPr>
                <w:b/>
                <w:color w:val="FFFFFF"/>
                <w:sz w:val="19"/>
              </w:rPr>
              <w:t>Range (Min - Max)</w:t>
            </w:r>
          </w:p>
        </w:tc>
      </w:tr>
      <w:tr>
        <w:tc>
          <w:tcPr>
            <w:tcW w:type="dxa" w:w="2160"/>
            <w:shd w:fill="FFFFFF"/>
          </w:tcPr>
          <w:p>
            <w:pPr>
              <w:spacing w:before="40" w:after="40"/>
              <w:jc w:val="left"/>
            </w:pPr>
            <w:r>
              <w:rPr>
                <w:sz w:val="18"/>
              </w:rPr>
              <w:t>Age (Years)</w:t>
            </w:r>
          </w:p>
        </w:tc>
        <w:tc>
          <w:tcPr>
            <w:tcW w:type="dxa" w:w="1440"/>
            <w:shd w:fill="FFFFFF"/>
          </w:tcPr>
          <w:p>
            <w:pPr>
              <w:spacing w:before="40" w:after="40"/>
              <w:jc w:val="center"/>
            </w:pPr>
            <w:r>
              <w:rPr>
                <w:sz w:val="18"/>
              </w:rPr>
              <w:t>49.70</w:t>
            </w:r>
          </w:p>
        </w:tc>
        <w:tc>
          <w:tcPr>
            <w:tcW w:type="dxa" w:w="1440"/>
            <w:shd w:fill="FFFFFF"/>
          </w:tcPr>
          <w:p>
            <w:pPr>
              <w:spacing w:before="40" w:after="40"/>
              <w:jc w:val="center"/>
            </w:pPr>
            <w:r>
              <w:rPr>
                <w:sz w:val="18"/>
              </w:rPr>
              <w:t>17.27</w:t>
            </w:r>
          </w:p>
        </w:tc>
        <w:tc>
          <w:tcPr>
            <w:tcW w:type="dxa" w:w="1440"/>
            <w:shd w:fill="FFFFFF"/>
          </w:tcPr>
          <w:p>
            <w:pPr>
              <w:spacing w:before="40" w:after="40"/>
              <w:jc w:val="center"/>
            </w:pPr>
            <w:r>
              <w:rPr>
                <w:sz w:val="18"/>
              </w:rPr>
              <w:t>50.00</w:t>
            </w:r>
          </w:p>
        </w:tc>
        <w:tc>
          <w:tcPr>
            <w:tcW w:type="dxa" w:w="1440"/>
            <w:shd w:fill="FFFFFF"/>
          </w:tcPr>
          <w:p>
            <w:pPr>
              <w:spacing w:before="40" w:after="40"/>
              <w:jc w:val="center"/>
            </w:pPr>
            <w:r>
              <w:rPr>
                <w:sz w:val="18"/>
              </w:rPr>
              <w:t>30.00</w:t>
            </w:r>
          </w:p>
        </w:tc>
        <w:tc>
          <w:tcPr>
            <w:tcW w:type="dxa" w:w="1440"/>
            <w:shd w:fill="FFFFFF"/>
          </w:tcPr>
          <w:p>
            <w:pPr>
              <w:spacing w:before="40" w:after="40"/>
              <w:jc w:val="center"/>
            </w:pPr>
            <w:r>
              <w:rPr>
                <w:sz w:val="18"/>
              </w:rPr>
              <w:t>20 - 79</w:t>
            </w:r>
          </w:p>
        </w:tc>
      </w:tr>
      <w:tr>
        <w:tc>
          <w:tcPr>
            <w:tcW w:type="dxa" w:w="2160"/>
            <w:shd w:fill="F9FAFC"/>
          </w:tcPr>
          <w:p>
            <w:pPr>
              <w:spacing w:before="40" w:after="40"/>
              <w:jc w:val="left"/>
            </w:pPr>
            <w:r>
              <w:rPr>
                <w:sz w:val="18"/>
              </w:rPr>
              <w:t>Tumor Size (cm)</w:t>
            </w:r>
          </w:p>
        </w:tc>
        <w:tc>
          <w:tcPr>
            <w:tcW w:type="dxa" w:w="1440"/>
            <w:shd w:fill="F9FAFC"/>
          </w:tcPr>
          <w:p>
            <w:pPr>
              <w:spacing w:before="40" w:after="40"/>
              <w:jc w:val="center"/>
            </w:pPr>
            <w:r>
              <w:rPr>
                <w:sz w:val="18"/>
              </w:rPr>
              <w:t>5.19</w:t>
            </w:r>
          </w:p>
        </w:tc>
        <w:tc>
          <w:tcPr>
            <w:tcW w:type="dxa" w:w="1440"/>
            <w:shd w:fill="F9FAFC"/>
          </w:tcPr>
          <w:p>
            <w:pPr>
              <w:spacing w:before="40" w:after="40"/>
              <w:jc w:val="center"/>
            </w:pPr>
            <w:r>
              <w:rPr>
                <w:sz w:val="18"/>
              </w:rPr>
              <w:t>2.73</w:t>
            </w:r>
          </w:p>
        </w:tc>
        <w:tc>
          <w:tcPr>
            <w:tcW w:type="dxa" w:w="1440"/>
            <w:shd w:fill="F9FAFC"/>
          </w:tcPr>
          <w:p>
            <w:pPr>
              <w:spacing w:before="40" w:after="40"/>
              <w:jc w:val="center"/>
            </w:pPr>
            <w:r>
              <w:rPr>
                <w:sz w:val="18"/>
              </w:rPr>
              <w:t>5.14</w:t>
            </w:r>
          </w:p>
        </w:tc>
        <w:tc>
          <w:tcPr>
            <w:tcW w:type="dxa" w:w="1440"/>
            <w:shd w:fill="F9FAFC"/>
          </w:tcPr>
          <w:p>
            <w:pPr>
              <w:spacing w:before="40" w:after="40"/>
              <w:jc w:val="center"/>
            </w:pPr>
            <w:r>
              <w:rPr>
                <w:sz w:val="18"/>
              </w:rPr>
              <w:t>4.72</w:t>
            </w:r>
          </w:p>
        </w:tc>
        <w:tc>
          <w:tcPr>
            <w:tcW w:type="dxa" w:w="1440"/>
            <w:shd w:fill="F9FAFC"/>
          </w:tcPr>
          <w:p>
            <w:pPr>
              <w:spacing w:before="40" w:after="40"/>
              <w:jc w:val="center"/>
            </w:pPr>
            <w:r>
              <w:rPr>
                <w:sz w:val="18"/>
              </w:rPr>
              <w:t>0.50 - 10.00</w:t>
            </w:r>
          </w:p>
        </w:tc>
      </w:tr>
      <w:tr>
        <w:tc>
          <w:tcPr>
            <w:tcW w:type="dxa" w:w="2160"/>
            <w:shd w:fill="FFFFFF"/>
          </w:tcPr>
          <w:p>
            <w:pPr>
              <w:spacing w:before="40" w:after="40"/>
              <w:jc w:val="left"/>
            </w:pPr>
            <w:r>
              <w:rPr>
                <w:sz w:val="18"/>
              </w:rPr>
              <w:t>BMI (kg/m²)</w:t>
            </w:r>
          </w:p>
        </w:tc>
        <w:tc>
          <w:tcPr>
            <w:tcW w:type="dxa" w:w="1440"/>
            <w:shd w:fill="FFFFFF"/>
          </w:tcPr>
          <w:p>
            <w:pPr>
              <w:spacing w:before="40" w:after="40"/>
              <w:jc w:val="center"/>
            </w:pPr>
            <w:r>
              <w:rPr>
                <w:sz w:val="18"/>
              </w:rPr>
              <w:t>28.99</w:t>
            </w:r>
          </w:p>
        </w:tc>
        <w:tc>
          <w:tcPr>
            <w:tcW w:type="dxa" w:w="1440"/>
            <w:shd w:fill="FFFFFF"/>
          </w:tcPr>
          <w:p>
            <w:pPr>
              <w:spacing w:before="40" w:after="40"/>
              <w:jc w:val="center"/>
            </w:pPr>
            <w:r>
              <w:rPr>
                <w:sz w:val="18"/>
              </w:rPr>
              <w:t>6.34</w:t>
            </w:r>
          </w:p>
        </w:tc>
        <w:tc>
          <w:tcPr>
            <w:tcW w:type="dxa" w:w="1440"/>
            <w:shd w:fill="FFFFFF"/>
          </w:tcPr>
          <w:p>
            <w:pPr>
              <w:spacing w:before="40" w:after="40"/>
              <w:jc w:val="center"/>
            </w:pPr>
            <w:r>
              <w:rPr>
                <w:sz w:val="18"/>
              </w:rPr>
              <w:t>29.05</w:t>
            </w:r>
          </w:p>
        </w:tc>
        <w:tc>
          <w:tcPr>
            <w:tcW w:type="dxa" w:w="1440"/>
            <w:shd w:fill="FFFFFF"/>
          </w:tcPr>
          <w:p>
            <w:pPr>
              <w:spacing w:before="40" w:after="40"/>
              <w:jc w:val="center"/>
            </w:pPr>
            <w:r>
              <w:rPr>
                <w:sz w:val="18"/>
              </w:rPr>
              <w:t>10.96</w:t>
            </w:r>
          </w:p>
        </w:tc>
        <w:tc>
          <w:tcPr>
            <w:tcW w:type="dxa" w:w="1440"/>
            <w:shd w:fill="FFFFFF"/>
          </w:tcPr>
          <w:p>
            <w:pPr>
              <w:spacing w:before="40" w:after="40"/>
              <w:jc w:val="center"/>
            </w:pPr>
            <w:r>
              <w:rPr>
                <w:sz w:val="18"/>
              </w:rPr>
              <w:t>18.00 - 40.00</w:t>
            </w:r>
          </w:p>
        </w:tc>
      </w:tr>
      <w:tr>
        <w:tc>
          <w:tcPr>
            <w:tcW w:type="dxa" w:w="2160"/>
            <w:shd w:fill="F9FAFC"/>
          </w:tcPr>
          <w:p>
            <w:pPr>
              <w:spacing w:before="40" w:after="40"/>
              <w:jc w:val="left"/>
            </w:pPr>
            <w:r>
              <w:rPr>
                <w:sz w:val="18"/>
              </w:rPr>
              <w:t>Blood Pressure (mmHg)</w:t>
            </w:r>
          </w:p>
        </w:tc>
        <w:tc>
          <w:tcPr>
            <w:tcW w:type="dxa" w:w="1440"/>
            <w:shd w:fill="F9FAFC"/>
          </w:tcPr>
          <w:p>
            <w:pPr>
              <w:spacing w:before="40" w:after="40"/>
              <w:jc w:val="center"/>
            </w:pPr>
            <w:r>
              <w:rPr>
                <w:sz w:val="18"/>
              </w:rPr>
              <w:t>129.42</w:t>
            </w:r>
          </w:p>
        </w:tc>
        <w:tc>
          <w:tcPr>
            <w:tcW w:type="dxa" w:w="1440"/>
            <w:shd w:fill="F9FAFC"/>
          </w:tcPr>
          <w:p>
            <w:pPr>
              <w:spacing w:before="40" w:after="40"/>
              <w:jc w:val="center"/>
            </w:pPr>
            <w:r>
              <w:rPr>
                <w:sz w:val="18"/>
              </w:rPr>
              <w:t>28.64</w:t>
            </w:r>
          </w:p>
        </w:tc>
        <w:tc>
          <w:tcPr>
            <w:tcW w:type="dxa" w:w="1440"/>
            <w:shd w:fill="F9FAFC"/>
          </w:tcPr>
          <w:p>
            <w:pPr>
              <w:spacing w:before="40" w:after="40"/>
              <w:jc w:val="center"/>
            </w:pPr>
            <w:r>
              <w:rPr>
                <w:sz w:val="18"/>
              </w:rPr>
              <w:t>130.00</w:t>
            </w:r>
          </w:p>
        </w:tc>
        <w:tc>
          <w:tcPr>
            <w:tcW w:type="dxa" w:w="1440"/>
            <w:shd w:fill="F9FAFC"/>
          </w:tcPr>
          <w:p>
            <w:pPr>
              <w:spacing w:before="40" w:after="40"/>
              <w:jc w:val="center"/>
            </w:pPr>
            <w:r>
              <w:rPr>
                <w:sz w:val="18"/>
              </w:rPr>
              <w:t>49.00</w:t>
            </w:r>
          </w:p>
        </w:tc>
        <w:tc>
          <w:tcPr>
            <w:tcW w:type="dxa" w:w="1440"/>
            <w:shd w:fill="F9FAFC"/>
          </w:tcPr>
          <w:p>
            <w:pPr>
              <w:spacing w:before="40" w:after="40"/>
              <w:jc w:val="center"/>
            </w:pPr>
            <w:r>
              <w:rPr>
                <w:sz w:val="18"/>
              </w:rPr>
              <w:t>80 - 179</w:t>
            </w:r>
          </w:p>
        </w:tc>
      </w:tr>
      <w:tr>
        <w:tc>
          <w:tcPr>
            <w:tcW w:type="dxa" w:w="2160"/>
            <w:shd w:fill="FFFFFF"/>
          </w:tcPr>
          <w:p>
            <w:pPr>
              <w:spacing w:before="40" w:after="40"/>
              <w:jc w:val="left"/>
            </w:pPr>
            <w:r>
              <w:rPr>
                <w:sz w:val="18"/>
              </w:rPr>
              <w:t>Follow-Up (Months)</w:t>
            </w:r>
          </w:p>
        </w:tc>
        <w:tc>
          <w:tcPr>
            <w:tcW w:type="dxa" w:w="1440"/>
            <w:shd w:fill="FFFFFF"/>
          </w:tcPr>
          <w:p>
            <w:pPr>
              <w:spacing w:before="40" w:after="40"/>
              <w:jc w:val="center"/>
            </w:pPr>
            <w:r>
              <w:rPr>
                <w:sz w:val="18"/>
              </w:rPr>
              <w:t>66.15</w:t>
            </w:r>
          </w:p>
        </w:tc>
        <w:tc>
          <w:tcPr>
            <w:tcW w:type="dxa" w:w="1440"/>
            <w:shd w:fill="FFFFFF"/>
          </w:tcPr>
          <w:p>
            <w:pPr>
              <w:spacing w:before="40" w:after="40"/>
              <w:jc w:val="center"/>
            </w:pPr>
            <w:r>
              <w:rPr>
                <w:sz w:val="18"/>
              </w:rPr>
              <w:t>31.18</w:t>
            </w:r>
          </w:p>
        </w:tc>
        <w:tc>
          <w:tcPr>
            <w:tcW w:type="dxa" w:w="1440"/>
            <w:shd w:fill="FFFFFF"/>
          </w:tcPr>
          <w:p>
            <w:pPr>
              <w:spacing w:before="40" w:after="40"/>
              <w:jc w:val="center"/>
            </w:pPr>
            <w:r>
              <w:rPr>
                <w:sz w:val="18"/>
              </w:rPr>
              <w:t>66.00</w:t>
            </w:r>
          </w:p>
        </w:tc>
        <w:tc>
          <w:tcPr>
            <w:tcW w:type="dxa" w:w="1440"/>
            <w:shd w:fill="FFFFFF"/>
          </w:tcPr>
          <w:p>
            <w:pPr>
              <w:spacing w:before="40" w:after="40"/>
              <w:jc w:val="center"/>
            </w:pPr>
            <w:r>
              <w:rPr>
                <w:sz w:val="18"/>
              </w:rPr>
              <w:t>55.00</w:t>
            </w:r>
          </w:p>
        </w:tc>
        <w:tc>
          <w:tcPr>
            <w:tcW w:type="dxa" w:w="1440"/>
            <w:shd w:fill="FFFFFF"/>
          </w:tcPr>
          <w:p>
            <w:pPr>
              <w:spacing w:before="40" w:after="40"/>
              <w:jc w:val="center"/>
            </w:pPr>
            <w:r>
              <w:rPr>
                <w:sz w:val="18"/>
              </w:rPr>
              <w:t>12 - 119</w:t>
            </w:r>
          </w:p>
        </w:tc>
      </w:tr>
    </w:tbl>
    <w:p/>
    <w:p>
      <w:pPr>
        <w:spacing w:before="280" w:after="120"/>
      </w:pPr>
      <w:r>
        <w:rPr>
          <w:b/>
          <w:color w:val="2B5797"/>
          <w:sz w:val="30"/>
        </w:rPr>
        <w:t>8. Univariate Exploratory Analysis</w:t>
      </w:r>
    </w:p>
    <w:p>
      <w:pPr>
        <w:spacing w:before="200" w:after="80"/>
      </w:pPr>
      <w:r>
        <w:rPr>
          <w:b/>
          <w:color w:val="008080"/>
          <w:sz w:val="24"/>
        </w:rPr>
        <w:t>8.1 Distribution of Primary Tumor Size</w:t>
      </w:r>
    </w:p>
    <w:p>
      <w:pPr>
        <w:spacing w:before="120" w:after="80"/>
        <w:jc w:val="center"/>
      </w:pPr>
      <w:r>
        <w:drawing>
          <wp:inline xmlns:a="http://schemas.openxmlformats.org/drawingml/2006/main" xmlns:pic="http://schemas.openxmlformats.org/drawingml/2006/picture">
            <wp:extent cx="5303520" cy="3409406"/>
            <wp:docPr id="1" name="Picture 1"/>
            <wp:cNvGraphicFramePr>
              <a:graphicFrameLocks noChangeAspect="1"/>
            </wp:cNvGraphicFramePr>
            <a:graphic>
              <a:graphicData uri="http://schemas.openxmlformats.org/drawingml/2006/picture">
                <pic:pic>
                  <pic:nvPicPr>
                    <pic:cNvPr id="0" name="chart1_univariate_tumor_size.png"/>
                    <pic:cNvPicPr/>
                  </pic:nvPicPr>
                  <pic:blipFill>
                    <a:blip r:embed="rId9"/>
                    <a:stretch>
                      <a:fillRect/>
                    </a:stretch>
                  </pic:blipFill>
                  <pic:spPr>
                    <a:xfrm>
                      <a:off x="0" y="0"/>
                      <a:ext cx="5303520" cy="3409406"/>
                    </a:xfrm>
                    <a:prstGeom prst="rect"/>
                  </pic:spPr>
                </pic:pic>
              </a:graphicData>
            </a:graphic>
          </wp:inline>
        </w:drawing>
      </w:r>
    </w:p>
    <w:p>
      <w:pPr>
        <w:spacing w:after="80"/>
        <w:jc w:val="center"/>
      </w:pPr>
      <w:r>
        <w:rPr>
          <w:b/>
          <w:color w:val="505050"/>
          <w:sz w:val="19"/>
        </w:rPr>
        <w:t>Figure: Univariate Analysis: Tumor Size Distribution | Chart Type: Histogram with Kernel Density Estimate (KDE) | Variables: Tumor Size (cm) vs Patient Frequency</w:t>
      </w:r>
    </w:p>
    <w:tbl>
      <w:tblPr>
        <w:tblW w:type="auto" w:w="0"/>
        <w:jc w:val="center"/>
        <w:tblLook w:firstColumn="1" w:firstRow="1" w:lastColumn="0" w:lastRow="0" w:noHBand="0" w:noVBand="1" w:val="04A0"/>
      </w:tblPr>
      <w:tblGrid>
        <w:gridCol w:w="9360"/>
      </w:tblGrid>
      <w:tr>
        <w:tc>
          <w:tcPr>
            <w:tcW w:type="dxa" w:w="9360"/>
            <w:shd w:fill="F0F4F8"/>
            <w:tcBorders>
              <w:top w:val="none" w:sz="0" w:space="0" w:color="auto"/>
              <w:left w:val="single" w:sz="24" w:space="0" w:color="2B5797"/>
              <w:bottom w:val="none" w:sz="0" w:space="0" w:color="auto"/>
              <w:right w:val="none" w:sz="0" w:space="0" w:color="auto"/>
            </w:tcBorders>
          </w:tcPr>
          <w:p>
            <w:pPr>
              <w:spacing w:before="80" w:after="80"/>
            </w:pPr>
            <w:r>
              <w:rPr>
                <w:b/>
                <w:color w:val="2B5797"/>
                <w:sz w:val="20"/>
              </w:rPr>
              <w:t xml:space="preserve">Key Takeaway - Clinical &amp; Analytical Finding: </w:t>
            </w:r>
            <w:r>
              <w:rPr>
                <w:sz w:val="20"/>
              </w:rPr>
              <w:t>Tumor Size spans uniformly from 0.50 cm to 10.00 cm across 5,000 records (Mean: 5.19 cm, Median: 5.14 cm).</w:t>
            </w:r>
          </w:p>
        </w:tc>
      </w:tr>
    </w:tbl>
    <w:p/>
    <w:p>
      <w:pPr>
        <w:spacing w:before="200" w:after="80"/>
      </w:pPr>
      <w:r>
        <w:rPr>
          <w:b/>
          <w:color w:val="008080"/>
          <w:sz w:val="24"/>
        </w:rPr>
        <w:t>8.2 Distribution of Patient Age</w:t>
      </w:r>
    </w:p>
    <w:p>
      <w:pPr>
        <w:spacing w:before="120" w:after="80"/>
        <w:jc w:val="center"/>
      </w:pPr>
      <w:r>
        <w:drawing>
          <wp:inline xmlns:a="http://schemas.openxmlformats.org/drawingml/2006/main" xmlns:pic="http://schemas.openxmlformats.org/drawingml/2006/picture">
            <wp:extent cx="5303520" cy="3409406"/>
            <wp:docPr id="2" name="Picture 2"/>
            <wp:cNvGraphicFramePr>
              <a:graphicFrameLocks noChangeAspect="1"/>
            </wp:cNvGraphicFramePr>
            <a:graphic>
              <a:graphicData uri="http://schemas.openxmlformats.org/drawingml/2006/picture">
                <pic:pic>
                  <pic:nvPicPr>
                    <pic:cNvPr id="0" name="chart2_univariate_age.png"/>
                    <pic:cNvPicPr/>
                  </pic:nvPicPr>
                  <pic:blipFill>
                    <a:blip r:embed="rId10"/>
                    <a:stretch>
                      <a:fillRect/>
                    </a:stretch>
                  </pic:blipFill>
                  <pic:spPr>
                    <a:xfrm>
                      <a:off x="0" y="0"/>
                      <a:ext cx="5303520" cy="3409406"/>
                    </a:xfrm>
                    <a:prstGeom prst="rect"/>
                  </pic:spPr>
                </pic:pic>
              </a:graphicData>
            </a:graphic>
          </wp:inline>
        </w:drawing>
      </w:r>
    </w:p>
    <w:p>
      <w:pPr>
        <w:spacing w:after="80"/>
        <w:jc w:val="center"/>
      </w:pPr>
      <w:r>
        <w:rPr>
          <w:b/>
          <w:color w:val="505050"/>
          <w:sz w:val="19"/>
        </w:rPr>
        <w:t>Figure: Univariate Analysis: Patient Age Distribution | Chart Type: Histogram with Kernel Density Estimate (KDE) | Variables: Age (Years) vs Patient Frequency</w:t>
      </w:r>
    </w:p>
    <w:tbl>
      <w:tblPr>
        <w:tblW w:type="auto" w:w="0"/>
        <w:jc w:val="center"/>
        <w:tblLook w:firstColumn="1" w:firstRow="1" w:lastColumn="0" w:lastRow="0" w:noHBand="0" w:noVBand="1" w:val="04A0"/>
      </w:tblPr>
      <w:tblGrid>
        <w:gridCol w:w="9360"/>
      </w:tblGrid>
      <w:tr>
        <w:tc>
          <w:tcPr>
            <w:tcW w:type="dxa" w:w="9360"/>
            <w:shd w:fill="F0F4F8"/>
            <w:tcBorders>
              <w:top w:val="none" w:sz="0" w:space="0" w:color="auto"/>
              <w:left w:val="single" w:sz="24" w:space="0" w:color="2B5797"/>
              <w:bottom w:val="none" w:sz="0" w:space="0" w:color="auto"/>
              <w:right w:val="none" w:sz="0" w:space="0" w:color="auto"/>
            </w:tcBorders>
          </w:tcPr>
          <w:p>
            <w:pPr>
              <w:spacing w:before="80" w:after="80"/>
            </w:pPr>
            <w:r>
              <w:rPr>
                <w:b/>
                <w:color w:val="2B5797"/>
                <w:sz w:val="20"/>
              </w:rPr>
              <w:t xml:space="preserve">Key Takeaway - Clinical &amp; Analytical Finding: </w:t>
            </w:r>
            <w:r>
              <w:rPr>
                <w:sz w:val="20"/>
              </w:rPr>
              <w:t>Patient Age shows a balanced adult distribution ranging from 20 to 79 years (Mean: 49.70 years, Median: 50.00 years).</w:t>
            </w:r>
          </w:p>
        </w:tc>
      </w:tr>
    </w:tbl>
    <w:p/>
    <w:p>
      <w:pPr>
        <w:spacing w:before="200" w:after="80"/>
      </w:pPr>
      <w:r>
        <w:rPr>
          <w:b/>
          <w:color w:val="008080"/>
          <w:sz w:val="24"/>
        </w:rPr>
        <w:t>8.3 Distribution of Tumor Pathological Type</w:t>
      </w:r>
    </w:p>
    <w:p>
      <w:pPr>
        <w:spacing w:before="120" w:after="80"/>
        <w:jc w:val="center"/>
      </w:pPr>
      <w:r>
        <w:drawing>
          <wp:inline xmlns:a="http://schemas.openxmlformats.org/drawingml/2006/main" xmlns:pic="http://schemas.openxmlformats.org/drawingml/2006/picture">
            <wp:extent cx="5303520" cy="3535680"/>
            <wp:docPr id="3" name="Picture 3"/>
            <wp:cNvGraphicFramePr>
              <a:graphicFrameLocks noChangeAspect="1"/>
            </wp:cNvGraphicFramePr>
            <a:graphic>
              <a:graphicData uri="http://schemas.openxmlformats.org/drawingml/2006/picture">
                <pic:pic>
                  <pic:nvPicPr>
                    <pic:cNvPr id="0" name="chart3_univariate_tumor_type.png"/>
                    <pic:cNvPicPr/>
                  </pic:nvPicPr>
                  <pic:blipFill>
                    <a:blip r:embed="rId11"/>
                    <a:stretch>
                      <a:fillRect/>
                    </a:stretch>
                  </pic:blipFill>
                  <pic:spPr>
                    <a:xfrm>
                      <a:off x="0" y="0"/>
                      <a:ext cx="5303520" cy="3535680"/>
                    </a:xfrm>
                    <a:prstGeom prst="rect"/>
                  </pic:spPr>
                </pic:pic>
              </a:graphicData>
            </a:graphic>
          </wp:inline>
        </w:drawing>
      </w:r>
    </w:p>
    <w:p>
      <w:pPr>
        <w:spacing w:after="80"/>
        <w:jc w:val="center"/>
      </w:pPr>
      <w:r>
        <w:rPr>
          <w:b/>
          <w:color w:val="505050"/>
          <w:sz w:val="19"/>
        </w:rPr>
        <w:t>Figure: Univariate Analysis: Tumor Type Distribution | Chart Type: Categorical Bar Chart with Exact Annotations | Variables: Tumor Type (Benign vs Malignant) vs Patient Count</w:t>
      </w:r>
    </w:p>
    <w:tbl>
      <w:tblPr>
        <w:tblW w:type="auto" w:w="0"/>
        <w:jc w:val="center"/>
        <w:tblLook w:firstColumn="1" w:firstRow="1" w:lastColumn="0" w:lastRow="0" w:noHBand="0" w:noVBand="1" w:val="04A0"/>
      </w:tblPr>
      <w:tblGrid>
        <w:gridCol w:w="9360"/>
      </w:tblGrid>
      <w:tr>
        <w:tc>
          <w:tcPr>
            <w:tcW w:type="dxa" w:w="9360"/>
            <w:shd w:fill="F0F4F8"/>
            <w:tcBorders>
              <w:top w:val="none" w:sz="0" w:space="0" w:color="auto"/>
              <w:left w:val="single" w:sz="24" w:space="0" w:color="2B5797"/>
              <w:bottom w:val="none" w:sz="0" w:space="0" w:color="auto"/>
              <w:right w:val="none" w:sz="0" w:space="0" w:color="auto"/>
            </w:tcBorders>
          </w:tcPr>
          <w:p>
            <w:pPr>
              <w:spacing w:before="80" w:after="80"/>
            </w:pPr>
            <w:r>
              <w:rPr>
                <w:b/>
                <w:color w:val="2B5797"/>
                <w:sz w:val="20"/>
              </w:rPr>
              <w:t xml:space="preserve">Key Takeaway - Clinical &amp; Analytical Finding: </w:t>
            </w:r>
            <w:r>
              <w:rPr>
                <w:sz w:val="20"/>
              </w:rPr>
              <w:t>The dataset contains 2,481 Benign cases (49.6%) and 2,519 Malignant cases (50.4%).</w:t>
            </w:r>
          </w:p>
        </w:tc>
      </w:tr>
    </w:tbl>
    <w:p/>
    <w:p>
      <w:pPr>
        <w:spacing w:before="280" w:after="120"/>
      </w:pPr>
      <w:r>
        <w:rPr>
          <w:b/>
          <w:color w:val="2B5797"/>
          <w:sz w:val="30"/>
        </w:rPr>
        <w:t>9. Bivariate Diagnostic Analysis</w:t>
      </w:r>
    </w:p>
    <w:p>
      <w:pPr>
        <w:spacing w:before="200" w:after="80"/>
      </w:pPr>
      <w:r>
        <w:rPr>
          <w:b/>
          <w:color w:val="008080"/>
          <w:sz w:val="24"/>
        </w:rPr>
        <w:t>9.1 Tumor Size Across Benign vs Malignant Neoplasms</w:t>
      </w:r>
    </w:p>
    <w:p>
      <w:pPr>
        <w:spacing w:before="120" w:after="80"/>
        <w:jc w:val="center"/>
      </w:pPr>
      <w:r>
        <w:drawing>
          <wp:inline xmlns:a="http://schemas.openxmlformats.org/drawingml/2006/main" xmlns:pic="http://schemas.openxmlformats.org/drawingml/2006/picture">
            <wp:extent cx="5303520" cy="3671668"/>
            <wp:docPr id="4" name="Picture 4"/>
            <wp:cNvGraphicFramePr>
              <a:graphicFrameLocks noChangeAspect="1"/>
            </wp:cNvGraphicFramePr>
            <a:graphic>
              <a:graphicData uri="http://schemas.openxmlformats.org/drawingml/2006/picture">
                <pic:pic>
                  <pic:nvPicPr>
                    <pic:cNvPr id="0" name="chart4_bivariate_type_size.png"/>
                    <pic:cNvPicPr/>
                  </pic:nvPicPr>
                  <pic:blipFill>
                    <a:blip r:embed="rId12"/>
                    <a:stretch>
                      <a:fillRect/>
                    </a:stretch>
                  </pic:blipFill>
                  <pic:spPr>
                    <a:xfrm>
                      <a:off x="0" y="0"/>
                      <a:ext cx="5303520" cy="3671668"/>
                    </a:xfrm>
                    <a:prstGeom prst="rect"/>
                  </pic:spPr>
                </pic:pic>
              </a:graphicData>
            </a:graphic>
          </wp:inline>
        </w:drawing>
      </w:r>
    </w:p>
    <w:p>
      <w:pPr>
        <w:spacing w:after="80"/>
        <w:jc w:val="center"/>
      </w:pPr>
      <w:r>
        <w:rPr>
          <w:b/>
          <w:color w:val="505050"/>
          <w:sz w:val="19"/>
        </w:rPr>
        <w:t>Figure: Bivariate Analysis: Tumor Size by Tumor Type | Chart Type: Side-by-Side Box Plot | Variables: Tumor Type vs Tumor Size (cm)</w:t>
      </w:r>
    </w:p>
    <w:tbl>
      <w:tblPr>
        <w:tblW w:type="auto" w:w="0"/>
        <w:jc w:val="center"/>
        <w:tblLook w:firstColumn="1" w:firstRow="1" w:lastColumn="0" w:lastRow="0" w:noHBand="0" w:noVBand="1" w:val="04A0"/>
      </w:tblPr>
      <w:tblGrid>
        <w:gridCol w:w="9360"/>
      </w:tblGrid>
      <w:tr>
        <w:tc>
          <w:tcPr>
            <w:tcW w:type="dxa" w:w="9360"/>
            <w:shd w:fill="F0F4F8"/>
            <w:tcBorders>
              <w:top w:val="none" w:sz="0" w:space="0" w:color="auto"/>
              <w:left w:val="single" w:sz="24" w:space="0" w:color="2B5797"/>
              <w:bottom w:val="none" w:sz="0" w:space="0" w:color="auto"/>
              <w:right w:val="none" w:sz="0" w:space="0" w:color="auto"/>
            </w:tcBorders>
          </w:tcPr>
          <w:p>
            <w:pPr>
              <w:spacing w:before="80" w:after="80"/>
            </w:pPr>
            <w:r>
              <w:rPr>
                <w:b/>
                <w:color w:val="2B5797"/>
                <w:sz w:val="20"/>
              </w:rPr>
              <w:t xml:space="preserve">Key Takeaway - Clinical &amp; Analytical Finding: </w:t>
            </w:r>
            <w:r>
              <w:rPr>
                <w:sz w:val="20"/>
              </w:rPr>
              <w:t>Benign and Malignant lesions exhibit identical median dimensions.</w:t>
            </w:r>
          </w:p>
        </w:tc>
      </w:tr>
    </w:tbl>
    <w:p/>
    <w:p>
      <w:pPr>
        <w:spacing w:before="200" w:after="80"/>
      </w:pPr>
      <w:r>
        <w:rPr>
          <w:b/>
          <w:color w:val="008080"/>
          <w:sz w:val="24"/>
        </w:rPr>
        <w:t>9.2 Tumor Size Across Lymph Node Status</w:t>
      </w:r>
    </w:p>
    <w:p>
      <w:pPr>
        <w:spacing w:before="120" w:after="80"/>
        <w:jc w:val="center"/>
      </w:pPr>
      <w:r>
        <w:drawing>
          <wp:inline xmlns:a="http://schemas.openxmlformats.org/drawingml/2006/main" xmlns:pic="http://schemas.openxmlformats.org/drawingml/2006/picture">
            <wp:extent cx="5303520" cy="3671668"/>
            <wp:docPr id="5" name="Picture 5"/>
            <wp:cNvGraphicFramePr>
              <a:graphicFrameLocks noChangeAspect="1"/>
            </wp:cNvGraphicFramePr>
            <a:graphic>
              <a:graphicData uri="http://schemas.openxmlformats.org/drawingml/2006/picture">
                <pic:pic>
                  <pic:nvPicPr>
                    <pic:cNvPr id="0" name="chart5_bivariate_lymph_size.png"/>
                    <pic:cNvPicPr/>
                  </pic:nvPicPr>
                  <pic:blipFill>
                    <a:blip r:embed="rId13"/>
                    <a:stretch>
                      <a:fillRect/>
                    </a:stretch>
                  </pic:blipFill>
                  <pic:spPr>
                    <a:xfrm>
                      <a:off x="0" y="0"/>
                      <a:ext cx="5303520" cy="3671668"/>
                    </a:xfrm>
                    <a:prstGeom prst="rect"/>
                  </pic:spPr>
                </pic:pic>
              </a:graphicData>
            </a:graphic>
          </wp:inline>
        </w:drawing>
      </w:r>
    </w:p>
    <w:p>
      <w:pPr>
        <w:spacing w:after="80"/>
        <w:jc w:val="center"/>
      </w:pPr>
      <w:r>
        <w:rPr>
          <w:b/>
          <w:color w:val="505050"/>
          <w:sz w:val="19"/>
        </w:rPr>
        <w:t>Figure: Bivariate Analysis: Tumor Size by Lymph Node Status | Chart Type: Side-by-Side Box Plot | Variables: Lymph Node Status vs Tumor Size (cm)</w:t>
      </w:r>
    </w:p>
    <w:tbl>
      <w:tblPr>
        <w:tblW w:type="auto" w:w="0"/>
        <w:jc w:val="center"/>
        <w:tblLook w:firstColumn="1" w:firstRow="1" w:lastColumn="0" w:lastRow="0" w:noHBand="0" w:noVBand="1" w:val="04A0"/>
      </w:tblPr>
      <w:tblGrid>
        <w:gridCol w:w="9360"/>
      </w:tblGrid>
      <w:tr>
        <w:tc>
          <w:tcPr>
            <w:tcW w:type="dxa" w:w="9360"/>
            <w:shd w:fill="F0F4F8"/>
            <w:tcBorders>
              <w:top w:val="none" w:sz="0" w:space="0" w:color="auto"/>
              <w:left w:val="single" w:sz="24" w:space="0" w:color="2B5797"/>
              <w:bottom w:val="none" w:sz="0" w:space="0" w:color="auto"/>
              <w:right w:val="none" w:sz="0" w:space="0" w:color="auto"/>
            </w:tcBorders>
          </w:tcPr>
          <w:p>
            <w:pPr>
              <w:spacing w:before="80" w:after="80"/>
            </w:pPr>
            <w:r>
              <w:rPr>
                <w:b/>
                <w:color w:val="2B5797"/>
                <w:sz w:val="20"/>
              </w:rPr>
              <w:t xml:space="preserve">Key Takeaway - Clinical &amp; Analytical Finding: </w:t>
            </w:r>
            <w:r>
              <w:rPr>
                <w:sz w:val="20"/>
              </w:rPr>
              <w:t>Lymph Node Negative and Positive cases show equivalent box boundaries.</w:t>
            </w:r>
          </w:p>
        </w:tc>
      </w:tr>
    </w:tbl>
    <w:p/>
    <w:p>
      <w:pPr>
        <w:spacing w:before="200" w:after="80"/>
      </w:pPr>
      <w:r>
        <w:rPr>
          <w:b/>
          <w:color w:val="008080"/>
          <w:sz w:val="24"/>
        </w:rPr>
        <w:t>9.3 Tumor Size Across Hormone Receptor Status</w:t>
      </w:r>
    </w:p>
    <w:p>
      <w:pPr>
        <w:spacing w:before="120" w:after="80"/>
        <w:jc w:val="center"/>
      </w:pPr>
      <w:r>
        <w:drawing>
          <wp:inline xmlns:a="http://schemas.openxmlformats.org/drawingml/2006/main" xmlns:pic="http://schemas.openxmlformats.org/drawingml/2006/picture">
            <wp:extent cx="5303520" cy="3671668"/>
            <wp:docPr id="6" name="Picture 6"/>
            <wp:cNvGraphicFramePr>
              <a:graphicFrameLocks noChangeAspect="1"/>
            </wp:cNvGraphicFramePr>
            <a:graphic>
              <a:graphicData uri="http://schemas.openxmlformats.org/drawingml/2006/picture">
                <pic:pic>
                  <pic:nvPicPr>
                    <pic:cNvPr id="0" name="chart6_bivariate_hormone_size.png"/>
                    <pic:cNvPicPr/>
                  </pic:nvPicPr>
                  <pic:blipFill>
                    <a:blip r:embed="rId14"/>
                    <a:stretch>
                      <a:fillRect/>
                    </a:stretch>
                  </pic:blipFill>
                  <pic:spPr>
                    <a:xfrm>
                      <a:off x="0" y="0"/>
                      <a:ext cx="5303520" cy="3671668"/>
                    </a:xfrm>
                    <a:prstGeom prst="rect"/>
                  </pic:spPr>
                </pic:pic>
              </a:graphicData>
            </a:graphic>
          </wp:inline>
        </w:drawing>
      </w:r>
    </w:p>
    <w:p>
      <w:pPr>
        <w:spacing w:after="80"/>
        <w:jc w:val="center"/>
      </w:pPr>
      <w:r>
        <w:rPr>
          <w:b/>
          <w:color w:val="505050"/>
          <w:sz w:val="19"/>
        </w:rPr>
        <w:t>Figure: Bivariate Analysis: Tumor Size by Hormone Receptor Status | Chart Type: Side-by-Side Box Plot (Negative, Positive, Unknown) | Variables: Hormone Receptor Status vs Tumor Size (cm)</w:t>
      </w:r>
    </w:p>
    <w:tbl>
      <w:tblPr>
        <w:tblW w:type="auto" w:w="0"/>
        <w:jc w:val="center"/>
        <w:tblLook w:firstColumn="1" w:firstRow="1" w:lastColumn="0" w:lastRow="0" w:noHBand="0" w:noVBand="1" w:val="04A0"/>
      </w:tblPr>
      <w:tblGrid>
        <w:gridCol w:w="9360"/>
      </w:tblGrid>
      <w:tr>
        <w:tc>
          <w:tcPr>
            <w:tcW w:type="dxa" w:w="9360"/>
            <w:shd w:fill="F0F4F8"/>
            <w:tcBorders>
              <w:top w:val="none" w:sz="0" w:space="0" w:color="auto"/>
              <w:left w:val="single" w:sz="24" w:space="0" w:color="2B5797"/>
              <w:bottom w:val="none" w:sz="0" w:space="0" w:color="auto"/>
              <w:right w:val="none" w:sz="0" w:space="0" w:color="auto"/>
            </w:tcBorders>
          </w:tcPr>
          <w:p>
            <w:pPr>
              <w:spacing w:before="80" w:after="80"/>
            </w:pPr>
            <w:r>
              <w:rPr>
                <w:b/>
                <w:color w:val="2B5797"/>
                <w:sz w:val="20"/>
              </w:rPr>
              <w:t xml:space="preserve">Key Takeaway - Clinical &amp; Analytical Finding: </w:t>
            </w:r>
            <w:r>
              <w:rPr>
                <w:sz w:val="20"/>
              </w:rPr>
              <w:t>Receptor-negative, positive, and unknown subgroups present identical median dimensions (~5.14 cm).</w:t>
            </w:r>
          </w:p>
        </w:tc>
      </w:tr>
    </w:tbl>
    <w:p/>
    <w:p>
      <w:pPr>
        <w:spacing w:before="200" w:after="80"/>
      </w:pPr>
      <w:r>
        <w:rPr>
          <w:b/>
          <w:color w:val="008080"/>
          <w:sz w:val="24"/>
        </w:rPr>
        <w:t>9.4 Survival Status Across Tumor Pathological Types</w:t>
      </w:r>
    </w:p>
    <w:p>
      <w:pPr>
        <w:spacing w:before="120" w:after="80"/>
        <w:jc w:val="center"/>
      </w:pPr>
      <w:r>
        <w:drawing>
          <wp:inline xmlns:a="http://schemas.openxmlformats.org/drawingml/2006/main" xmlns:pic="http://schemas.openxmlformats.org/drawingml/2006/picture">
            <wp:extent cx="5303520" cy="3409406"/>
            <wp:docPr id="7" name="Picture 7"/>
            <wp:cNvGraphicFramePr>
              <a:graphicFrameLocks noChangeAspect="1"/>
            </wp:cNvGraphicFramePr>
            <a:graphic>
              <a:graphicData uri="http://schemas.openxmlformats.org/drawingml/2006/picture">
                <pic:pic>
                  <pic:nvPicPr>
                    <pic:cNvPr id="0" name="chart7_bivariate_type_survival.png"/>
                    <pic:cNvPicPr/>
                  </pic:nvPicPr>
                  <pic:blipFill>
                    <a:blip r:embed="rId15"/>
                    <a:stretch>
                      <a:fillRect/>
                    </a:stretch>
                  </pic:blipFill>
                  <pic:spPr>
                    <a:xfrm>
                      <a:off x="0" y="0"/>
                      <a:ext cx="5303520" cy="3409406"/>
                    </a:xfrm>
                    <a:prstGeom prst="rect"/>
                  </pic:spPr>
                </pic:pic>
              </a:graphicData>
            </a:graphic>
          </wp:inline>
        </w:drawing>
      </w:r>
    </w:p>
    <w:p>
      <w:pPr>
        <w:spacing w:after="80"/>
        <w:jc w:val="center"/>
      </w:pPr>
      <w:r>
        <w:rPr>
          <w:b/>
          <w:color w:val="505050"/>
          <w:sz w:val="19"/>
        </w:rPr>
        <w:t>Figure: Bivariate Analysis: Survival Status by Tumor Type | Chart Type: Grouped Categorical Bar Chart | Variables: Tumor Type vs Patient Count</w:t>
      </w:r>
    </w:p>
    <w:tbl>
      <w:tblPr>
        <w:tblW w:type="auto" w:w="0"/>
        <w:jc w:val="center"/>
        <w:tblLook w:firstColumn="1" w:firstRow="1" w:lastColumn="0" w:lastRow="0" w:noHBand="0" w:noVBand="1" w:val="04A0"/>
      </w:tblPr>
      <w:tblGrid>
        <w:gridCol w:w="9360"/>
      </w:tblGrid>
      <w:tr>
        <w:tc>
          <w:tcPr>
            <w:tcW w:type="dxa" w:w="9360"/>
            <w:shd w:fill="F0F4F8"/>
            <w:tcBorders>
              <w:top w:val="none" w:sz="0" w:space="0" w:color="auto"/>
              <w:left w:val="single" w:sz="24" w:space="0" w:color="2B5797"/>
              <w:bottom w:val="none" w:sz="0" w:space="0" w:color="auto"/>
              <w:right w:val="none" w:sz="0" w:space="0" w:color="auto"/>
            </w:tcBorders>
          </w:tcPr>
          <w:p>
            <w:pPr>
              <w:spacing w:before="80" w:after="80"/>
            </w:pPr>
            <w:r>
              <w:rPr>
                <w:b/>
                <w:color w:val="2B5797"/>
                <w:sz w:val="20"/>
              </w:rPr>
              <w:t xml:space="preserve">Key Takeaway - Clinical &amp; Analytical Finding: </w:t>
            </w:r>
            <w:r>
              <w:rPr>
                <w:sz w:val="20"/>
              </w:rPr>
              <w:t>Survival proportions are consistent across both groups.</w:t>
            </w:r>
          </w:p>
        </w:tc>
      </w:tr>
    </w:tbl>
    <w:p/>
    <w:p>
      <w:pPr>
        <w:spacing w:before="200" w:after="80"/>
      </w:pPr>
      <w:r>
        <w:rPr>
          <w:b/>
          <w:color w:val="008080"/>
          <w:sz w:val="24"/>
        </w:rPr>
        <w:t>9.5 Age vs Tumor Size by Tumor Type (with Category Trend Lines)</w:t>
      </w:r>
    </w:p>
    <w:p>
      <w:pPr>
        <w:spacing w:before="120" w:after="80"/>
        <w:jc w:val="center"/>
      </w:pPr>
      <w:r>
        <w:drawing>
          <wp:inline xmlns:a="http://schemas.openxmlformats.org/drawingml/2006/main" xmlns:pic="http://schemas.openxmlformats.org/drawingml/2006/picture">
            <wp:extent cx="5303520" cy="3646170"/>
            <wp:docPr id="8" name="Picture 8"/>
            <wp:cNvGraphicFramePr>
              <a:graphicFrameLocks noChangeAspect="1"/>
            </wp:cNvGraphicFramePr>
            <a:graphic>
              <a:graphicData uri="http://schemas.openxmlformats.org/drawingml/2006/picture">
                <pic:pic>
                  <pic:nvPicPr>
                    <pic:cNvPr id="0" name="chart8_bivariate_age_size_scatter.png"/>
                    <pic:cNvPicPr/>
                  </pic:nvPicPr>
                  <pic:blipFill>
                    <a:blip r:embed="rId16"/>
                    <a:stretch>
                      <a:fillRect/>
                    </a:stretch>
                  </pic:blipFill>
                  <pic:spPr>
                    <a:xfrm>
                      <a:off x="0" y="0"/>
                      <a:ext cx="5303520" cy="3646170"/>
                    </a:xfrm>
                    <a:prstGeom prst="rect"/>
                  </pic:spPr>
                </pic:pic>
              </a:graphicData>
            </a:graphic>
          </wp:inline>
        </w:drawing>
      </w:r>
    </w:p>
    <w:p>
      <w:pPr>
        <w:spacing w:after="80"/>
        <w:jc w:val="center"/>
      </w:pPr>
      <w:r>
        <w:rPr>
          <w:b/>
          <w:color w:val="505050"/>
          <w:sz w:val="19"/>
        </w:rPr>
        <w:t>Figure: Age vs Tumor Size by Tumor Type (with Category Trend Lines) | Chart Type: Publication-Quality Scatter Plot (Red: Malignant, Blue: Benign) with Individual Linear Regression Trend Lines | Variables: Patient Age (Years) vs Tumor Size (cm)</w:t>
      </w:r>
    </w:p>
    <w:tbl>
      <w:tblPr>
        <w:tblW w:type="auto" w:w="0"/>
        <w:jc w:val="center"/>
        <w:tblLook w:firstColumn="1" w:firstRow="1" w:lastColumn="0" w:lastRow="0" w:noHBand="0" w:noVBand="1" w:val="04A0"/>
      </w:tblPr>
      <w:tblGrid>
        <w:gridCol w:w="9360"/>
      </w:tblGrid>
      <w:tr>
        <w:tc>
          <w:tcPr>
            <w:tcW w:type="dxa" w:w="9360"/>
            <w:shd w:fill="F0F4F8"/>
            <w:tcBorders>
              <w:top w:val="none" w:sz="0" w:space="0" w:color="auto"/>
              <w:left w:val="single" w:sz="24" w:space="0" w:color="2B5797"/>
              <w:bottom w:val="none" w:sz="0" w:space="0" w:color="auto"/>
              <w:right w:val="none" w:sz="0" w:space="0" w:color="auto"/>
            </w:tcBorders>
          </w:tcPr>
          <w:p>
            <w:pPr>
              <w:spacing w:before="80" w:after="80"/>
            </w:pPr>
            <w:r>
              <w:rPr>
                <w:b/>
                <w:color w:val="2B5797"/>
                <w:sz w:val="20"/>
              </w:rPr>
              <w:t xml:space="preserve">Key Takeaway - Clinical &amp; Analytical Finding: </w:t>
            </w:r>
            <w:r>
              <w:rPr>
                <w:sz w:val="20"/>
              </w:rPr>
              <w:t>Visualizes patient age versus tumor size disaggregated into Malignant (Red dots) and Benign (Blue dots) with individual linear regression trend lines and a clear legend in the bottom right.</w:t>
            </w:r>
          </w:p>
        </w:tc>
      </w:tr>
    </w:tbl>
    <w:p/>
    <w:p>
      <w:pPr>
        <w:spacing w:before="280" w:after="120"/>
      </w:pPr>
      <w:r>
        <w:rPr>
          <w:b/>
          <w:color w:val="2B5797"/>
          <w:sz w:val="30"/>
        </w:rPr>
        <w:t>10. Outcome Analysis</w:t>
      </w:r>
    </w:p>
    <w:p>
      <w:pPr>
        <w:spacing w:before="120" w:after="80"/>
        <w:jc w:val="center"/>
      </w:pPr>
      <w:r>
        <w:drawing>
          <wp:inline xmlns:a="http://schemas.openxmlformats.org/drawingml/2006/main" xmlns:pic="http://schemas.openxmlformats.org/drawingml/2006/picture">
            <wp:extent cx="5303520" cy="3535680"/>
            <wp:docPr id="9" name="Picture 9"/>
            <wp:cNvGraphicFramePr>
              <a:graphicFrameLocks noChangeAspect="1"/>
            </wp:cNvGraphicFramePr>
            <a:graphic>
              <a:graphicData uri="http://schemas.openxmlformats.org/drawingml/2006/picture">
                <pic:pic>
                  <pic:nvPicPr>
                    <pic:cNvPr id="0" name="chart9_outcome_survival.png"/>
                    <pic:cNvPicPr/>
                  </pic:nvPicPr>
                  <pic:blipFill>
                    <a:blip r:embed="rId17"/>
                    <a:stretch>
                      <a:fillRect/>
                    </a:stretch>
                  </pic:blipFill>
                  <pic:spPr>
                    <a:xfrm>
                      <a:off x="0" y="0"/>
                      <a:ext cx="5303520" cy="3535680"/>
                    </a:xfrm>
                    <a:prstGeom prst="rect"/>
                  </pic:spPr>
                </pic:pic>
              </a:graphicData>
            </a:graphic>
          </wp:inline>
        </w:drawing>
      </w:r>
    </w:p>
    <w:p>
      <w:pPr>
        <w:spacing w:after="80"/>
        <w:jc w:val="center"/>
      </w:pPr>
      <w:r>
        <w:rPr>
          <w:b/>
          <w:color w:val="505050"/>
          <w:sz w:val="19"/>
        </w:rPr>
        <w:t>Figure: Outcome Analysis: Survival Status Distribution | Chart Type: Annotated Outcome Bar Chart | Variables: Survival Status vs Patient Count</w:t>
      </w:r>
    </w:p>
    <w:tbl>
      <w:tblPr>
        <w:tblW w:type="auto" w:w="0"/>
        <w:jc w:val="center"/>
        <w:tblLook w:firstColumn="1" w:firstRow="1" w:lastColumn="0" w:lastRow="0" w:noHBand="0" w:noVBand="1" w:val="04A0"/>
      </w:tblPr>
      <w:tblGrid>
        <w:gridCol w:w="9360"/>
      </w:tblGrid>
      <w:tr>
        <w:tc>
          <w:tcPr>
            <w:tcW w:type="dxa" w:w="9360"/>
            <w:shd w:fill="F0F4F8"/>
            <w:tcBorders>
              <w:top w:val="none" w:sz="0" w:space="0" w:color="auto"/>
              <w:left w:val="single" w:sz="24" w:space="0" w:color="2B5797"/>
              <w:bottom w:val="none" w:sz="0" w:space="0" w:color="auto"/>
              <w:right w:val="none" w:sz="0" w:space="0" w:color="auto"/>
            </w:tcBorders>
          </w:tcPr>
          <w:p>
            <w:pPr>
              <w:spacing w:before="80" w:after="80"/>
            </w:pPr>
            <w:r>
              <w:rPr>
                <w:b/>
                <w:color w:val="2B5797"/>
                <w:sz w:val="20"/>
              </w:rPr>
              <w:t xml:space="preserve">Key Takeaway - Clinical &amp; Analytical Finding: </w:t>
            </w:r>
            <w:r>
              <w:rPr>
                <w:sz w:val="20"/>
              </w:rPr>
              <w:t>The cohort reflects 2,596 Alive patients (51.92%) and 2,404 Deceased patients (48.08%).</w:t>
            </w:r>
          </w:p>
        </w:tc>
      </w:tr>
    </w:tbl>
    <w:p/>
    <w:p>
      <w:pPr>
        <w:spacing w:before="280" w:after="120"/>
      </w:pPr>
      <w:r>
        <w:rPr>
          <w:b/>
          <w:color w:val="2B5797"/>
          <w:sz w:val="30"/>
        </w:rPr>
        <w:t>11. Multivariate Analysis: Pair Plot Grid</w:t>
      </w:r>
    </w:p>
    <w:p>
      <w:pPr>
        <w:spacing w:before="120" w:after="80"/>
        <w:jc w:val="center"/>
      </w:pPr>
      <w:r>
        <w:drawing>
          <wp:inline xmlns:a="http://schemas.openxmlformats.org/drawingml/2006/main" xmlns:pic="http://schemas.openxmlformats.org/drawingml/2006/picture">
            <wp:extent cx="5669280" cy="4911857"/>
            <wp:docPr id="10" name="Picture 10"/>
            <wp:cNvGraphicFramePr>
              <a:graphicFrameLocks noChangeAspect="1"/>
            </wp:cNvGraphicFramePr>
            <a:graphic>
              <a:graphicData uri="http://schemas.openxmlformats.org/drawingml/2006/picture">
                <pic:pic>
                  <pic:nvPicPr>
                    <pic:cNvPr id="0" name="chart10_multivariate_pairplot.png"/>
                    <pic:cNvPicPr/>
                  </pic:nvPicPr>
                  <pic:blipFill>
                    <a:blip r:embed="rId18"/>
                    <a:stretch>
                      <a:fillRect/>
                    </a:stretch>
                  </pic:blipFill>
                  <pic:spPr>
                    <a:xfrm>
                      <a:off x="0" y="0"/>
                      <a:ext cx="5669280" cy="4911857"/>
                    </a:xfrm>
                    <a:prstGeom prst="rect"/>
                  </pic:spPr>
                </pic:pic>
              </a:graphicData>
            </a:graphic>
          </wp:inline>
        </w:drawing>
      </w:r>
    </w:p>
    <w:p>
      <w:pPr>
        <w:spacing w:after="80"/>
        <w:jc w:val="center"/>
      </w:pPr>
      <w:r>
        <w:rPr>
          <w:b/>
          <w:color w:val="505050"/>
          <w:sz w:val="19"/>
        </w:rPr>
        <w:t>Figure: Multivariate Pair Plot: Clinical &amp; Diagnostic Metrics by Tumor Type (5×5 Grid) | Chart Type: 5×5 Grid of Scatter Plots with KDE Density Diagonals | Variables: 5 Continuous Metrics (Age, Size, BMI, BP, Follow-Up) vs 5 Continuous Metrics (Hue: Tumor Type)</w:t>
      </w:r>
    </w:p>
    <w:tbl>
      <w:tblPr>
        <w:tblW w:type="auto" w:w="0"/>
        <w:jc w:val="center"/>
        <w:tblLook w:firstColumn="1" w:firstRow="1" w:lastColumn="0" w:lastRow="0" w:noHBand="0" w:noVBand="1" w:val="04A0"/>
      </w:tblPr>
      <w:tblGrid>
        <w:gridCol w:w="9360"/>
      </w:tblGrid>
      <w:tr>
        <w:tc>
          <w:tcPr>
            <w:tcW w:type="dxa" w:w="9360"/>
            <w:shd w:fill="F0F4F8"/>
            <w:tcBorders>
              <w:top w:val="none" w:sz="0" w:space="0" w:color="auto"/>
              <w:left w:val="single" w:sz="24" w:space="0" w:color="2B5797"/>
              <w:bottom w:val="none" w:sz="0" w:space="0" w:color="auto"/>
              <w:right w:val="none" w:sz="0" w:space="0" w:color="auto"/>
            </w:tcBorders>
          </w:tcPr>
          <w:p>
            <w:pPr>
              <w:spacing w:before="80" w:after="80"/>
            </w:pPr>
            <w:r>
              <w:rPr>
                <w:b/>
                <w:color w:val="2B5797"/>
                <w:sz w:val="20"/>
              </w:rPr>
              <w:t xml:space="preserve">Key Takeaway - Clinical &amp; Analytical Finding: </w:t>
            </w:r>
            <w:r>
              <w:rPr>
                <w:sz w:val="20"/>
              </w:rPr>
              <w:t>The smooth KDE diagonal curves confirm identical distribution curves for Benign and Malignant cases across all 5 variables. The off-diagonal scatter plots exhibit spherical dispersion with zero clustering.</w:t>
            </w:r>
          </w:p>
        </w:tc>
      </w:tr>
    </w:tbl>
    <w:p/>
    <w:p>
      <w:pPr>
        <w:spacing w:before="280" w:after="120"/>
      </w:pPr>
      <w:r>
        <w:rPr>
          <w:b/>
          <w:color w:val="2B5797"/>
          <w:sz w:val="30"/>
        </w:rPr>
        <w:t>12. Correlation &amp; Diagnostic Metric Analysis</w:t>
      </w:r>
    </w:p>
    <w:p>
      <w:pPr>
        <w:spacing w:before="120" w:after="80"/>
        <w:jc w:val="center"/>
      </w:pPr>
      <w:r>
        <w:drawing>
          <wp:inline xmlns:a="http://schemas.openxmlformats.org/drawingml/2006/main" xmlns:pic="http://schemas.openxmlformats.org/drawingml/2006/picture">
            <wp:extent cx="5303520" cy="3977640"/>
            <wp:docPr id="11" name="Picture 11"/>
            <wp:cNvGraphicFramePr>
              <a:graphicFrameLocks noChangeAspect="1"/>
            </wp:cNvGraphicFramePr>
            <a:graphic>
              <a:graphicData uri="http://schemas.openxmlformats.org/drawingml/2006/picture">
                <pic:pic>
                  <pic:nvPicPr>
                    <pic:cNvPr id="0" name="chart11_correlation_heatmap.png"/>
                    <pic:cNvPicPr/>
                  </pic:nvPicPr>
                  <pic:blipFill>
                    <a:blip r:embed="rId19"/>
                    <a:stretch>
                      <a:fillRect/>
                    </a:stretch>
                  </pic:blipFill>
                  <pic:spPr>
                    <a:xfrm>
                      <a:off x="0" y="0"/>
                      <a:ext cx="5303520" cy="3977640"/>
                    </a:xfrm>
                    <a:prstGeom prst="rect"/>
                  </pic:spPr>
                </pic:pic>
              </a:graphicData>
            </a:graphic>
          </wp:inline>
        </w:drawing>
      </w:r>
    </w:p>
    <w:p>
      <w:pPr>
        <w:spacing w:after="80"/>
        <w:jc w:val="center"/>
      </w:pPr>
      <w:r>
        <w:rPr>
          <w:b/>
          <w:color w:val="505050"/>
          <w:sz w:val="19"/>
        </w:rPr>
        <w:t>Figure: Correlation Matrix of Clinical &amp; Diagnostic Metrics | Chart Type: Seaborn Annotative Heatmap (Coolwarm Colormap) | Variables: Clinical Metrics vs Clinical Metrics</w:t>
      </w:r>
    </w:p>
    <w:tbl>
      <w:tblPr>
        <w:tblW w:type="auto" w:w="0"/>
        <w:jc w:val="center"/>
        <w:tblLook w:firstColumn="1" w:firstRow="1" w:lastColumn="0" w:lastRow="0" w:noHBand="0" w:noVBand="1" w:val="04A0"/>
      </w:tblPr>
      <w:tblGrid>
        <w:gridCol w:w="9360"/>
      </w:tblGrid>
      <w:tr>
        <w:tc>
          <w:tcPr>
            <w:tcW w:type="dxa" w:w="9360"/>
            <w:shd w:fill="F0F4F8"/>
            <w:tcBorders>
              <w:top w:val="none" w:sz="0" w:space="0" w:color="auto"/>
              <w:left w:val="single" w:sz="24" w:space="0" w:color="2B5797"/>
              <w:bottom w:val="none" w:sz="0" w:space="0" w:color="auto"/>
              <w:right w:val="none" w:sz="0" w:space="0" w:color="auto"/>
            </w:tcBorders>
          </w:tcPr>
          <w:p>
            <w:pPr>
              <w:spacing w:before="80" w:after="80"/>
            </w:pPr>
            <w:r>
              <w:rPr>
                <w:b/>
                <w:color w:val="2B5797"/>
                <w:sz w:val="20"/>
              </w:rPr>
              <w:t xml:space="preserve">Key Takeaway - Clinical &amp; Analytical Finding: </w:t>
            </w:r>
            <w:r>
              <w:rPr>
                <w:sz w:val="20"/>
              </w:rPr>
              <w:t>All pairwise correlations fall strictly within the range [-0.0266, +0.0078]. These empirical results confirm that clinical metrics operate orthogonally with near-zero collinearity.</w:t>
            </w:r>
          </w:p>
        </w:tc>
      </w:tr>
    </w:tbl>
    <w:p/>
    <w:p>
      <w:pPr>
        <w:spacing w:before="280" w:after="120"/>
      </w:pPr>
      <w:r>
        <w:rPr>
          <w:b/>
          <w:color w:val="2B5797"/>
          <w:sz w:val="30"/>
        </w:rPr>
        <w:t>13. Linear Regression Modeling: Tumor Size</w:t>
      </w:r>
    </w:p>
    <w:p>
      <w:pPr>
        <w:spacing w:after="120" w:line="276" w:lineRule="auto"/>
      </w:pPr>
      <w:r>
        <w:rPr>
          <w:sz w:val="21"/>
        </w:rPr>
        <w:t>A multiple Ordinary Least Squares (OLS) Linear Regression model was implemented to estimate primary Tumor Size using non-invasive clinical biometrics: Age, BMI, Blood Pressure, and Follow-Up Duration.</w:t>
      </w:r>
    </w:p>
    <w:tbl>
      <w:tblPr>
        <w:tblW w:type="auto" w:w="0"/>
        <w:jc w:val="center"/>
        <w:tblLook w:firstColumn="1" w:firstRow="1" w:lastColumn="0" w:lastRow="0" w:noHBand="0" w:noVBand="1" w:val="04A0"/>
      </w:tblPr>
      <w:tblGrid>
        <w:gridCol w:w="3120"/>
        <w:gridCol w:w="3120"/>
        <w:gridCol w:w="3120"/>
      </w:tblGrid>
      <w:tr>
        <w:tc>
          <w:tcPr>
            <w:tcW w:type="dxa" w:w="3600"/>
            <w:shd w:fill="2B5797"/>
          </w:tcPr>
          <w:p>
            <w:pPr>
              <w:spacing w:before="60" w:after="60"/>
              <w:jc w:val="center"/>
            </w:pPr>
            <w:r>
              <w:rPr>
                <w:b/>
                <w:color w:val="FFFFFF"/>
                <w:sz w:val="19"/>
              </w:rPr>
              <w:t>Model Parameter / Metric</w:t>
            </w:r>
          </w:p>
        </w:tc>
        <w:tc>
          <w:tcPr>
            <w:tcW w:type="dxa" w:w="2880"/>
            <w:shd w:fill="2B5797"/>
          </w:tcPr>
          <w:p>
            <w:pPr>
              <w:spacing w:before="60" w:after="60"/>
              <w:jc w:val="center"/>
            </w:pPr>
            <w:r>
              <w:rPr>
                <w:b/>
                <w:color w:val="FFFFFF"/>
                <w:sz w:val="19"/>
              </w:rPr>
              <w:t>Value</w:t>
            </w:r>
          </w:p>
        </w:tc>
        <w:tc>
          <w:tcPr>
            <w:tcW w:type="dxa" w:w="2880"/>
            <w:shd w:fill="2B5797"/>
          </w:tcPr>
          <w:p>
            <w:pPr>
              <w:spacing w:before="60" w:after="60"/>
              <w:jc w:val="center"/>
            </w:pPr>
            <w:r>
              <w:rPr>
                <w:b/>
                <w:color w:val="FFFFFF"/>
                <w:sz w:val="19"/>
              </w:rPr>
              <w:t>Academic Interpretation</w:t>
            </w:r>
          </w:p>
        </w:tc>
      </w:tr>
      <w:tr>
        <w:tc>
          <w:tcPr>
            <w:tcW w:type="dxa" w:w="3600"/>
            <w:shd w:fill="FFFFFF"/>
          </w:tcPr>
          <w:p>
            <w:pPr>
              <w:spacing w:before="40" w:after="40"/>
              <w:jc w:val="left"/>
            </w:pPr>
            <w:r>
              <w:rPr>
                <w:sz w:val="18"/>
              </w:rPr>
              <w:t>Intercept (β₀)</w:t>
            </w:r>
          </w:p>
        </w:tc>
        <w:tc>
          <w:tcPr>
            <w:tcW w:type="dxa" w:w="2880"/>
            <w:shd w:fill="FFFFFF"/>
          </w:tcPr>
          <w:p>
            <w:pPr>
              <w:spacing w:before="40" w:after="40"/>
              <w:jc w:val="center"/>
            </w:pPr>
            <w:r>
              <w:rPr>
                <w:sz w:val="18"/>
              </w:rPr>
              <w:t>5.1972 cm</w:t>
            </w:r>
          </w:p>
        </w:tc>
        <w:tc>
          <w:tcPr>
            <w:tcW w:type="dxa" w:w="2880"/>
            <w:shd w:fill="FFFFFF"/>
          </w:tcPr>
          <w:p>
            <w:pPr>
              <w:spacing w:before="40" w:after="40"/>
              <w:jc w:val="left"/>
            </w:pPr>
            <w:r>
              <w:rPr>
                <w:sz w:val="18"/>
              </w:rPr>
              <w:t>Baseline estimated tumor size</w:t>
            </w:r>
          </w:p>
        </w:tc>
      </w:tr>
      <w:tr>
        <w:tc>
          <w:tcPr>
            <w:tcW w:type="dxa" w:w="3600"/>
            <w:shd w:fill="F9FAFC"/>
          </w:tcPr>
          <w:p>
            <w:pPr>
              <w:spacing w:before="40" w:after="40"/>
              <w:jc w:val="left"/>
            </w:pPr>
            <w:r>
              <w:rPr>
                <w:sz w:val="18"/>
              </w:rPr>
              <w:t>Age Coefficient (β₁)</w:t>
            </w:r>
          </w:p>
        </w:tc>
        <w:tc>
          <w:tcPr>
            <w:tcW w:type="dxa" w:w="2880"/>
            <w:shd w:fill="F9FAFC"/>
          </w:tcPr>
          <w:p>
            <w:pPr>
              <w:spacing w:before="40" w:after="40"/>
              <w:jc w:val="left"/>
            </w:pPr>
            <w:r>
              <w:rPr>
                <w:sz w:val="18"/>
              </w:rPr>
              <w:t>-0.000247 cm/year</w:t>
            </w:r>
          </w:p>
        </w:tc>
        <w:tc>
          <w:tcPr>
            <w:tcW w:type="dxa" w:w="2880"/>
            <w:shd w:fill="F9FAFC"/>
          </w:tcPr>
          <w:p>
            <w:pPr>
              <w:spacing w:before="40" w:after="40"/>
              <w:jc w:val="left"/>
            </w:pPr>
            <w:r>
              <w:rPr>
                <w:sz w:val="18"/>
              </w:rPr>
              <w:t>Negligible change per year of age</w:t>
            </w:r>
          </w:p>
        </w:tc>
      </w:tr>
      <w:tr>
        <w:tc>
          <w:tcPr>
            <w:tcW w:type="dxa" w:w="3600"/>
            <w:shd w:fill="FFFFFF"/>
          </w:tcPr>
          <w:p>
            <w:pPr>
              <w:spacing w:before="40" w:after="40"/>
              <w:jc w:val="left"/>
            </w:pPr>
            <w:r>
              <w:rPr>
                <w:sz w:val="18"/>
              </w:rPr>
              <w:t>BMI Coefficient (β₂)</w:t>
            </w:r>
          </w:p>
        </w:tc>
        <w:tc>
          <w:tcPr>
            <w:tcW w:type="dxa" w:w="2880"/>
            <w:shd w:fill="FFFFFF"/>
          </w:tcPr>
          <w:p>
            <w:pPr>
              <w:spacing w:before="40" w:after="40"/>
              <w:jc w:val="left"/>
            </w:pPr>
            <w:r>
              <w:rPr>
                <w:sz w:val="18"/>
              </w:rPr>
              <w:t>0.005652 cm per kg/m²</w:t>
            </w:r>
          </w:p>
        </w:tc>
        <w:tc>
          <w:tcPr>
            <w:tcW w:type="dxa" w:w="2880"/>
            <w:shd w:fill="FFFFFF"/>
          </w:tcPr>
          <w:p>
            <w:pPr>
              <w:spacing w:before="40" w:after="40"/>
              <w:jc w:val="left"/>
            </w:pPr>
            <w:r>
              <w:rPr>
                <w:sz w:val="18"/>
              </w:rPr>
              <w:t>Negligible change per unit BMI</w:t>
            </w:r>
          </w:p>
        </w:tc>
      </w:tr>
      <w:tr>
        <w:tc>
          <w:tcPr>
            <w:tcW w:type="dxa" w:w="3600"/>
            <w:shd w:fill="F9FAFC"/>
          </w:tcPr>
          <w:p>
            <w:pPr>
              <w:spacing w:before="40" w:after="40"/>
              <w:jc w:val="left"/>
            </w:pPr>
            <w:r>
              <w:rPr>
                <w:sz w:val="18"/>
              </w:rPr>
              <w:t>Blood Pressure Coeff (β₃)</w:t>
            </w:r>
          </w:p>
        </w:tc>
        <w:tc>
          <w:tcPr>
            <w:tcW w:type="dxa" w:w="2880"/>
            <w:shd w:fill="F9FAFC"/>
          </w:tcPr>
          <w:p>
            <w:pPr>
              <w:spacing w:before="40" w:after="40"/>
              <w:jc w:val="left"/>
            </w:pPr>
            <w:r>
              <w:rPr>
                <w:sz w:val="18"/>
              </w:rPr>
              <w:t>-0.000110 cm/mmHg</w:t>
            </w:r>
          </w:p>
        </w:tc>
        <w:tc>
          <w:tcPr>
            <w:tcW w:type="dxa" w:w="2880"/>
            <w:shd w:fill="F9FAFC"/>
          </w:tcPr>
          <w:p>
            <w:pPr>
              <w:spacing w:before="40" w:after="40"/>
              <w:jc w:val="left"/>
            </w:pPr>
            <w:r>
              <w:rPr>
                <w:sz w:val="18"/>
              </w:rPr>
              <w:t>Negligible change per mmHg BP</w:t>
            </w:r>
          </w:p>
        </w:tc>
      </w:tr>
      <w:tr>
        <w:tc>
          <w:tcPr>
            <w:tcW w:type="dxa" w:w="3600"/>
            <w:shd w:fill="FFFFFF"/>
          </w:tcPr>
          <w:p>
            <w:pPr>
              <w:spacing w:before="40" w:after="40"/>
              <w:jc w:val="left"/>
            </w:pPr>
            <w:r>
              <w:rPr>
                <w:sz w:val="18"/>
              </w:rPr>
              <w:t>Follow-Up Coeff (β₄)</w:t>
            </w:r>
          </w:p>
        </w:tc>
        <w:tc>
          <w:tcPr>
            <w:tcW w:type="dxa" w:w="2880"/>
            <w:shd w:fill="FFFFFF"/>
          </w:tcPr>
          <w:p>
            <w:pPr>
              <w:spacing w:before="40" w:after="40"/>
              <w:jc w:val="left"/>
            </w:pPr>
            <w:r>
              <w:rPr>
                <w:sz w:val="18"/>
              </w:rPr>
              <w:t>-0.002064 cm/month</w:t>
            </w:r>
          </w:p>
        </w:tc>
        <w:tc>
          <w:tcPr>
            <w:tcW w:type="dxa" w:w="2880"/>
            <w:shd w:fill="FFFFFF"/>
          </w:tcPr>
          <w:p>
            <w:pPr>
              <w:spacing w:before="40" w:after="40"/>
              <w:jc w:val="left"/>
            </w:pPr>
            <w:r>
              <w:rPr>
                <w:sz w:val="18"/>
              </w:rPr>
              <w:t>Negligible change over duration</w:t>
            </w:r>
          </w:p>
        </w:tc>
      </w:tr>
      <w:tr>
        <w:tc>
          <w:tcPr>
            <w:tcW w:type="dxa" w:w="3600"/>
            <w:shd w:fill="F9FAFC"/>
          </w:tcPr>
          <w:p>
            <w:pPr>
              <w:spacing w:before="40" w:after="40"/>
              <w:jc w:val="left"/>
            </w:pPr>
            <w:r>
              <w:rPr>
                <w:sz w:val="18"/>
              </w:rPr>
              <w:t>Coefficient of Determination (R²)</w:t>
            </w:r>
          </w:p>
        </w:tc>
        <w:tc>
          <w:tcPr>
            <w:tcW w:type="dxa" w:w="2880"/>
            <w:shd w:fill="F9FAFC"/>
          </w:tcPr>
          <w:p>
            <w:pPr>
              <w:spacing w:before="40" w:after="40"/>
              <w:jc w:val="center"/>
            </w:pPr>
            <w:r>
              <w:rPr>
                <w:sz w:val="18"/>
              </w:rPr>
              <w:t>0.000690</w:t>
            </w:r>
          </w:p>
        </w:tc>
        <w:tc>
          <w:tcPr>
            <w:tcW w:type="dxa" w:w="2880"/>
            <w:shd w:fill="F9FAFC"/>
          </w:tcPr>
          <w:p>
            <w:pPr>
              <w:spacing w:before="40" w:after="40"/>
              <w:jc w:val="left"/>
            </w:pPr>
            <w:r>
              <w:rPr>
                <w:sz w:val="18"/>
              </w:rPr>
              <w:t>Features explain ~0% variance in Tumor Size</w:t>
            </w:r>
          </w:p>
        </w:tc>
      </w:tr>
      <w:tr>
        <w:tc>
          <w:tcPr>
            <w:tcW w:type="dxa" w:w="3600"/>
            <w:shd w:fill="FFFFFF"/>
          </w:tcPr>
          <w:p>
            <w:pPr>
              <w:spacing w:before="40" w:after="40"/>
              <w:jc w:val="left"/>
            </w:pPr>
            <w:r>
              <w:rPr>
                <w:sz w:val="18"/>
              </w:rPr>
              <w:t>Mean Absolute Error (MAE)</w:t>
            </w:r>
          </w:p>
        </w:tc>
        <w:tc>
          <w:tcPr>
            <w:tcW w:type="dxa" w:w="2880"/>
            <w:shd w:fill="FFFFFF"/>
          </w:tcPr>
          <w:p>
            <w:pPr>
              <w:spacing w:before="40" w:after="40"/>
              <w:jc w:val="center"/>
            </w:pPr>
            <w:r>
              <w:rPr>
                <w:sz w:val="18"/>
              </w:rPr>
              <w:t>2.3807 cm</w:t>
            </w:r>
          </w:p>
        </w:tc>
        <w:tc>
          <w:tcPr>
            <w:tcW w:type="dxa" w:w="2880"/>
            <w:shd w:fill="FFFFFF"/>
          </w:tcPr>
          <w:p>
            <w:pPr>
              <w:spacing w:before="40" w:after="40"/>
              <w:jc w:val="left"/>
            </w:pPr>
            <w:r>
              <w:rPr>
                <w:sz w:val="18"/>
              </w:rPr>
              <w:t>Average absolute error on holdout set</w:t>
            </w:r>
          </w:p>
        </w:tc>
      </w:tr>
      <w:tr>
        <w:tc>
          <w:tcPr>
            <w:tcW w:type="dxa" w:w="3600"/>
            <w:shd w:fill="F9FAFC"/>
          </w:tcPr>
          <w:p>
            <w:pPr>
              <w:spacing w:before="40" w:after="40"/>
              <w:jc w:val="left"/>
            </w:pPr>
            <w:r>
              <w:rPr>
                <w:sz w:val="18"/>
              </w:rPr>
              <w:t>Root Mean Squared Error (RMSE)</w:t>
            </w:r>
          </w:p>
        </w:tc>
        <w:tc>
          <w:tcPr>
            <w:tcW w:type="dxa" w:w="2880"/>
            <w:shd w:fill="F9FAFC"/>
          </w:tcPr>
          <w:p>
            <w:pPr>
              <w:spacing w:before="40" w:after="40"/>
              <w:jc w:val="center"/>
            </w:pPr>
            <w:r>
              <w:rPr>
                <w:sz w:val="18"/>
              </w:rPr>
              <w:t>2.7514 cm</w:t>
            </w:r>
          </w:p>
        </w:tc>
        <w:tc>
          <w:tcPr>
            <w:tcW w:type="dxa" w:w="2880"/>
            <w:shd w:fill="F9FAFC"/>
          </w:tcPr>
          <w:p>
            <w:pPr>
              <w:spacing w:before="40" w:after="40"/>
              <w:jc w:val="left"/>
            </w:pPr>
            <w:r>
              <w:rPr>
                <w:sz w:val="18"/>
              </w:rPr>
              <w:t>Standard error of regression residual</w:t>
            </w:r>
          </w:p>
        </w:tc>
      </w:tr>
    </w:tbl>
    <w:p/>
    <w:p>
      <w:pPr>
        <w:spacing w:before="200" w:after="80"/>
      </w:pPr>
      <w:r>
        <w:rPr>
          <w:b/>
          <w:color w:val="008080"/>
          <w:sz w:val="24"/>
        </w:rPr>
        <w:t>13.1 Tumor Size – Malignant vs Benign Prediction Comparison</w:t>
      </w:r>
    </w:p>
    <w:p>
      <w:pPr>
        <w:spacing w:before="120" w:after="80"/>
        <w:jc w:val="center"/>
      </w:pPr>
      <w:r>
        <w:drawing>
          <wp:inline xmlns:a="http://schemas.openxmlformats.org/drawingml/2006/main" xmlns:pic="http://schemas.openxmlformats.org/drawingml/2006/picture">
            <wp:extent cx="5303520" cy="3646170"/>
            <wp:docPr id="12" name="Picture 12"/>
            <wp:cNvGraphicFramePr>
              <a:graphicFrameLocks noChangeAspect="1"/>
            </wp:cNvGraphicFramePr>
            <a:graphic>
              <a:graphicData uri="http://schemas.openxmlformats.org/drawingml/2006/picture">
                <pic:pic>
                  <pic:nvPicPr>
                    <pic:cNvPr id="0" name="chart12_regression_actual_vs_pred.png"/>
                    <pic:cNvPicPr/>
                  </pic:nvPicPr>
                  <pic:blipFill>
                    <a:blip r:embed="rId20"/>
                    <a:stretch>
                      <a:fillRect/>
                    </a:stretch>
                  </pic:blipFill>
                  <pic:spPr>
                    <a:xfrm>
                      <a:off x="0" y="0"/>
                      <a:ext cx="5303520" cy="3646170"/>
                    </a:xfrm>
                    <a:prstGeom prst="rect"/>
                  </pic:spPr>
                </pic:pic>
              </a:graphicData>
            </a:graphic>
          </wp:inline>
        </w:drawing>
      </w:r>
    </w:p>
    <w:p>
      <w:pPr>
        <w:spacing w:after="80"/>
        <w:jc w:val="center"/>
      </w:pPr>
      <w:r>
        <w:rPr>
          <w:b/>
          <w:color w:val="505050"/>
          <w:sz w:val="19"/>
        </w:rPr>
        <w:t>Figure: Tumor Size – Malignant vs Benign Prediction Comparison | Chart Type: Scatter Plot with Linear Regression Fit Line (Malignant in Red, Benign in Blue) | Variables: Measured Tumor Size (cm) vs Predicted Tumor Size (cm)</w:t>
      </w:r>
    </w:p>
    <w:tbl>
      <w:tblPr>
        <w:tblW w:type="auto" w:w="0"/>
        <w:jc w:val="center"/>
        <w:tblLook w:firstColumn="1" w:firstRow="1" w:lastColumn="0" w:lastRow="0" w:noHBand="0" w:noVBand="1" w:val="04A0"/>
      </w:tblPr>
      <w:tblGrid>
        <w:gridCol w:w="9360"/>
      </w:tblGrid>
      <w:tr>
        <w:tc>
          <w:tcPr>
            <w:tcW w:type="dxa" w:w="9360"/>
            <w:shd w:fill="F0F4F8"/>
            <w:tcBorders>
              <w:top w:val="none" w:sz="0" w:space="0" w:color="auto"/>
              <w:left w:val="single" w:sz="24" w:space="0" w:color="2B5797"/>
              <w:bottom w:val="none" w:sz="0" w:space="0" w:color="auto"/>
              <w:right w:val="none" w:sz="0" w:space="0" w:color="auto"/>
            </w:tcBorders>
          </w:tcPr>
          <w:p>
            <w:pPr>
              <w:spacing w:before="80" w:after="80"/>
            </w:pPr>
            <w:r>
              <w:rPr>
                <w:b/>
                <w:color w:val="2B5797"/>
                <w:sz w:val="20"/>
              </w:rPr>
              <w:t xml:space="preserve">Key Takeaway - Clinical &amp; Analytical Finding: </w:t>
            </w:r>
            <w:r>
              <w:rPr>
                <w:sz w:val="20"/>
              </w:rPr>
              <w:t>Visualizes Measured vs Predicted Tumor Size with points categorized into Malignant (Red) and Benign (Blue) along the solid Linear Regression Fit Line with a clean rounded legend box.</w:t>
            </w:r>
          </w:p>
        </w:tc>
      </w:tr>
    </w:tbl>
    <w:p/>
    <w:p>
      <w:pPr>
        <w:spacing w:before="200" w:after="80"/>
      </w:pPr>
      <w:r>
        <w:rPr>
          <w:b/>
          <w:color w:val="008080"/>
          <w:sz w:val="24"/>
        </w:rPr>
        <w:t>13.2 Regression Residual Analysis</w:t>
      </w:r>
    </w:p>
    <w:p>
      <w:pPr>
        <w:spacing w:before="120" w:after="80"/>
        <w:jc w:val="center"/>
      </w:pPr>
      <w:r>
        <w:drawing>
          <wp:inline xmlns:a="http://schemas.openxmlformats.org/drawingml/2006/main" xmlns:pic="http://schemas.openxmlformats.org/drawingml/2006/picture">
            <wp:extent cx="5303520" cy="3409406"/>
            <wp:docPr id="13" name="Picture 13"/>
            <wp:cNvGraphicFramePr>
              <a:graphicFrameLocks noChangeAspect="1"/>
            </wp:cNvGraphicFramePr>
            <a:graphic>
              <a:graphicData uri="http://schemas.openxmlformats.org/drawingml/2006/picture">
                <pic:pic>
                  <pic:nvPicPr>
                    <pic:cNvPr id="0" name="chart13_regression_residuals.png"/>
                    <pic:cNvPicPr/>
                  </pic:nvPicPr>
                  <pic:blipFill>
                    <a:blip r:embed="rId21"/>
                    <a:stretch>
                      <a:fillRect/>
                    </a:stretch>
                  </pic:blipFill>
                  <pic:spPr>
                    <a:xfrm>
                      <a:off x="0" y="0"/>
                      <a:ext cx="5303520" cy="3409406"/>
                    </a:xfrm>
                    <a:prstGeom prst="rect"/>
                  </pic:spPr>
                </pic:pic>
              </a:graphicData>
            </a:graphic>
          </wp:inline>
        </w:drawing>
      </w:r>
    </w:p>
    <w:p>
      <w:pPr>
        <w:spacing w:after="80"/>
        <w:jc w:val="center"/>
      </w:pPr>
      <w:r>
        <w:rPr>
          <w:b/>
          <w:color w:val="505050"/>
          <w:sz w:val="19"/>
        </w:rPr>
        <w:t>Figure: Linear Regression: Residual Plot | Chart Type: Residual Scatter Plot (Zero-Error Line) | Variables: Predicted Tumor Size (cm) vs Residuals (Actual - Predicted) [cm]</w:t>
      </w:r>
    </w:p>
    <w:tbl>
      <w:tblPr>
        <w:tblW w:type="auto" w:w="0"/>
        <w:jc w:val="center"/>
        <w:tblLook w:firstColumn="1" w:firstRow="1" w:lastColumn="0" w:lastRow="0" w:noHBand="0" w:noVBand="1" w:val="04A0"/>
      </w:tblPr>
      <w:tblGrid>
        <w:gridCol w:w="9360"/>
      </w:tblGrid>
      <w:tr>
        <w:tc>
          <w:tcPr>
            <w:tcW w:type="dxa" w:w="9360"/>
            <w:shd w:fill="F0F4F8"/>
            <w:tcBorders>
              <w:top w:val="none" w:sz="0" w:space="0" w:color="auto"/>
              <w:left w:val="single" w:sz="24" w:space="0" w:color="2B5797"/>
              <w:bottom w:val="none" w:sz="0" w:space="0" w:color="auto"/>
              <w:right w:val="none" w:sz="0" w:space="0" w:color="auto"/>
            </w:tcBorders>
          </w:tcPr>
          <w:p>
            <w:pPr>
              <w:spacing w:before="80" w:after="80"/>
            </w:pPr>
            <w:r>
              <w:rPr>
                <w:b/>
                <w:color w:val="2B5797"/>
                <w:sz w:val="20"/>
              </w:rPr>
              <w:t xml:space="preserve">Key Takeaway - Clinical &amp; Analytical Finding: </w:t>
            </w:r>
            <w:r>
              <w:rPr>
                <w:sz w:val="20"/>
              </w:rPr>
              <w:t>Residuals are symmetrically distributed around zero between -4.5 cm and +4.5 cm, confirming homoscedasticity.</w:t>
            </w:r>
          </w:p>
        </w:tc>
      </w:tr>
    </w:tbl>
    <w:p/>
    <w:p>
      <w:pPr>
        <w:spacing w:before="280" w:after="120"/>
      </w:pPr>
      <w:r>
        <w:rPr>
          <w:b/>
          <w:color w:val="2B5797"/>
          <w:sz w:val="30"/>
        </w:rPr>
        <w:t>14. Classification Modeling: Survival Status</w:t>
      </w:r>
    </w:p>
    <w:p>
      <w:pPr>
        <w:spacing w:after="120" w:line="276" w:lineRule="auto"/>
      </w:pPr>
      <w:r>
        <w:rPr>
          <w:sz w:val="21"/>
        </w:rPr>
        <w:t>Logistic Regression was fit to classify Survival Status (Alive = 1, Deceased = 0). Overall Test Accuracy: 49.90%.</w:t>
      </w:r>
    </w:p>
    <w:tbl>
      <w:tblPr>
        <w:tblW w:type="auto" w:w="0"/>
        <w:jc w:val="center"/>
        <w:tblLook w:firstColumn="1" w:firstRow="1" w:lastColumn="0" w:lastRow="0" w:noHBand="0" w:noVBand="1" w:val="04A0"/>
      </w:tblPr>
      <w:tblGrid>
        <w:gridCol w:w="1872"/>
        <w:gridCol w:w="1872"/>
        <w:gridCol w:w="1872"/>
        <w:gridCol w:w="1872"/>
        <w:gridCol w:w="1872"/>
      </w:tblGrid>
      <w:tr>
        <w:tc>
          <w:tcPr>
            <w:tcW w:type="dxa" w:w="2592"/>
            <w:shd w:fill="2B5797"/>
          </w:tcPr>
          <w:p>
            <w:pPr>
              <w:spacing w:before="60" w:after="60"/>
              <w:jc w:val="center"/>
            </w:pPr>
            <w:r>
              <w:rPr>
                <w:b/>
                <w:color w:val="FFFFFF"/>
                <w:sz w:val="19"/>
              </w:rPr>
              <w:t>Class Label</w:t>
            </w:r>
          </w:p>
        </w:tc>
        <w:tc>
          <w:tcPr>
            <w:tcW w:type="dxa" w:w="1728"/>
            <w:shd w:fill="2B5797"/>
          </w:tcPr>
          <w:p>
            <w:pPr>
              <w:spacing w:before="60" w:after="60"/>
              <w:jc w:val="center"/>
            </w:pPr>
            <w:r>
              <w:rPr>
                <w:b/>
                <w:color w:val="FFFFFF"/>
                <w:sz w:val="19"/>
              </w:rPr>
              <w:t>Precision</w:t>
            </w:r>
          </w:p>
        </w:tc>
        <w:tc>
          <w:tcPr>
            <w:tcW w:type="dxa" w:w="1728"/>
            <w:shd w:fill="2B5797"/>
          </w:tcPr>
          <w:p>
            <w:pPr>
              <w:spacing w:before="60" w:after="60"/>
              <w:jc w:val="center"/>
            </w:pPr>
            <w:r>
              <w:rPr>
                <w:b/>
                <w:color w:val="FFFFFF"/>
                <w:sz w:val="19"/>
              </w:rPr>
              <w:t>Recall</w:t>
            </w:r>
          </w:p>
        </w:tc>
        <w:tc>
          <w:tcPr>
            <w:tcW w:type="dxa" w:w="1728"/>
            <w:shd w:fill="2B5797"/>
          </w:tcPr>
          <w:p>
            <w:pPr>
              <w:spacing w:before="60" w:after="60"/>
              <w:jc w:val="center"/>
            </w:pPr>
            <w:r>
              <w:rPr>
                <w:b/>
                <w:color w:val="FFFFFF"/>
                <w:sz w:val="19"/>
              </w:rPr>
              <w:t>F1-Score</w:t>
            </w:r>
          </w:p>
        </w:tc>
        <w:tc>
          <w:tcPr>
            <w:tcW w:type="dxa" w:w="1584"/>
            <w:shd w:fill="2B5797"/>
          </w:tcPr>
          <w:p>
            <w:pPr>
              <w:spacing w:before="60" w:after="60"/>
              <w:jc w:val="center"/>
            </w:pPr>
            <w:r>
              <w:rPr>
                <w:b/>
                <w:color w:val="FFFFFF"/>
                <w:sz w:val="19"/>
              </w:rPr>
              <w:t>Test Support</w:t>
            </w:r>
          </w:p>
        </w:tc>
      </w:tr>
      <w:tr>
        <w:tc>
          <w:tcPr>
            <w:tcW w:type="dxa" w:w="2592"/>
            <w:shd w:fill="FFFFFF"/>
          </w:tcPr>
          <w:p>
            <w:pPr>
              <w:spacing w:before="40" w:after="40"/>
              <w:jc w:val="left"/>
            </w:pPr>
            <w:r>
              <w:rPr>
                <w:sz w:val="18"/>
              </w:rPr>
              <w:t>Deceased (Class 0)</w:t>
            </w:r>
          </w:p>
        </w:tc>
        <w:tc>
          <w:tcPr>
            <w:tcW w:type="dxa" w:w="1728"/>
            <w:shd w:fill="FFFFFF"/>
          </w:tcPr>
          <w:p>
            <w:pPr>
              <w:spacing w:before="40" w:after="40"/>
              <w:jc w:val="center"/>
            </w:pPr>
            <w:r>
              <w:rPr>
                <w:sz w:val="18"/>
              </w:rPr>
              <w:t>0.4466</w:t>
            </w:r>
          </w:p>
        </w:tc>
        <w:tc>
          <w:tcPr>
            <w:tcW w:type="dxa" w:w="1728"/>
            <w:shd w:fill="FFFFFF"/>
          </w:tcPr>
          <w:p>
            <w:pPr>
              <w:spacing w:before="40" w:after="40"/>
              <w:jc w:val="center"/>
            </w:pPr>
            <w:r>
              <w:rPr>
                <w:sz w:val="18"/>
              </w:rPr>
              <w:t>0.1921</w:t>
            </w:r>
          </w:p>
        </w:tc>
        <w:tc>
          <w:tcPr>
            <w:tcW w:type="dxa" w:w="1728"/>
            <w:shd w:fill="FFFFFF"/>
          </w:tcPr>
          <w:p>
            <w:pPr>
              <w:spacing w:before="40" w:after="40"/>
              <w:jc w:val="center"/>
            </w:pPr>
            <w:r>
              <w:rPr>
                <w:sz w:val="18"/>
              </w:rPr>
              <w:t>0.2686</w:t>
            </w:r>
          </w:p>
        </w:tc>
        <w:tc>
          <w:tcPr>
            <w:tcW w:type="dxa" w:w="1584"/>
            <w:shd w:fill="FFFFFF"/>
          </w:tcPr>
          <w:p>
            <w:pPr>
              <w:spacing w:before="40" w:after="40"/>
              <w:jc w:val="center"/>
            </w:pPr>
            <w:r>
              <w:rPr>
                <w:sz w:val="18"/>
              </w:rPr>
              <w:t>479 patients</w:t>
            </w:r>
          </w:p>
        </w:tc>
      </w:tr>
      <w:tr>
        <w:tc>
          <w:tcPr>
            <w:tcW w:type="dxa" w:w="2592"/>
            <w:shd w:fill="F9FAFC"/>
          </w:tcPr>
          <w:p>
            <w:pPr>
              <w:spacing w:before="40" w:after="40"/>
              <w:jc w:val="left"/>
            </w:pPr>
            <w:r>
              <w:rPr>
                <w:sz w:val="18"/>
              </w:rPr>
              <w:t>Alive (Class 1)</w:t>
            </w:r>
          </w:p>
        </w:tc>
        <w:tc>
          <w:tcPr>
            <w:tcW w:type="dxa" w:w="1728"/>
            <w:shd w:fill="F9FAFC"/>
          </w:tcPr>
          <w:p>
            <w:pPr>
              <w:spacing w:before="40" w:after="40"/>
              <w:jc w:val="center"/>
            </w:pPr>
            <w:r>
              <w:rPr>
                <w:sz w:val="18"/>
              </w:rPr>
              <w:t>0.5126</w:t>
            </w:r>
          </w:p>
        </w:tc>
        <w:tc>
          <w:tcPr>
            <w:tcW w:type="dxa" w:w="1728"/>
            <w:shd w:fill="F9FAFC"/>
          </w:tcPr>
          <w:p>
            <w:pPr>
              <w:spacing w:before="40" w:after="40"/>
              <w:jc w:val="center"/>
            </w:pPr>
            <w:r>
              <w:rPr>
                <w:sz w:val="18"/>
              </w:rPr>
              <w:t>0.7812</w:t>
            </w:r>
          </w:p>
        </w:tc>
        <w:tc>
          <w:tcPr>
            <w:tcW w:type="dxa" w:w="1728"/>
            <w:shd w:fill="F9FAFC"/>
          </w:tcPr>
          <w:p>
            <w:pPr>
              <w:spacing w:before="40" w:after="40"/>
              <w:jc w:val="center"/>
            </w:pPr>
            <w:r>
              <w:rPr>
                <w:sz w:val="18"/>
              </w:rPr>
              <w:t>0.6190</w:t>
            </w:r>
          </w:p>
        </w:tc>
        <w:tc>
          <w:tcPr>
            <w:tcW w:type="dxa" w:w="1584"/>
            <w:shd w:fill="F9FAFC"/>
          </w:tcPr>
          <w:p>
            <w:pPr>
              <w:spacing w:before="40" w:after="40"/>
              <w:jc w:val="center"/>
            </w:pPr>
            <w:r>
              <w:rPr>
                <w:sz w:val="18"/>
              </w:rPr>
              <w:t>521 patients</w:t>
            </w:r>
          </w:p>
        </w:tc>
      </w:tr>
      <w:tr>
        <w:tc>
          <w:tcPr>
            <w:tcW w:type="dxa" w:w="2592"/>
            <w:shd w:fill="FFFFFF"/>
          </w:tcPr>
          <w:p>
            <w:pPr>
              <w:spacing w:before="40" w:after="40"/>
              <w:jc w:val="left"/>
            </w:pPr>
            <w:r>
              <w:rPr>
                <w:sz w:val="18"/>
              </w:rPr>
              <w:t>Overall Accuracy</w:t>
            </w:r>
          </w:p>
        </w:tc>
        <w:tc>
          <w:tcPr>
            <w:tcW w:type="dxa" w:w="1728"/>
            <w:shd w:fill="FFFFFF"/>
          </w:tcPr>
          <w:p>
            <w:pPr>
              <w:spacing w:before="40" w:after="40"/>
              <w:jc w:val="center"/>
            </w:pPr>
            <w:r>
              <w:rPr>
                <w:sz w:val="18"/>
              </w:rPr>
              <w:t>-</w:t>
            </w:r>
          </w:p>
        </w:tc>
        <w:tc>
          <w:tcPr>
            <w:tcW w:type="dxa" w:w="1728"/>
            <w:shd w:fill="FFFFFF"/>
          </w:tcPr>
          <w:p>
            <w:pPr>
              <w:spacing w:before="40" w:after="40"/>
              <w:jc w:val="center"/>
            </w:pPr>
            <w:r>
              <w:rPr>
                <w:sz w:val="18"/>
              </w:rPr>
              <w:t>-</w:t>
            </w:r>
          </w:p>
        </w:tc>
        <w:tc>
          <w:tcPr>
            <w:tcW w:type="dxa" w:w="1728"/>
            <w:shd w:fill="FFFFFF"/>
          </w:tcPr>
          <w:p>
            <w:pPr>
              <w:spacing w:before="40" w:after="40"/>
              <w:jc w:val="center"/>
            </w:pPr>
            <w:r>
              <w:rPr>
                <w:sz w:val="18"/>
              </w:rPr>
              <w:t>0.4990</w:t>
            </w:r>
          </w:p>
        </w:tc>
        <w:tc>
          <w:tcPr>
            <w:tcW w:type="dxa" w:w="1584"/>
            <w:shd w:fill="FFFFFF"/>
          </w:tcPr>
          <w:p>
            <w:pPr>
              <w:spacing w:before="40" w:after="40"/>
              <w:jc w:val="center"/>
            </w:pPr>
            <w:r>
              <w:rPr>
                <w:sz w:val="18"/>
              </w:rPr>
              <w:t>1,000 patients</w:t>
            </w:r>
          </w:p>
        </w:tc>
      </w:tr>
      <w:tr>
        <w:tc>
          <w:tcPr>
            <w:tcW w:type="dxa" w:w="2592"/>
            <w:shd w:fill="F9FAFC"/>
          </w:tcPr>
          <w:p>
            <w:pPr>
              <w:spacing w:before="40" w:after="40"/>
              <w:jc w:val="left"/>
            </w:pPr>
            <w:r>
              <w:rPr>
                <w:sz w:val="18"/>
              </w:rPr>
              <w:t>Total Test Cases</w:t>
            </w:r>
          </w:p>
        </w:tc>
        <w:tc>
          <w:tcPr>
            <w:tcW w:type="dxa" w:w="1728"/>
            <w:shd w:fill="F9FAFC"/>
          </w:tcPr>
          <w:p>
            <w:pPr>
              <w:spacing w:before="40" w:after="40"/>
              <w:jc w:val="center"/>
            </w:pPr>
            <w:r>
              <w:rPr>
                <w:sz w:val="18"/>
              </w:rPr>
              <w:t>-</w:t>
            </w:r>
          </w:p>
        </w:tc>
        <w:tc>
          <w:tcPr>
            <w:tcW w:type="dxa" w:w="1728"/>
            <w:shd w:fill="F9FAFC"/>
          </w:tcPr>
          <w:p>
            <w:pPr>
              <w:spacing w:before="40" w:after="40"/>
              <w:jc w:val="center"/>
            </w:pPr>
            <w:r>
              <w:rPr>
                <w:sz w:val="18"/>
              </w:rPr>
              <w:t>-</w:t>
            </w:r>
          </w:p>
        </w:tc>
        <w:tc>
          <w:tcPr>
            <w:tcW w:type="dxa" w:w="1728"/>
            <w:shd w:fill="F9FAFC"/>
          </w:tcPr>
          <w:p>
            <w:pPr>
              <w:spacing w:before="40" w:after="40"/>
              <w:jc w:val="center"/>
            </w:pPr>
            <w:r>
              <w:rPr>
                <w:sz w:val="18"/>
              </w:rPr>
              <w:t>49.90%</w:t>
            </w:r>
          </w:p>
        </w:tc>
        <w:tc>
          <w:tcPr>
            <w:tcW w:type="dxa" w:w="1584"/>
            <w:shd w:fill="F9FAFC"/>
          </w:tcPr>
          <w:p>
            <w:pPr>
              <w:spacing w:before="40" w:after="40"/>
              <w:jc w:val="center"/>
            </w:pPr>
            <w:r>
              <w:rPr>
                <w:sz w:val="18"/>
              </w:rPr>
              <w:t>1,000 patients</w:t>
            </w:r>
          </w:p>
        </w:tc>
      </w:tr>
      <w:tr>
        <w:tc>
          <w:tcPr>
            <w:tcW w:type="dxa" w:w="2592"/>
            <w:shd w:fill="FFFFFF"/>
          </w:tcPr>
          <w:p>
            <w:pPr>
              <w:spacing w:before="40" w:after="40"/>
              <w:jc w:val="left"/>
            </w:pPr>
            <w:r>
              <w:rPr>
                <w:sz w:val="18"/>
              </w:rPr>
              <w:t>Confusion Breakdown</w:t>
            </w:r>
          </w:p>
        </w:tc>
        <w:tc>
          <w:tcPr>
            <w:tcW w:type="dxa" w:w="1728"/>
            <w:shd w:fill="FFFFFF"/>
          </w:tcPr>
          <w:p>
            <w:pPr>
              <w:spacing w:before="40" w:after="40"/>
              <w:jc w:val="center"/>
            </w:pPr>
            <w:r>
              <w:rPr>
                <w:sz w:val="18"/>
              </w:rPr>
              <w:t>TN=92</w:t>
            </w:r>
          </w:p>
        </w:tc>
        <w:tc>
          <w:tcPr>
            <w:tcW w:type="dxa" w:w="1728"/>
            <w:shd w:fill="FFFFFF"/>
          </w:tcPr>
          <w:p>
            <w:pPr>
              <w:spacing w:before="40" w:after="40"/>
              <w:jc w:val="center"/>
            </w:pPr>
            <w:r>
              <w:rPr>
                <w:sz w:val="18"/>
              </w:rPr>
              <w:t>FP=387</w:t>
            </w:r>
          </w:p>
        </w:tc>
        <w:tc>
          <w:tcPr>
            <w:tcW w:type="dxa" w:w="1728"/>
            <w:shd w:fill="FFFFFF"/>
          </w:tcPr>
          <w:p>
            <w:pPr>
              <w:spacing w:before="40" w:after="40"/>
              <w:jc w:val="center"/>
            </w:pPr>
            <w:r>
              <w:rPr>
                <w:sz w:val="18"/>
              </w:rPr>
              <w:t>FN=114</w:t>
            </w:r>
          </w:p>
        </w:tc>
        <w:tc>
          <w:tcPr>
            <w:tcW w:type="dxa" w:w="1584"/>
            <w:shd w:fill="FFFFFF"/>
          </w:tcPr>
          <w:p>
            <w:pPr>
              <w:spacing w:before="40" w:after="40"/>
              <w:jc w:val="center"/>
            </w:pPr>
            <w:r>
              <w:rPr>
                <w:sz w:val="18"/>
              </w:rPr>
              <w:t>TP=407</w:t>
            </w:r>
          </w:p>
        </w:tc>
      </w:tr>
    </w:tbl>
    <w:p/>
    <w:p>
      <w:pPr>
        <w:spacing w:before="200" w:after="80"/>
      </w:pPr>
      <w:r>
        <w:rPr>
          <w:b/>
          <w:color w:val="008080"/>
          <w:sz w:val="24"/>
        </w:rPr>
        <w:t>14.1 Confusion Matrix Visualization</w:t>
      </w:r>
    </w:p>
    <w:p>
      <w:pPr>
        <w:spacing w:before="120" w:after="80"/>
        <w:jc w:val="center"/>
      </w:pPr>
      <w:r>
        <w:drawing>
          <wp:inline xmlns:a="http://schemas.openxmlformats.org/drawingml/2006/main" xmlns:pic="http://schemas.openxmlformats.org/drawingml/2006/picture">
            <wp:extent cx="5303520" cy="4419600"/>
            <wp:docPr id="14" name="Picture 14"/>
            <wp:cNvGraphicFramePr>
              <a:graphicFrameLocks noChangeAspect="1"/>
            </wp:cNvGraphicFramePr>
            <a:graphic>
              <a:graphicData uri="http://schemas.openxmlformats.org/drawingml/2006/picture">
                <pic:pic>
                  <pic:nvPicPr>
                    <pic:cNvPr id="0" name="chart14_classification_confusion_matrix.png"/>
                    <pic:cNvPicPr/>
                  </pic:nvPicPr>
                  <pic:blipFill>
                    <a:blip r:embed="rId22"/>
                    <a:stretch>
                      <a:fillRect/>
                    </a:stretch>
                  </pic:blipFill>
                  <pic:spPr>
                    <a:xfrm>
                      <a:off x="0" y="0"/>
                      <a:ext cx="5303520" cy="4419600"/>
                    </a:xfrm>
                    <a:prstGeom prst="rect"/>
                  </pic:spPr>
                </pic:pic>
              </a:graphicData>
            </a:graphic>
          </wp:inline>
        </w:drawing>
      </w:r>
    </w:p>
    <w:p>
      <w:pPr>
        <w:spacing w:after="80"/>
        <w:jc w:val="center"/>
      </w:pPr>
      <w:r>
        <w:rPr>
          <w:b/>
          <w:color w:val="505050"/>
          <w:sz w:val="19"/>
        </w:rPr>
        <w:t>Figure: Logistic Regression: Confusion Matrix | Chart Type: Annotated Heatmap with True/False Positives &amp; Negatives | Variables: Predicted Outcome vs Actual Outcome</w:t>
      </w:r>
    </w:p>
    <w:tbl>
      <w:tblPr>
        <w:tblW w:type="auto" w:w="0"/>
        <w:jc w:val="center"/>
        <w:tblLook w:firstColumn="1" w:firstRow="1" w:lastColumn="0" w:lastRow="0" w:noHBand="0" w:noVBand="1" w:val="04A0"/>
      </w:tblPr>
      <w:tblGrid>
        <w:gridCol w:w="9360"/>
      </w:tblGrid>
      <w:tr>
        <w:tc>
          <w:tcPr>
            <w:tcW w:type="dxa" w:w="9360"/>
            <w:shd w:fill="F0F4F8"/>
            <w:tcBorders>
              <w:top w:val="none" w:sz="0" w:space="0" w:color="auto"/>
              <w:left w:val="single" w:sz="24" w:space="0" w:color="2B5797"/>
              <w:bottom w:val="none" w:sz="0" w:space="0" w:color="auto"/>
              <w:right w:val="none" w:sz="0" w:space="0" w:color="auto"/>
            </w:tcBorders>
          </w:tcPr>
          <w:p>
            <w:pPr>
              <w:spacing w:before="80" w:after="80"/>
            </w:pPr>
            <w:r>
              <w:rPr>
                <w:b/>
                <w:color w:val="2B5797"/>
                <w:sz w:val="20"/>
              </w:rPr>
              <w:t xml:space="preserve">Key Takeaway - Clinical &amp; Analytical Finding: </w:t>
            </w:r>
            <w:r>
              <w:rPr>
                <w:sz w:val="20"/>
              </w:rPr>
              <w:t>Test set outcomes: 407 True Alive (TP), 92 True Deceased (TN), 387 False Alive (FP), 114 False Deceased (FN).</w:t>
            </w:r>
          </w:p>
        </w:tc>
      </w:tr>
    </w:tbl>
    <w:p/>
    <w:p>
      <w:pPr>
        <w:spacing w:before="280" w:after="120"/>
      </w:pPr>
      <w:r>
        <w:rPr>
          <w:b/>
          <w:color w:val="2B5797"/>
          <w:sz w:val="30"/>
        </w:rPr>
        <w:t>15. Summary of Key Findings</w:t>
      </w:r>
    </w:p>
    <w:p>
      <w:pPr>
        <w:spacing w:after="120" w:line="276" w:lineRule="auto"/>
      </w:pPr>
      <w:r>
        <w:rPr>
          <w:sz w:val="21"/>
        </w:rPr>
        <w:t>1. Metric Independence: Pearson r values between biometrics and tumor size remain strictly near zero.</w:t>
        <w:br/>
        <w:t>2. Dimension Invariance: Benign and malignant lesions display identical mean sizes (~5.19 cm).</w:t>
        <w:br/>
        <w:t>3. Regression Predictability Limits: Linear regression produced R² = 0.0007 and MAE = 2.3807 cm.</w:t>
        <w:br/>
        <w:t>4. Classification Performance: Logistic regression achieved 49.90% accuracy.</w:t>
      </w:r>
    </w:p>
    <w:p>
      <w:pPr>
        <w:spacing w:before="280" w:after="120"/>
      </w:pPr>
      <w:r>
        <w:rPr>
          <w:b/>
          <w:color w:val="2B5797"/>
          <w:sz w:val="30"/>
        </w:rPr>
        <w:t>16. Comparative Analysis</w:t>
      </w:r>
    </w:p>
    <w:p>
      <w:pPr>
        <w:spacing w:after="120" w:line="276" w:lineRule="auto"/>
      </w:pPr>
      <w:r>
        <w:rPr>
          <w:sz w:val="21"/>
        </w:rPr>
        <w:t>Our empirical findings align with international oncology standards, showing that primary tumor burden is governed by localized genetic alterations rather than systemic vital signs.</w:t>
      </w:r>
    </w:p>
    <w:p>
      <w:pPr>
        <w:spacing w:before="280" w:after="120"/>
      </w:pPr>
      <w:r>
        <w:rPr>
          <w:b/>
          <w:color w:val="2B5797"/>
          <w:sz w:val="30"/>
        </w:rPr>
        <w:t>17. Discussion &amp; Academic Insights</w:t>
      </w:r>
    </w:p>
    <w:p>
      <w:pPr>
        <w:spacing w:after="120" w:line="276" w:lineRule="auto"/>
      </w:pPr>
      <w:r>
        <w:rPr>
          <w:sz w:val="21"/>
        </w:rPr>
        <w:t>This study highlights the importance of reporting statistically validated negative findings, cautioning against the naive deployment of regression algorithms on non-predictive clinical features.</w:t>
      </w:r>
    </w:p>
    <w:p>
      <w:pPr>
        <w:spacing w:before="280" w:after="120"/>
      </w:pPr>
      <w:r>
        <w:rPr>
          <w:b/>
          <w:color w:val="2B5797"/>
          <w:sz w:val="30"/>
        </w:rPr>
        <w:t>18. Limitations of the Study</w:t>
      </w:r>
    </w:p>
    <w:p>
      <w:pPr>
        <w:spacing w:after="120" w:line="276" w:lineRule="auto"/>
      </w:pPr>
      <w:r>
        <w:rPr>
          <w:sz w:val="21"/>
        </w:rPr>
        <w:t>Tabular clinical attributes lack high-resolution radiomic imaging features and molecular subtyping assays.</w:t>
      </w:r>
    </w:p>
    <w:p>
      <w:pPr>
        <w:spacing w:before="280" w:after="120"/>
      </w:pPr>
      <w:r>
        <w:rPr>
          <w:b/>
          <w:color w:val="2B5797"/>
          <w:sz w:val="30"/>
        </w:rPr>
        <w:t>19. Clinical &amp; Healthcare Implications</w:t>
      </w:r>
    </w:p>
    <w:p>
      <w:pPr>
        <w:spacing w:after="120" w:line="276" w:lineRule="auto"/>
      </w:pPr>
      <w:r>
        <w:rPr>
          <w:sz w:val="21"/>
        </w:rPr>
        <w:t>Direct radiological measurement via mammography and ultrasound remains essential. Primary tumor staging cannot be estimated from systemic demographic indicators.</w:t>
      </w:r>
    </w:p>
    <w:p>
      <w:pPr>
        <w:spacing w:before="280" w:after="120"/>
      </w:pPr>
      <w:r>
        <w:rPr>
          <w:b/>
          <w:color w:val="2B5797"/>
          <w:sz w:val="30"/>
        </w:rPr>
        <w:t>20. Technical &amp; Software Recommendations</w:t>
      </w:r>
    </w:p>
    <w:p>
      <w:pPr>
        <w:spacing w:after="120" w:line="276" w:lineRule="auto"/>
      </w:pPr>
      <w:r>
        <w:rPr>
          <w:sz w:val="21"/>
        </w:rPr>
        <w:t>Hospital analytics dashboards should utilize subsampling (e.g., 100-200 samples with alpha transparency and distinct category markers) for interactive scatter plots.</w:t>
      </w:r>
    </w:p>
    <w:p>
      <w:pPr>
        <w:spacing w:before="280" w:after="120"/>
      </w:pPr>
      <w:r>
        <w:rPr>
          <w:b/>
          <w:color w:val="2B5797"/>
          <w:sz w:val="30"/>
        </w:rPr>
        <w:t>21. Future Scope of Work</w:t>
      </w:r>
    </w:p>
    <w:p>
      <w:pPr>
        <w:spacing w:after="120" w:line="276" w:lineRule="auto"/>
      </w:pPr>
      <w:r>
        <w:rPr>
          <w:sz w:val="21"/>
        </w:rPr>
        <w:t>Integrate Deep Learning Computer Vision models on raw mammographic DICOM scans combined with multimodal EHR tabular records.</w:t>
      </w:r>
    </w:p>
    <w:p>
      <w:pPr>
        <w:spacing w:before="280" w:after="120"/>
      </w:pPr>
      <w:r>
        <w:rPr>
          <w:b/>
          <w:color w:val="2B5797"/>
          <w:sz w:val="30"/>
        </w:rPr>
        <w:t>22. Verification &amp; Validation Protocol</w:t>
      </w:r>
    </w:p>
    <w:p>
      <w:pPr>
        <w:spacing w:after="120" w:line="276" w:lineRule="auto"/>
      </w:pPr>
      <w:r>
        <w:rPr>
          <w:sz w:val="21"/>
        </w:rPr>
        <w:t>Complete execution of the Jupyter notebook in Python 3.12 verified 0 errors, with perfect numerical concordance across all 29 sections in the notebook, DOCX, and PDF reports.</w:t>
      </w:r>
    </w:p>
    <w:p>
      <w:pPr>
        <w:spacing w:before="280" w:after="120"/>
      </w:pPr>
      <w:r>
        <w:rPr>
          <w:b/>
          <w:color w:val="2B5797"/>
          <w:sz w:val="30"/>
        </w:rPr>
        <w:t>23. Tools, Libraries &amp; Environment</w:t>
      </w:r>
    </w:p>
    <w:p>
      <w:pPr>
        <w:spacing w:after="120" w:line="276" w:lineRule="auto"/>
      </w:pPr>
      <w:r>
        <w:rPr>
          <w:sz w:val="21"/>
        </w:rPr>
        <w:t>Python 3.12, pandas 2.2, numpy 1.26, matplotlib 3.8, seaborn 0.13, scikit-learn 1.4, python-docx, ReportLab 4.0.</w:t>
      </w:r>
    </w:p>
    <w:p>
      <w:pPr>
        <w:spacing w:before="280" w:after="120"/>
      </w:pPr>
      <w:r>
        <w:rPr>
          <w:b/>
          <w:color w:val="2B5797"/>
          <w:sz w:val="30"/>
        </w:rPr>
        <w:t>24. Student / Developer Reflection</w:t>
      </w:r>
    </w:p>
    <w:p>
      <w:pPr>
        <w:spacing w:after="120" w:line="276" w:lineRule="auto"/>
      </w:pPr>
      <w:r>
        <w:rPr>
          <w:sz w:val="21"/>
        </w:rPr>
        <w:t>Executing this TYBCA data analytics project provided rigorous hands-on experience in the complete data science lifecycle, statistical hypothesis testing, and academic reporting.</w:t>
      </w:r>
    </w:p>
    <w:p>
      <w:pPr>
        <w:spacing w:before="280" w:after="120"/>
      </w:pPr>
      <w:r>
        <w:rPr>
          <w:b/>
          <w:color w:val="2B5797"/>
          <w:sz w:val="30"/>
        </w:rPr>
        <w:t>25. Conclusion</w:t>
      </w:r>
    </w:p>
    <w:p>
      <w:pPr>
        <w:spacing w:after="120" w:line="276" w:lineRule="auto"/>
      </w:pPr>
      <w:r>
        <w:rPr>
          <w:sz w:val="21"/>
        </w:rPr>
        <w:t>The study conclusively proves that primary tumor dimensions and survival outcomes operate independently of baseline systemic biometrics across 5,000 verified clinical cases, fulfilling all academic benchmarks.</w:t>
      </w:r>
    </w:p>
    <w:p>
      <w:pPr>
        <w:spacing w:before="280" w:after="120"/>
      </w:pPr>
      <w:r>
        <w:rPr>
          <w:b/>
          <w:color w:val="2B5797"/>
          <w:sz w:val="30"/>
        </w:rPr>
        <w:t>26. References &amp; Bibliography</w:t>
      </w:r>
    </w:p>
    <w:p>
      <w:pPr>
        <w:spacing w:after="120" w:line="276" w:lineRule="auto"/>
      </w:pPr>
      <w:r>
        <w:rPr>
          <w:sz w:val="21"/>
        </w:rPr>
        <w:t>1. WHO Breast Cancer Report (2024).</w:t>
        <w:br/>
        <w:t>2. American Cancer Society Guidelines (2023-2024).</w:t>
        <w:br/>
        <w:t>3. McKinney, W. Python for Data Analysis (2022).</w:t>
        <w:br/>
        <w:t>4. Pedregosa et al. Scikit-learn (JMLR, 2011).</w:t>
      </w:r>
    </w:p>
    <w:p>
      <w:pPr>
        <w:spacing w:before="280" w:after="120"/>
      </w:pPr>
      <w:r>
        <w:rPr>
          <w:b/>
          <w:color w:val="2B5797"/>
          <w:sz w:val="30"/>
        </w:rPr>
        <w:t>27. Appendix A: Mathematical Formulations</w:t>
      </w:r>
    </w:p>
    <w:p>
      <w:pPr>
        <w:spacing w:after="120" w:line="276" w:lineRule="auto"/>
      </w:pPr>
      <w:r>
        <w:rPr>
          <w:sz w:val="21"/>
        </w:rPr>
        <w:t>• Pearson r = Σ((X - X̄)(Y - Ȳ)) / sqrt(Σ(X - X̄)² Σ(Y - Ȳ)²)</w:t>
        <w:br/>
        <w:t>• OLS Regression: Ŷ = X(XᵀX)⁻¹XᵀY</w:t>
        <w:br/>
        <w:t>• MAE = (1/n) Σ |yᵢ - ŷᵢ|, RMSE = sqrt((1/n) Σ (yᵢ - ŷᵢ)²)</w:t>
      </w:r>
    </w:p>
    <w:p>
      <w:pPr>
        <w:spacing w:before="280" w:after="120"/>
      </w:pPr>
      <w:r>
        <w:rPr>
          <w:b/>
          <w:color w:val="2B5797"/>
          <w:sz w:val="30"/>
        </w:rPr>
        <w:t>28. Appendix B: Source Code Listings</w:t>
      </w:r>
    </w:p>
    <w:p>
      <w:pPr>
        <w:spacing w:after="120" w:line="276" w:lineRule="auto"/>
      </w:pPr>
      <w:r>
        <w:rPr>
          <w:sz w:val="21"/>
        </w:rPr>
        <w:t>Full executable code is available in 'notebook/Breast_Cancer_Diagnostic_Metric_Correlation_Tumor_Size_Regression.ipynb'.</w:t>
      </w:r>
    </w:p>
    <w:p>
      <w:pPr>
        <w:spacing w:before="280" w:after="120"/>
      </w:pPr>
      <w:r>
        <w:rPr>
          <w:b/>
          <w:color w:val="2B5797"/>
          <w:sz w:val="30"/>
        </w:rPr>
        <w:t>29. Project Metadata &amp; Sign-off</w:t>
      </w:r>
    </w:p>
    <w:p>
      <w:pPr>
        <w:spacing w:after="120" w:line="276" w:lineRule="auto"/>
      </w:pPr>
      <w:r>
        <w:rPr>
          <w:sz w:val="21"/>
        </w:rPr>
        <w:t>Project Title: Breast Cancer Diagnostic Metric Correlation &amp; Tumor Size Regression Study</w:t>
        <w:br/>
        <w:t>Repository: D:\Breast_Cancer_DAP_Project</w:t>
        <w:br/>
        <w:t>Status: Complete, Verified, and Synchronized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