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color w:val="2E75B6"/>
          <w:sz w:val="28"/>
          <w:szCs w:val="28"/>
        </w:rPr>
        <w:t xml:space="preserve">EE6003 Embedded Systems</w:t>
      </w:r>
    </w:p>
    <w:p>
      <w:pPr>
        <w:spacing w:after="120"/>
        <w:jc w:val="center"/>
      </w:pPr>
      <w:r>
        <w:rPr>
          <w:b/>
          <w:bCs/>
          <w:sz w:val="40"/>
          <w:szCs w:val="40"/>
        </w:rPr>
        <w:t xml:space="preserve">Literature Review — Working Draft</w:t>
      </w:r>
    </w:p>
    <w:p>
      <w:pPr>
        <w:spacing w:after="240"/>
        <w:jc w:val="center"/>
      </w:pPr>
      <w:r>
        <w:rPr>
          <w:i/>
          <w:iCs/>
          <w:sz w:val="24"/>
          <w:szCs w:val="24"/>
        </w:rPr>
        <w:t xml:space="preserve">Advanced Industrial Robotic Arm using RF Wireless Communication</w:t>
      </w:r>
    </w:p>
    <w:p>
      <w:pPr>
        <w:spacing w:after="120"/>
        <w:jc w:val="center"/>
      </w:pPr>
      <w:r>
        <w:rPr>
          <w:color w:val="666666"/>
          <w:sz w:val="22"/>
          <w:szCs w:val="22"/>
        </w:rPr>
        <w:t xml:space="preserve">A full-length review across the eight topic areas in the master plan</w:t>
      </w:r>
    </w:p>
    <w:p>
      <w:pPr>
        <w:spacing w:after="120"/>
        <w:jc w:val="center"/>
      </w:pPr>
      <w:r>
        <w:rPr>
          <w:color w:val="666666"/>
          <w:sz w:val="22"/>
          <w:szCs w:val="22"/>
        </w:rPr>
        <w:t xml:space="preserve">Compressed IEEE-style references listed at the end</w:t>
      </w:r>
    </w:p>
    <w:p>
      <w:pPr>
        <w:pStyle w:val="Heading2"/>
        <w:spacing w:after="140" w:before="280"/>
      </w:pPr>
      <w:r>
        <w:t xml:space="preserve">How to use this document</w:t>
      </w:r>
    </w:p>
    <w:p>
      <w:pPr>
        <w:spacing w:after="120" w:line="300"/>
        <w:jc w:val="both"/>
      </w:pPr>
      <w:r>
        <w:t xml:space="preserve">This is a working draft of the literature review section of your coursework report. It covers all eight topic areas from Section 12 of the master plan, at greater length than the final 800-word slot — the extra material is intentional so that when you compress to the final word budget you can pick the best pieces and discard the rest.</w:t>
      </w:r>
    </w:p>
    <w:p>
      <w:pPr>
        <w:spacing w:after="120" w:line="300"/>
        <w:jc w:val="both"/>
      </w:pPr>
      <w:r>
        <w:t xml:space="preserve">Every factual claim is cited by number [n] against the reference list at the end. Before you submit the final report, you MUST do two things for each reference:</w:t>
      </w:r>
    </w:p>
    <w:p>
      <w:pPr>
        <w:pStyle w:val="ListParagraph"/>
        <w:numPr>
          <w:ilvl w:val="0"/>
          <w:numId w:val="2"/>
        </w:numPr>
        <w:spacing w:after="80" w:line="280"/>
      </w:pPr>
      <w:r>
        <w:t xml:space="preserve">Verify it exists in IEEE Xplore, Google Scholar, or your library catalogue. Copy the DOI/URL into your bibliography spreadsheet.</w:t>
      </w:r>
    </w:p>
    <w:p>
      <w:pPr>
        <w:pStyle w:val="ListParagraph"/>
        <w:numPr>
          <w:ilvl w:val="0"/>
          <w:numId w:val="2"/>
        </w:numPr>
        <w:spacing w:after="80" w:line="280"/>
      </w:pPr>
      <w:r>
        <w:t xml:space="preserve">Read at least the abstract and conclusion so that if the marker asks "why did you cite this?" you can answer.</w:t>
      </w:r>
    </w:p>
    <w:p>
      <w:pPr>
        <w:spacing w:after="120" w:line="300"/>
        <w:jc w:val="both"/>
      </w:pPr>
      <w:r>
        <w:t xml:space="preserve">The references here are a mix of seminal textbooks, international standards, and well-known peer-reviewed papers. They are the foundations of each sub-field; a 1st-class report will add 2–3 more recent papers per topic to demonstrate current awareness. I have flagged where you should look for those in the margin notes.</w:t>
      </w:r>
    </w:p>
    <w:p>
      <w:r>
        <w:br w:type="page"/>
      </w:r>
    </w:p>
    <w:p>
      <w:pPr>
        <w:pStyle w:val="Heading1"/>
        <w:spacing w:after="180" w:before="360"/>
      </w:pPr>
      <w:r>
        <w:t xml:space="preserve">1. Industrial Automation and Multi-DOF Robotic Manipulators</w:t>
      </w:r>
    </w:p>
    <w:p>
      <w:pPr>
        <w:spacing w:after="120" w:line="300"/>
        <w:jc w:val="both"/>
      </w:pPr>
      <w:r>
        <w:t xml:space="preserve">Industrial robotics has become a cornerstone of modern manufacturing. The International Federation of Robotics reports that annual worldwide shipments of industrial robots have exceeded 500,000 units per year since 2021, with a global operational stock above 3.5 million units </w:t>
      </w:r>
      <w:r>
        <w:t xml:space="preserve">[1]</w:t>
      </w:r>
      <w:r>
        <w:t xml:space="preserve">. Articulated manipulators — open kinematic chains of three to seven revolute joints with a terminal gripper or tool — remain the dominant form factor because of their workspace flexibility and their ability to reach around obstacles that linear (Cartesian) and SCARA configurations cannot </w:t>
      </w:r>
      <w:r>
        <w:t xml:space="preserve">[2]</w:t>
      </w:r>
      <w:r>
        <w:t xml:space="preserve">[3]</w:t>
      </w:r>
      <w:r>
        <w:t xml:space="preserve">.</w:t>
      </w:r>
    </w:p>
    <w:p>
      <w:pPr>
        <w:spacing w:after="120" w:line="300"/>
        <w:jc w:val="both"/>
      </w:pPr>
      <w:r>
        <w:t xml:space="preserve">A manipulator's degrees of freedom (DOF) set an upper bound on the classes of end-effector poses it can reach. Three independent joints are sufficient to position a point in 3-D space; six are needed to additionally control orientation. Pick-and-place sorting — the task required by the coursework autonomous mode — typically needs four DOF plus a binary gripper: base rotation for azimuth, shoulder and elbow for the radial reach, and wrist rotation to present the gripper correctly to the object </w:t>
      </w:r>
      <w:r>
        <w:t xml:space="preserve">[2]</w:t>
      </w:r>
      <w:r>
        <w:t xml:space="preserve">. This matches the minimum configuration specified in the brief and the one implemented in this project.</w:t>
      </w:r>
    </w:p>
    <w:p>
      <w:pPr>
        <w:spacing w:after="120" w:line="300"/>
        <w:jc w:val="both"/>
      </w:pPr>
      <w:r>
        <w:t xml:space="preserve">Industrial deployments place stringent demands on repeatability, cycle time, safety, and serviceability. ISO 9283, the dominant performance specification for manipulating industrial robots, defines metrics such as pose repeatability, pose accuracy, and path accuracy </w:t>
      </w:r>
      <w:r>
        <w:t xml:space="preserve">[4]</w:t>
      </w:r>
      <w:r>
        <w:t xml:space="preserve">. Practical articulated manipulators achieve pose repeatability in the sub-millimetre regime, but cost-effective educational and prototype systems using hobby-grade servos typically exhibit repeatability one to two orders of magnitude worse. Closing a feedback loop around each joint — the approach mandated by the coursework — is a well-established mitigation that trades a small computational cost for a large improvement in repeatability and robustness to payload variation </w:t>
      </w:r>
      <w:r>
        <w:t xml:space="preserve">[2]</w:t>
      </w:r>
      <w:r>
        <w:t xml:space="preserve">[5]</w:t>
      </w:r>
      <w:r>
        <w:t xml:space="preserve">.</w:t>
      </w:r>
    </w:p>
    <w:p>
      <w:pPr>
        <w:spacing w:after="120" w:line="300"/>
        <w:jc w:val="both"/>
      </w:pPr>
      <w:r>
        <w:t xml:space="preserve">Wireless teleoperation, in which a handheld controller commands a spatially separated manipulator, is motivated by applications where the operator cannot be co-located with the arm: hazardous environments (nuclear decommissioning, pharmaceutical clean rooms), space and undersea exploration, and remote maintenance tasks </w:t>
      </w:r>
      <w:r>
        <w:t xml:space="preserve">[6]</w:t>
      </w:r>
      <w:r>
        <w:t xml:space="preserve">[7]</w:t>
      </w:r>
      <w:r>
        <w:t xml:space="preserve">. For those contexts the controller–arm link must satisfy three often-conflicting requirements simultaneously: low end-to-end latency so that the operator perceives the arm as "stuck" to their input, high reliability so that dropped commands do not cause uncontrolled motion, and security against deliberate interference. Much of the literature on industrial wireless surveyed in §2 addresses exactly this trade-off space.</w:t>
      </w:r>
    </w:p>
    <w:p>
      <w:pPr>
        <w:pBdr>
          <w:left w:val="single" w:color="2E75B6" w:sz="12"/>
        </w:pBdr>
        <w:spacing w:after="120" w:before="120"/>
        <w:ind w:left="540"/>
      </w:pPr>
      <w:r>
        <w:rPr>
          <w:i/>
          <w:iCs/>
        </w:rPr>
        <w:t xml:space="preserve">Search-for-yourself: 'IFR World Robotics 2024', 'ISO 9283 repeatability', 'teleoperated manipulator review' — aim for at least one paper published in 2022–2025 for currency.</w:t>
      </w:r>
    </w:p>
    <w:p>
      <w:pPr>
        <w:pStyle w:val="Heading1"/>
        <w:spacing w:after="180" w:before="360"/>
      </w:pPr>
      <w:r>
        <w:t xml:space="preserve">2. Wireless Communication Protocols for Embedded Control</w:t>
      </w:r>
    </w:p>
    <w:p>
      <w:pPr>
        <w:spacing w:after="120" w:line="300"/>
        <w:jc w:val="both"/>
      </w:pPr>
      <w:r>
        <w:t xml:space="preserve">The brief invites use of "Bluetooth or any wireless communication" but the top marks in the architecture and software rubric rows are explicitly tied to a justified comparison of protocol options. Four families of 2.4 GHz ISM-band protocols and one sub-GHz family dominate the low-rate industrial wireless literature: Bluetooth Classic (IEEE 802.15.1), Bluetooth Low Energy (BLE), Zigbee (IEEE 802.15.4), Wi-Fi (IEEE 802.11), and proprietary GFSK transceivers typified by the Nordic nRF24-series </w:t>
      </w:r>
      <w:r>
        <w:t xml:space="preserve">[8]</w:t>
      </w:r>
      <w:r>
        <w:t xml:space="preserve">[9]</w:t>
      </w:r>
      <w:r>
        <w:t xml:space="preserve">[10]</w:t>
      </w:r>
      <w:r>
        <w:t xml:space="preserve">[11]</w:t>
      </w:r>
      <w:r>
        <w:t xml:space="preserve">[12]</w:t>
      </w:r>
      <w:r>
        <w:t xml:space="preserve">.</w:t>
      </w:r>
    </w:p>
    <w:p>
      <w:pPr>
        <w:pStyle w:val="Heading2"/>
        <w:spacing w:after="140" w:before="280"/>
      </w:pPr>
      <w:r>
        <w:t xml:space="preserve">2.1 Bluetooth Classic (SPP)</w:t>
      </w:r>
    </w:p>
    <w:p>
      <w:pPr>
        <w:spacing w:after="120" w:line="300"/>
        <w:jc w:val="both"/>
      </w:pPr>
      <w:r>
        <w:t xml:space="preserve">Bluetooth Classic, standardised as IEEE 802.15.1, uses adaptive frequency hopping across 79 channels of 1 MHz width in the 2.4 GHz ISM band </w:t>
      </w:r>
      <w:r>
        <w:t xml:space="preserve">[8]</w:t>
      </w:r>
      <w:r>
        <w:t xml:space="preserve">. The Serial Port Profile (SPP) provides a transparent stream-oriented tunnel that emulates an RS-232 link over the radio — the mode in which the HC-05 module used in this project operates. Gross data rates of up to 3 Mbit/s are specified in later revisions, although SPP implementations on low-cost modules typically deliver an effective throughput of tens of kilobits per second and a round-trip latency that is dominated by the slave's packet-scheduling window, reported in the literature as roughly 30–100 ms depending on the master and slave implementations </w:t>
      </w:r>
      <w:r>
        <w:t xml:space="preserve">[9]</w:t>
      </w:r>
      <w:r>
        <w:t xml:space="preserve">[13]</w:t>
      </w:r>
      <w:r>
        <w:t xml:space="preserve">. Bluetooth Classic's principal drawbacks are higher steady-state power draw than BLE (on the order of 30–50 mA for HC-05) and limited scalability beyond one master plus seven active slaves </w:t>
      </w:r>
      <w:r>
        <w:t xml:space="preserve">[9]</w:t>
      </w:r>
      <w:r>
        <w:t xml:space="preserve">.</w:t>
      </w:r>
    </w:p>
    <w:p>
      <w:pPr>
        <w:pStyle w:val="Heading2"/>
        <w:spacing w:after="140" w:before="280"/>
      </w:pPr>
      <w:r>
        <w:t xml:space="preserve">2.2 Bluetooth Low Energy (BLE)</w:t>
      </w:r>
    </w:p>
    <w:p>
      <w:pPr>
        <w:spacing w:after="120" w:line="300"/>
        <w:jc w:val="both"/>
      </w:pPr>
      <w:r>
        <w:t xml:space="preserve">BLE was introduced with the Bluetooth 4.0 core specification as a low-duty-cycle alternative. Gomez, Oller, and Paradells </w:t>
      </w:r>
      <w:r>
        <w:t xml:space="preserve">[9]</w:t>
      </w:r>
      <w:r>
        <w:t xml:space="preserve"> provide the canonical overview: BLE uses 40 channels of 2 MHz width, three of which are dedicated to advertising; connection intervals are tunable from 7.5 ms to 4 s, permitting a trade between latency and average current. Peak instantaneous current is comparable to Classic Bluetooth but the low duty-cycle drops average consumption into the microamp regime. Latency in well-tuned BLE links can be below 10 ms one-way, making BLE attractive for wearable joint-mimic controllers. BLE is not natively supported by the HC-05; a BLE equivalent such as the HM-10 or an ESP32's built-in radio would be required. The advanced-features discussion in the coursework report can and should contrast BLE's power profile against the HC-05's as justification for the protocol that was ultimately selected.</w:t>
      </w:r>
    </w:p>
    <w:p>
      <w:pPr>
        <w:pStyle w:val="Heading2"/>
        <w:spacing w:after="140" w:before="280"/>
      </w:pPr>
      <w:r>
        <w:t xml:space="preserve">2.3 Zigbee (IEEE 802.15.4)</w:t>
      </w:r>
    </w:p>
    <w:p>
      <w:pPr>
        <w:spacing w:after="120" w:line="300"/>
        <w:jc w:val="both"/>
      </w:pPr>
      <w:r>
        <w:t xml:space="preserve">Zigbee, built on the IEEE 802.15.4 physical and MAC layers, targets low-data-rate, low-power mesh networks </w:t>
      </w:r>
      <w:r>
        <w:t xml:space="preserve">[10]</w:t>
      </w:r>
      <w:r>
        <w:t xml:space="preserve">[12]</w:t>
      </w:r>
      <w:r>
        <w:t xml:space="preserve">. Its 250 kbit/s air rate and CSMA/CA access make it robust in dense deployments but comparatively high-latency (tens of milliseconds per hop) </w:t>
      </w:r>
      <w:r>
        <w:t xml:space="preserve">[11]</w:t>
      </w:r>
      <w:r>
        <w:t xml:space="preserve">. The mesh-routing capability is valuable when a single link cannot span an industrial cell, but overkill for a two-node transmitter-receiver pair. Baker's widely cited Computing &amp; Control Engineering Journal comparison </w:t>
      </w:r>
      <w:r>
        <w:t xml:space="preserve">[10]</w:t>
      </w:r>
      <w:r>
        <w:t xml:space="preserve"> concludes that Zigbee's strength is scalability rather than latency, with Bluetooth having the edge for point-to-point real-time links — a finding that directly supports this project's choice of Bluetooth Classic.</w:t>
      </w:r>
    </w:p>
    <w:p>
      <w:pPr>
        <w:pStyle w:val="Heading2"/>
        <w:spacing w:after="140" w:before="280"/>
      </w:pPr>
      <w:r>
        <w:t xml:space="preserve">2.4 Wi-Fi (IEEE 802.11)</w:t>
      </w:r>
    </w:p>
    <w:p>
      <w:pPr>
        <w:spacing w:after="120" w:line="300"/>
        <w:jc w:val="both"/>
      </w:pPr>
      <w:r>
        <w:t xml:space="preserve">Wi-Fi offers orders-of-magnitude higher throughput than the above protocols, but at the cost of significantly higher power draw, a heavier protocol stack, and association latencies of hundreds of milliseconds after a reconnection event </w:t>
      </w:r>
      <w:r>
        <w:t xml:space="preserve">[11]</w:t>
      </w:r>
      <w:r>
        <w:t xml:space="preserve">. For a real-time teleoperation loop this is prohibitive unless the link is permanently established. Wi-Fi therefore makes sense for video streaming (a future-work extension for this project) but not for the primary control channel.</w:t>
      </w:r>
    </w:p>
    <w:p>
      <w:pPr>
        <w:pStyle w:val="Heading2"/>
        <w:spacing w:after="140" w:before="280"/>
      </w:pPr>
      <w:r>
        <w:t xml:space="preserve">2.5 Proprietary 2.4 GHz (nRF24L01+)</w:t>
      </w:r>
    </w:p>
    <w:p>
      <w:pPr>
        <w:spacing w:after="120" w:line="300"/>
        <w:jc w:val="both"/>
      </w:pPr>
      <w:r>
        <w:t xml:space="preserve">The Nordic Semiconductor nRF24L01+ transceiver implements a proprietary GFSK protocol with 2 Mbit/s air rate, 126 user-selectable channels, and a hardware-managed Shockburst packet engine that offers automatic acknowledgement and retransmission with a deterministic latency of tens of microseconds per packet </w:t>
      </w:r>
      <w:r>
        <w:t xml:space="preserve">[13]</w:t>
      </w:r>
      <w:r>
        <w:t xml:space="preserve">. Its principal advantages over Bluetooth are deterministic timing, much lower per-packet latency, and the ability to design an application-specific protocol without the overhead of the Bluetooth stack. Its disadvantages are the absence of interoperability with consumer devices (no phone can pair with it) and the need to implement higher-layer features such as encryption and pairing in application firmware </w:t>
      </w:r>
      <w:r>
        <w:t xml:space="preserve">[13]</w:t>
      </w:r>
      <w:r>
        <w:t xml:space="preserve">. An advanced extension to this project could add a secondary nRF24 link and present a comparative study of Bluetooth Classic versus nRF24 latency and packet-loss characteristics.</w:t>
      </w:r>
    </w:p>
    <w:p>
      <w:pPr>
        <w:pStyle w:val="Heading2"/>
        <w:spacing w:after="140" w:before="280"/>
      </w:pPr>
      <w:r>
        <w:t xml:space="preserve">2.6 Summary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400"/>
        <w:gridCol w:w="1600"/>
        <w:gridCol w:w="1626"/>
      </w:tblGrid>
      <w:tr>
        <w:trPr>
          <w:tblHeader/>
        </w:trPr>
        <w:tc>
          <w:tcPr>
            <w:tcW w:type="dxa" w:w="160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sz w:val="18"/>
                <w:szCs w:val="18"/>
              </w:rPr>
              <w:t xml:space="preserve">Protocol</w:t>
            </w:r>
          </w:p>
        </w:tc>
        <w:tc>
          <w:tcPr>
            <w:tcW w:type="dxa" w:w="140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sz w:val="18"/>
                <w:szCs w:val="18"/>
              </w:rPr>
              <w:t xml:space="preserve">Air rate</w:t>
            </w:r>
          </w:p>
        </w:tc>
        <w:tc>
          <w:tcPr>
            <w:tcW w:type="dxa" w:w="140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sz w:val="18"/>
                <w:szCs w:val="18"/>
              </w:rPr>
              <w:t xml:space="preserve">Typ. latency</w:t>
            </w:r>
          </w:p>
        </w:tc>
        <w:tc>
          <w:tcPr>
            <w:tcW w:type="dxa" w:w="140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sz w:val="18"/>
                <w:szCs w:val="18"/>
              </w:rPr>
              <w:t xml:space="preserve">Typ. current (active)</w:t>
            </w:r>
          </w:p>
        </w:tc>
        <w:tc>
          <w:tcPr>
            <w:tcW w:type="dxa" w:w="160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sz w:val="18"/>
                <w:szCs w:val="18"/>
              </w:rPr>
              <w:t xml:space="preserve">Strengths for this project</w:t>
            </w:r>
          </w:p>
        </w:tc>
        <w:tc>
          <w:tcPr>
            <w:tcW w:type="dxa" w:w="1626"/>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sz w:val="18"/>
                <w:szCs w:val="18"/>
              </w:rPr>
              <w:t xml:space="preserve">Weaknesses</w:t>
            </w:r>
          </w:p>
        </w:tc>
      </w:tr>
      <w:tr>
        <w:trPr>
          <w:tblHeader w:val="false"/>
        </w:trP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18"/>
                <w:szCs w:val="18"/>
              </w:rPr>
              <w:t xml:space="preserve">BT Classic (HC-05)</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18"/>
                <w:szCs w:val="18"/>
              </w:rPr>
              <w:t xml:space="preserve">≤ 3 Mbit/s</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18"/>
                <w:szCs w:val="18"/>
              </w:rPr>
              <w:t xml:space="preserve">30–100 ms</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18"/>
                <w:szCs w:val="18"/>
              </w:rPr>
              <w:t xml:space="preserve">30–50 mA</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18"/>
                <w:szCs w:val="18"/>
              </w:rPr>
              <w:t xml:space="preserve">SPP tunnel, trivial serial interface, works with any phone</w:t>
            </w:r>
          </w:p>
        </w:tc>
        <w:tc>
          <w:tcPr>
            <w:tcW w:type="dxa" w:w="16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18"/>
                <w:szCs w:val="18"/>
              </w:rPr>
              <w:t xml:space="preserve">Jitter, limited power optimisation [8][9]</w:t>
            </w:r>
          </w:p>
        </w:tc>
      </w:tr>
      <w:tr>
        <w:trPr>
          <w:tblHeader w:val="false"/>
        </w:trP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18"/>
                <w:szCs w:val="18"/>
              </w:rPr>
              <w:t xml:space="preserve">BLE</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18"/>
                <w:szCs w:val="18"/>
              </w:rPr>
              <w:t xml:space="preserve">1–2 Mbit/s</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18"/>
                <w:szCs w:val="18"/>
              </w:rPr>
              <w:t xml:space="preserve">7.5 ms min.</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18"/>
                <w:szCs w:val="18"/>
              </w:rPr>
              <w:t xml:space="preserve">≤ 15 mA peak, µA avg.</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18"/>
                <w:szCs w:val="18"/>
              </w:rPr>
              <w:t xml:space="preserve">Very low average power, tunable latency</w:t>
            </w:r>
          </w:p>
        </w:tc>
        <w:tc>
          <w:tcPr>
            <w:tcW w:type="dxa" w:w="16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18"/>
                <w:szCs w:val="18"/>
              </w:rPr>
              <w:t xml:space="preserve">Not supported by HC-05 [9]</w:t>
            </w:r>
          </w:p>
        </w:tc>
      </w:tr>
      <w:tr>
        <w:trPr>
          <w:tblHeader w:val="false"/>
        </w:trP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18"/>
                <w:szCs w:val="18"/>
              </w:rPr>
              <w:t xml:space="preserve">Zigbee (802.15.4)</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18"/>
                <w:szCs w:val="18"/>
              </w:rPr>
              <w:t xml:space="preserve">250 kbit/s</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18"/>
                <w:szCs w:val="18"/>
              </w:rPr>
              <w:t xml:space="preserve">15–50 ms/hop</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18"/>
                <w:szCs w:val="18"/>
              </w:rPr>
              <w:t xml:space="preserve">25–35 mA</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18"/>
                <w:szCs w:val="18"/>
              </w:rPr>
              <w:t xml:space="preserve">Mesh scalability</w:t>
            </w:r>
          </w:p>
        </w:tc>
        <w:tc>
          <w:tcPr>
            <w:tcW w:type="dxa" w:w="16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18"/>
                <w:szCs w:val="18"/>
              </w:rPr>
              <w:t xml:space="preserve">Higher latency, no phone support [10][11]</w:t>
            </w:r>
          </w:p>
        </w:tc>
      </w:tr>
      <w:tr>
        <w:trPr>
          <w:tblHeader w:val="false"/>
        </w:trP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18"/>
                <w:szCs w:val="18"/>
              </w:rPr>
              <w:t xml:space="preserve">Wi-Fi</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18"/>
                <w:szCs w:val="18"/>
              </w:rPr>
              <w:t xml:space="preserve">≥ 54 Mbit/s</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18"/>
                <w:szCs w:val="18"/>
              </w:rPr>
              <w:t xml:space="preserve">5–500 ms</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18"/>
                <w:szCs w:val="18"/>
              </w:rPr>
              <w:t xml:space="preserve">≥ 100 mA</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18"/>
                <w:szCs w:val="18"/>
              </w:rPr>
              <w:t xml:space="preserve">High throughput, IP-layer integration</w:t>
            </w:r>
          </w:p>
        </w:tc>
        <w:tc>
          <w:tcPr>
            <w:tcW w:type="dxa" w:w="16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18"/>
                <w:szCs w:val="18"/>
              </w:rPr>
              <w:t xml:space="preserve">Reconnect latency, heavy stack [11]</w:t>
            </w:r>
          </w:p>
        </w:tc>
      </w:tr>
      <w:tr>
        <w:trPr>
          <w:tblHeader w:val="false"/>
        </w:trP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18"/>
                <w:szCs w:val="18"/>
              </w:rPr>
              <w:t xml:space="preserve">nRF24L01+</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18"/>
                <w:szCs w:val="18"/>
              </w:rPr>
              <w:t xml:space="preserve">2 Mbit/s</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18"/>
                <w:szCs w:val="18"/>
              </w:rPr>
              <w:t xml:space="preserve">&lt; 1 ms/packet</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18"/>
                <w:szCs w:val="18"/>
              </w:rPr>
              <w:t xml:space="preserve">12–13 mA TX</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18"/>
                <w:szCs w:val="18"/>
              </w:rPr>
              <w:t xml:space="preserve">Deterministic low-latency, Shockburst ACK/retry</w:t>
            </w:r>
          </w:p>
        </w:tc>
        <w:tc>
          <w:tcPr>
            <w:tcW w:type="dxa" w:w="16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18"/>
                <w:szCs w:val="18"/>
              </w:rPr>
              <w:t xml:space="preserve">No phone interop; app-layer only [13]</w:t>
            </w:r>
          </w:p>
        </w:tc>
      </w:tr>
    </w:tbl>
    <w:p>
      <w:pPr>
        <w:spacing w:after="120" w:line="300"/>
        <w:jc w:val="both"/>
      </w:pPr>
      <w:r>
        <w:rPr>
          <w:i/>
          <w:iCs/>
        </w:rPr>
        <w:t xml:space="preserve">Table 1. Summary of candidate 2.4 GHz wireless protocols as surveyed in </w:t>
      </w:r>
      <w:r>
        <w:t xml:space="preserve">[8]</w:t>
      </w:r>
      <w:r>
        <w:t xml:space="preserve">[9]</w:t>
      </w:r>
      <w:r>
        <w:t xml:space="preserve">[10]</w:t>
      </w:r>
      <w:r>
        <w:t xml:space="preserve">[11]</w:t>
      </w:r>
      <w:r>
        <w:t xml:space="preserve">[13]</w:t>
      </w:r>
      <w:r>
        <w:rPr>
          <w:i/>
          <w:iCs/>
        </w:rPr>
        <w:t xml:space="preserve">. Figures quoted are representative values drawn from the cited sources; deployed performance depends on stack tuning and RF environment.</w:t>
      </w:r>
    </w:p>
    <w:p>
      <w:pPr>
        <w:spacing w:after="120" w:line="300"/>
        <w:jc w:val="both"/>
      </w:pPr>
      <w:r>
        <w:t xml:space="preserve">Beyond raw protocol choice, the industrial wireless literature emphasises the importance of link-layer robustness </w:t>
      </w:r>
      <w:r>
        <w:t xml:space="preserve">[10]</w:t>
      </w:r>
      <w:r>
        <w:t xml:space="preserve">[14]</w:t>
      </w:r>
      <w:r>
        <w:t xml:space="preserve">. In the congested 2.4 GHz ISM band, Wi-Fi, microwave ovens, and other Bluetooth devices routinely collide. Mitigations commonly applied include adaptive frequency hopping (native to Bluetooth), application-layer sequencing and CRCs, periodic keep-alive heartbeats, and fail-safe behaviour on comms-loss timeout — all of which are recommended for the advanced-features section of this project's report.</w:t>
      </w:r>
    </w:p>
    <w:p>
      <w:pPr>
        <w:pBdr>
          <w:left w:val="single" w:color="2E75B6" w:sz="12"/>
        </w:pBdr>
        <w:spacing w:after="120" w:before="120"/>
        <w:ind w:left="540"/>
      </w:pPr>
      <w:r>
        <w:rPr>
          <w:i/>
          <w:iCs/>
        </w:rPr>
        <w:t xml:space="preserve">Search-for-yourself: 'Bluetooth industrial latency measurement', 'BLE vs Zigbee throughput comparison', 'nRF24L01 packet loss analysis', 'IEEE 802.15.1 performance evaluation'. Try to locate at least one benchmark paper published after 2020.</w:t>
      </w:r>
    </w:p>
    <w:p>
      <w:pPr>
        <w:pStyle w:val="Heading1"/>
        <w:spacing w:after="180" w:before="360"/>
      </w:pPr>
      <w:r>
        <w:t xml:space="preserve">3. Closed-Loop Position Feedback in Robotic Joints</w:t>
      </w:r>
    </w:p>
    <w:p>
      <w:pPr>
        <w:spacing w:after="120" w:line="300"/>
        <w:jc w:val="both"/>
      </w:pPr>
      <w:r>
        <w:t xml:space="preserve">Without feedback, a hobby-grade RC servo motor is an open-loop actuator that cannot detect whether it has actually reached the commanded position. Under load, temperature variation, or PWM quantisation, its actual shaft angle drifts from the command by several degrees </w:t>
      </w:r>
      <w:r>
        <w:t xml:space="preserve">[2]</w:t>
      </w:r>
      <w:r>
        <w:t xml:space="preserve">[15]</w:t>
      </w:r>
      <w:r>
        <w:t xml:space="preserve">. The coursework's requirement to add a separate potentiometer (or equivalent sensor) to each joint converts every joint into a closed-loop servo axis whose actual position is independently known to the microcontroller.</w:t>
      </w:r>
    </w:p>
    <w:p>
      <w:pPr>
        <w:pStyle w:val="Heading2"/>
        <w:spacing w:after="140" w:before="280"/>
      </w:pPr>
      <w:r>
        <w:t xml:space="preserve">3.1 Potentiometers</w:t>
      </w:r>
    </w:p>
    <w:p>
      <w:pPr>
        <w:spacing w:after="120" w:line="300"/>
        <w:jc w:val="both"/>
      </w:pPr>
      <w:r>
        <w:t xml:space="preserve">A linear rotary potentiometer forms a resistive voltage divider whose wiper voltage is proportional to shaft angle. When read through the microcontroller's analogue-to-digital converter (ADC), the result is an absolute, single-turn angular measurement with no power-on initialisation required </w:t>
      </w:r>
      <w:r>
        <w:t xml:space="preserve">[15]</w:t>
      </w:r>
      <w:r>
        <w:t xml:space="preserve">[16]</w:t>
      </w:r>
      <w:r>
        <w:t xml:space="preserve">. On an ATmega2560 Arduino Mega the 10-bit ADC quantises each reading into 1024 levels, giving ideal angular resolution of about 0.1° over a 100° joint travel. In practice, noise from servo PWM coupling and brush noise degrades this to 0.3–1°, which is still more than adequate for a pick-and-place task. Mitigations recommended in the literature include an RC low-pass filter on the wiper (typically 1–10 kΩ series with 100 nF to ground), oversampling, and averaging across 8–16 samples </w:t>
      </w:r>
      <w:r>
        <w:t xml:space="preserve">[16]</w:t>
      </w:r>
      <w:r>
        <w:t xml:space="preserve">.</w:t>
      </w:r>
    </w:p>
    <w:p>
      <w:pPr>
        <w:spacing w:after="120" w:line="300"/>
        <w:jc w:val="both"/>
      </w:pPr>
      <w:r>
        <w:t xml:space="preserve">The principal drawback of potentiometric feedback is mechanical wear: the wiper slides against the resistive track with every movement, producing a finite lifetime typically quoted by manufacturers at a few million cycles. For an educational prototype this is rarely a practical concern; for a long-life industrial deployment it would motivate a non-contact sensor.</w:t>
      </w:r>
    </w:p>
    <w:p>
      <w:pPr>
        <w:pStyle w:val="Heading2"/>
        <w:spacing w:after="140" w:before="280"/>
      </w:pPr>
      <w:r>
        <w:t xml:space="preserve">3.2 Incremental and absolute optical encoders</w:t>
      </w:r>
    </w:p>
    <w:p>
      <w:pPr>
        <w:spacing w:after="120" w:line="300"/>
        <w:jc w:val="both"/>
      </w:pPr>
      <w:r>
        <w:t xml:space="preserve">An optical encoder uses a patterned disc and photo-interrupters to emit quadrature digital pulses as the shaft rotates. Incremental encoders count pulses to estimate displacement from a reference; they require a homing procedure at power-on and are vulnerable to counting errors if pulses are missed </w:t>
      </w:r>
      <w:r>
        <w:t xml:space="preserve">[15]</w:t>
      </w:r>
      <w:r>
        <w:t xml:space="preserve">. Absolute optical encoders use a Gray-coded disc to output a digital word uniquely identifying each angular position at power-on, at a cost and complexity premium </w:t>
      </w:r>
      <w:r>
        <w:t xml:space="preserve">[15]</w:t>
      </w:r>
      <w:r>
        <w:t xml:space="preserve">[16]</w:t>
      </w:r>
      <w:r>
        <w:t xml:space="preserve">. Pulse-counting loads also impose a computation cost on the MCU; for multi-axis systems dedicated encoder peripherals or quadrature-decoder ICs are commonly used.</w:t>
      </w:r>
    </w:p>
    <w:p>
      <w:pPr>
        <w:pStyle w:val="Heading2"/>
        <w:spacing w:after="140" w:before="280"/>
      </w:pPr>
      <w:r>
        <w:t xml:space="preserve">3.3 Magnetic encoders</w:t>
      </w:r>
    </w:p>
    <w:p>
      <w:pPr>
        <w:spacing w:after="120" w:line="300"/>
        <w:jc w:val="both"/>
      </w:pPr>
      <w:r>
        <w:t xml:space="preserve">Magnetic encoders using arrays of Hall-effect sensors have become inexpensive and popular in recent years. Devices such as the AMS AS5048 or AS5600 deliver 12–14 bit absolute angular resolution over an I²C or analogue interface and, crucially, are contactless — a diametrically magnetised magnet on the shaft is the only moving element </w:t>
      </w:r>
      <w:r>
        <w:t xml:space="preserve">[17]</w:t>
      </w:r>
      <w:r>
        <w:t xml:space="preserve">. They tolerate millimetre-scale misalignment, operate over the automotive temperature range, and have no wear-limited lifetime.</w:t>
      </w:r>
    </w:p>
    <w:p>
      <w:pPr>
        <w:pStyle w:val="Heading2"/>
        <w:spacing w:after="140" w:before="280"/>
      </w:pPr>
      <w:r>
        <w:t xml:space="preserve">3.4 Force and torque sensing</w:t>
      </w:r>
    </w:p>
    <w:p>
      <w:pPr>
        <w:spacing w:after="120" w:line="300"/>
        <w:jc w:val="both"/>
      </w:pPr>
      <w:r>
        <w:t xml:space="preserve">While not required by the coursework, force-sensitive feedback is the natural next step after position feedback. Strain-gauge load cells on gripper fingertips provide grasp-force feedback sufficient to distinguish soft and hard objects, and have been used in low-cost teleoperation studies </w:t>
      </w:r>
      <w:r>
        <w:t xml:space="preserve">[18]</w:t>
      </w:r>
      <w:r>
        <w:t xml:space="preserve">. A gripper force sensor would fall neatly into the "advanced features" category for the report.</w:t>
      </w:r>
    </w:p>
    <w:p>
      <w:pPr>
        <w:pStyle w:val="Heading2"/>
        <w:spacing w:after="140" w:before="280"/>
      </w:pPr>
      <w:r>
        <w:t xml:space="preserve">3.5 Selection rationale for this project</w:t>
      </w:r>
    </w:p>
    <w:p>
      <w:pPr>
        <w:spacing w:after="120" w:line="300"/>
        <w:jc w:val="both"/>
      </w:pPr>
      <w:r>
        <w:t xml:space="preserve">Potentiometers are selected for this project on the grounds of (a) cost (£1 per joint versus £5–15 for a magnetic encoder), (b) a single analogue wire per joint rather than I²C bus management, and (c) the coursework brief explicitly mentioning potentiometers as the reference implementation. The known downsides — mechanical wear and ADC noise — are documented and addressed with a hardware RC filter and software averaging, as recommended in the handbooks of modern sensors and mechatronics </w:t>
      </w:r>
      <w:r>
        <w:t xml:space="preserve">[15]</w:t>
      </w:r>
      <w:r>
        <w:t xml:space="preserve">[16]</w:t>
      </w:r>
      <w:r>
        <w:t xml:space="preserve">.</w:t>
      </w:r>
    </w:p>
    <w:p>
      <w:pPr>
        <w:pBdr>
          <w:left w:val="single" w:color="2E75B6" w:sz="12"/>
        </w:pBdr>
        <w:spacing w:after="120" w:before="120"/>
        <w:ind w:left="540"/>
      </w:pPr>
      <w:r>
        <w:rPr>
          <w:i/>
          <w:iCs/>
        </w:rPr>
        <w:t xml:space="preserve">Search-for-yourself: 'AS5600 magnetic encoder datasheet', 'hobby servo feedback modification', 'ADC noise reduction servo'. A recent journal paper comparing encoder types for educational robots would strengthen this section.</w:t>
      </w:r>
    </w:p>
    <w:p>
      <w:pPr>
        <w:pStyle w:val="Heading1"/>
        <w:spacing w:after="180" w:before="360"/>
      </w:pPr>
      <w:r>
        <w:t xml:space="preserve">4. Feedback Control of Servo Joints (PID)</w:t>
      </w:r>
    </w:p>
    <w:p>
      <w:pPr>
        <w:spacing w:after="120" w:line="300"/>
        <w:jc w:val="both"/>
      </w:pPr>
      <w:r>
        <w:t xml:space="preserve">The proportional–integral–derivative (PID) controller has dominated industrial feedback control for nearly a century. Åström and Hägglund's standard reference "PID Controllers: Theory, Design, and Tuning" </w:t>
      </w:r>
      <w:r>
        <w:t xml:space="preserve">[19]</w:t>
      </w:r>
      <w:r>
        <w:t xml:space="preserve"> notes that PID remains the workhorse of process and motion control because its three-term structure is simple, interpretable, and sufficient for the vast majority of single-input single-output regulation problems. For a robotic joint with a potentiometer-fed position error, the control law is:</w:t>
      </w:r>
    </w:p>
    <w:p>
      <w:pPr>
        <w:spacing w:after="120" w:before="120"/>
        <w:jc w:val="center"/>
      </w:pPr>
      <w:r>
        <w:rPr>
          <w:rFonts w:ascii="Cambria Math" w:cs="Cambria Math" w:eastAsia="Cambria Math" w:hAnsi="Cambria Math"/>
          <w:i/>
          <w:iCs/>
        </w:rPr>
        <w:t xml:space="preserve">u(t) = Kp·e(t) + Ki·∫e(t)dt + Kd·de(t)/dt</w:t>
      </w:r>
    </w:p>
    <w:p>
      <w:pPr>
        <w:spacing w:after="120" w:line="300"/>
        <w:jc w:val="both"/>
      </w:pPr>
      <w:r>
        <w:t xml:space="preserve">where e(t) = target_angle − measured_angle, and u(t) is the PWM pulse width delivered to the servo. The proportional term drives the joint towards the set-point; the integral term eliminates steady-state error caused by friction and gravity; the derivative term damps overshoot by opposing rapid changes in error </w:t>
      </w:r>
      <w:r>
        <w:t xml:space="preserve">[19]</w:t>
      </w:r>
      <w:r>
        <w:t xml:space="preserve">[20]</w:t>
      </w:r>
      <w:r>
        <w:t xml:space="preserve">.</w:t>
      </w:r>
    </w:p>
    <w:p>
      <w:pPr>
        <w:pStyle w:val="Heading2"/>
        <w:spacing w:after="140" w:before="280"/>
      </w:pPr>
      <w:r>
        <w:t xml:space="preserve">4.1 Discrete implementation on an Arduino</w:t>
      </w:r>
    </w:p>
    <w:p>
      <w:pPr>
        <w:spacing w:after="120" w:line="300"/>
        <w:jc w:val="both"/>
      </w:pPr>
      <w:r>
        <w:t xml:space="preserve">On a microcontroller the controller is implemented in discrete time: the measurement is sampled every T seconds, the integral is approximated by a running sum (scaled by T), and the derivative by a backward difference (scaled by 1/T) </w:t>
      </w:r>
      <w:r>
        <w:t xml:space="preserve">[20]</w:t>
      </w:r>
      <w:r>
        <w:t xml:space="preserve">. Two implementation concerns are well-documented in the embedded-control literature: (i) integral wind-up, in which the integrator accumulates during actuator saturation and causes severe overshoot on recovery — mitigated by clamping the integrator output and by back-calculation anti-wind-up </w:t>
      </w:r>
      <w:r>
        <w:t xml:space="preserve">[19]</w:t>
      </w:r>
      <w:r>
        <w:t xml:space="preserve">[20]</w:t>
      </w:r>
      <w:r>
        <w:t xml:space="preserve">; (ii) derivative kick, in which a step change in the set-point produces an impulsive derivative term — mitigated by taking the derivative of the measurement rather than of the error. Both mitigations are trivial to implement and earn explicit "advanced feature" marks in the report.</w:t>
      </w:r>
    </w:p>
    <w:p>
      <w:pPr>
        <w:pStyle w:val="Heading2"/>
        <w:spacing w:after="140" w:before="280"/>
      </w:pPr>
      <w:r>
        <w:t xml:space="preserve">4.2 Tuning methods</w:t>
      </w:r>
    </w:p>
    <w:p>
      <w:pPr>
        <w:spacing w:after="120" w:line="300"/>
        <w:jc w:val="both"/>
      </w:pPr>
      <w:r>
        <w:t xml:space="preserve">The classical closed-loop tuning rules of Ziegler and Nichols </w:t>
      </w:r>
      <w:r>
        <w:t xml:space="preserve">[21]</w:t>
      </w:r>
      <w:r>
        <w:t xml:space="preserve"> prescribe a procedure: disable the I and D terms, increase Kp until the closed loop oscillates at a stable amplitude, and read off the ultimate gain Ku and oscillation period Tu; then set Kp = 0.6·Ku, Ti = 0.5·Tu, Td = 0.125·Tu. Åström and Hägglund's 2004 re-examination </w:t>
      </w:r>
      <w:r>
        <w:t xml:space="preserve">[22]</w:t>
      </w:r>
      <w:r>
        <w:t xml:space="preserve"> showed that the original rules tend to produce oscillatory responses and proposed updated step-response rules that are more robust. For an educational project, manual tuning — increase Kp until the response is snappy but oscillatory, then add Kd until oscillation is damped, finally add Ki slowly to eliminate steady-state error — usually converges within half an hour and is entirely defensible for the report.</w:t>
      </w:r>
    </w:p>
    <w:p>
      <w:pPr>
        <w:pStyle w:val="Heading2"/>
        <w:spacing w:after="140" w:before="280"/>
      </w:pPr>
      <w:r>
        <w:t xml:space="preserve">4.3 Performance metrics</w:t>
      </w:r>
    </w:p>
    <w:p>
      <w:pPr>
        <w:spacing w:after="120" w:line="300"/>
        <w:jc w:val="both"/>
      </w:pPr>
      <w:r>
        <w:t xml:space="preserve">The standard metrics for a controlled step response are rise time, overshoot, settling time, and steady-state error </w:t>
      </w:r>
      <w:r>
        <w:t xml:space="preserve">[20]</w:t>
      </w:r>
      <w:r>
        <w:t xml:space="preserve">. Measuring these before and after tuning, and presenting the two plots side by side, satisfies the "testing used to guide optimisation" criterion that separates 2:1 from 1st-class performance evaluation in the rubric.</w:t>
      </w:r>
    </w:p>
    <w:p>
      <w:pPr>
        <w:pBdr>
          <w:left w:val="single" w:color="2E75B6" w:sz="12"/>
        </w:pBdr>
        <w:spacing w:after="120" w:before="120"/>
        <w:ind w:left="540"/>
      </w:pPr>
      <w:r>
        <w:rPr>
          <w:i/>
          <w:iCs/>
        </w:rPr>
        <w:t xml:space="preserve">Search-for-yourself: 'Ziegler-Nichols tuning servo motor', 'anti-windup PID microcontroller', 'discrete-time PID implementation Arduino'. A recent control-tutorial paper in IEEE Control Systems Magazine would be ideal.</w:t>
      </w:r>
    </w:p>
    <w:p>
      <w:pPr>
        <w:pStyle w:val="Heading1"/>
        <w:spacing w:after="180" w:before="360"/>
      </w:pPr>
      <w:r>
        <w:t xml:space="preserve">5. Finite State Machines in Embedded Firmware</w:t>
      </w:r>
    </w:p>
    <w:p>
      <w:pPr>
        <w:spacing w:after="120" w:line="300"/>
        <w:jc w:val="both"/>
      </w:pPr>
      <w:r>
        <w:t xml:space="preserve">The Finite State Machine (FSM) is the standard abstraction for reactive embedded firmware. A classical FSM is a tuple (S, s₀, I, δ, O) — states S, initial state s₀, input alphabet I, transition function δ: S × I → S, and output function O — whose formal properties (determinism, reachability, termination) can be verified </w:t>
      </w:r>
      <w:r>
        <w:t xml:space="preserve">[23]</w:t>
      </w:r>
      <w:r>
        <w:t xml:space="preserve">[24]</w:t>
      </w:r>
      <w:r>
        <w:t xml:space="preserve">. Harel's statecharts extension </w:t>
      </w:r>
      <w:r>
        <w:t xml:space="preserve">[24]</w:t>
      </w:r>
      <w:r>
        <w:t xml:space="preserve"> introduces hierarchy, concurrency, and broadcast events, and is the basis of UML state machines and of Samek's widely used embedded FSM framework </w:t>
      </w:r>
      <w:r>
        <w:t xml:space="preserve">[23]</w:t>
      </w:r>
      <w:r>
        <w:t xml:space="preserve">.</w:t>
      </w:r>
    </w:p>
    <w:p>
      <w:pPr>
        <w:spacing w:after="120" w:line="300"/>
        <w:jc w:val="both"/>
      </w:pPr>
      <w:r>
        <w:t xml:space="preserve">In embedded contexts FSMs are valued for three properties </w:t>
      </w:r>
      <w:r>
        <w:t xml:space="preserve">[23]</w:t>
      </w:r>
      <w:r>
        <w:t xml:space="preserve">[25]</w:t>
      </w:r>
      <w:r>
        <w:t xml:space="preserve">:</w:t>
      </w:r>
    </w:p>
    <w:p>
      <w:pPr>
        <w:pStyle w:val="ListParagraph"/>
        <w:numPr>
          <w:ilvl w:val="0"/>
          <w:numId w:val="2"/>
        </w:numPr>
        <w:spacing w:after="80" w:line="280"/>
      </w:pPr>
      <w:r>
        <w:rPr>
          <w:b/>
          <w:bCs/>
        </w:rPr>
        <w:t xml:space="preserve">Modularity</w:t>
      </w:r>
      <w:r>
        <w:t xml:space="preserve">. Each state is an isolated piece of behaviour; adding a new state is a local edit rather than a global rewrite.</w:t>
      </w:r>
    </w:p>
    <w:p>
      <w:pPr>
        <w:pStyle w:val="ListParagraph"/>
        <w:numPr>
          <w:ilvl w:val="0"/>
          <w:numId w:val="2"/>
        </w:numPr>
        <w:spacing w:after="80" w:line="280"/>
      </w:pPr>
      <w:r>
        <w:rPr>
          <w:b/>
          <w:bCs/>
        </w:rPr>
        <w:t xml:space="preserve">Predictability</w:t>
      </w:r>
      <w:r>
        <w:t xml:space="preserve">. The machine is always in a known state, and transitions are driven by well-defined events. Safety-critical behaviours (an emergency stop always transitioning to a SAFE state regardless of the current state) can be proven correct.</w:t>
      </w:r>
    </w:p>
    <w:p>
      <w:pPr>
        <w:pStyle w:val="ListParagraph"/>
        <w:numPr>
          <w:ilvl w:val="0"/>
          <w:numId w:val="2"/>
        </w:numPr>
        <w:spacing w:after="80" w:line="280"/>
      </w:pPr>
      <w:r>
        <w:rPr>
          <w:b/>
          <w:bCs/>
        </w:rPr>
        <w:t xml:space="preserve">Testability</w:t>
      </w:r>
      <w:r>
        <w:t xml:space="preserve">. State–event coverage is a well-defined testing criterion; the tests written to exercise every transition form a documented test plan that is marker-friendly.</w:t>
      </w:r>
    </w:p>
    <w:p>
      <w:pPr>
        <w:spacing w:after="120" w:line="300"/>
        <w:jc w:val="both"/>
      </w:pPr>
      <w:r>
        <w:t xml:space="preserve">Two FSMs are used in this project. The first governs top-level mode: IDLE → MANUAL → AUTONOMOUS → SAFE. The second governs the autonomous Sense-Think-Act loop: IDLE → SCAN → DETECTED → CLASSIFY → PICK → PLACE → COUNT_CHECK. Both are drawn in Section 5 of the report. The distinction between a monolithic super-loop and an explicit FSM is exactly the distinction the rubric makes between a 2:1 and a 1st-class software design.</w:t>
      </w:r>
    </w:p>
    <w:p>
      <w:pPr>
        <w:pStyle w:val="Heading2"/>
        <w:spacing w:after="140" w:before="280"/>
      </w:pPr>
      <w:r>
        <w:t xml:space="preserve">5.1 Implementation patterns</w:t>
      </w:r>
    </w:p>
    <w:p>
      <w:pPr>
        <w:spacing w:after="120" w:line="300"/>
        <w:jc w:val="both"/>
      </w:pPr>
      <w:r>
        <w:t xml:space="preserve">Samek </w:t>
      </w:r>
      <w:r>
        <w:t xml:space="preserve">[23]</w:t>
      </w:r>
      <w:r>
        <w:t xml:space="preserve"> surveys implementation patterns for FSMs in C: the nested-switch idiom, the table-driven pattern (a 2-D array of state-event → (action, next_state) tuples), and the function-pointer pattern. For a firmware with fewer than twenty states the nested-switch idiom is usually the clearest. For larger firmware the table-driven approach scales better and is trivially verifiable by inspection. Both patterns are compatible with the tight memory budget of an ATmega2560.</w:t>
      </w:r>
    </w:p>
    <w:p>
      <w:pPr>
        <w:pBdr>
          <w:left w:val="single" w:color="2E75B6" w:sz="12"/>
        </w:pBdr>
        <w:spacing w:after="120" w:before="120"/>
        <w:ind w:left="540"/>
      </w:pPr>
      <w:r>
        <w:rPr>
          <w:i/>
          <w:iCs/>
        </w:rPr>
        <w:t xml:space="preserve">Search-for-yourself: 'finite state machine embedded C implementation', 'event-driven programming microcontroller', 'UML statechart robotic control'. Samek's book is the deepest single reference.</w:t>
      </w:r>
    </w:p>
    <w:p>
      <w:pPr>
        <w:pStyle w:val="Heading1"/>
        <w:spacing w:after="180" w:before="360"/>
      </w:pPr>
      <w:r>
        <w:t xml:space="preserve">6. Real-Time Operating Systems on Microcontrollers</w:t>
      </w:r>
    </w:p>
    <w:p>
      <w:pPr>
        <w:spacing w:after="120" w:line="300"/>
        <w:jc w:val="both"/>
      </w:pPr>
      <w:r>
        <w:t xml:space="preserve">A real-time operating system (RTOS) provides pre-emptive multitasking, synchronisation primitives (semaphores, mutexes, queues), and a deterministic scheduler on a microcontroller that would otherwise run a single-threaded super-loop. The scheduling theory underlying RTOS design rests on Liu and Layland's 1973 paper </w:t>
      </w:r>
      <w:r>
        <w:t xml:space="preserve">[26]</w:t>
      </w:r>
      <w:r>
        <w:t xml:space="preserve">, which established Rate Monotonic and Earliest Deadline First scheduling and the corresponding schedulability bounds that are still quoted in every RTOS textbook. A modern summary is in Laplante and Ovaska </w:t>
      </w:r>
      <w:r>
        <w:t xml:space="preserve">[27]</w:t>
      </w:r>
      <w:r>
        <w:t xml:space="preserve">.</w:t>
      </w:r>
    </w:p>
    <w:p>
      <w:pPr>
        <w:pStyle w:val="Heading2"/>
        <w:spacing w:after="140" w:before="280"/>
      </w:pPr>
      <w:r>
        <w:t xml:space="preserve">6.1 FreeRTOS</w:t>
      </w:r>
    </w:p>
    <w:p>
      <w:pPr>
        <w:spacing w:after="120" w:line="300"/>
        <w:jc w:val="both"/>
      </w:pPr>
      <w:r>
        <w:t xml:space="preserve">FreeRTOS, maintained by Amazon Web Services after its founding by Richard Barry, is the most widely deployed open-source RTOS, with ports to more than thirty architectures and a permissive MIT licence </w:t>
      </w:r>
      <w:r>
        <w:t xml:space="preserve">[28]</w:t>
      </w:r>
      <w:r>
        <w:t xml:space="preserve">. Its defining features are: fixed-priority pre-emptive scheduling with optional time-slicing between tasks of equal priority; tasks, queues, semaphores, mutexes, software timers, and event groups as the main primitives; and a tickless idle mode that drops the MCU into sleep between scheduled events </w:t>
      </w:r>
      <w:r>
        <w:t xml:space="preserve">[28]</w:t>
      </w:r>
      <w:r>
        <w:t xml:space="preserve">.</w:t>
      </w:r>
    </w:p>
    <w:p>
      <w:pPr>
        <w:spacing w:after="120" w:line="300"/>
        <w:jc w:val="both"/>
      </w:pPr>
      <w:r>
        <w:t xml:space="preserve">FreeRTOS does run on the ATmega2560-based Arduino Mega via the community-maintained AVR port and its ArduinoFreeRTOS library wrapper </w:t>
      </w:r>
      <w:r>
        <w:t xml:space="preserve">[29]</w:t>
      </w:r>
      <w:r>
        <w:t xml:space="preserve">. Because the ATmega2560 has only 8 KB of SRAM, task stacks must be sized conservatively; a practical system uses 6–8 tasks of 128–256 bytes each, leaving adequate heap for queues and application data. On the ATmega2560 the scheduler tick defaults to 1 kHz (1 ms tick), more than sufficient for servo control at 100 Hz but significantly coarser than what a 32-bit ARM Cortex-M would provide.</w:t>
      </w:r>
    </w:p>
    <w:p>
      <w:pPr>
        <w:pStyle w:val="Heading2"/>
        <w:spacing w:after="140" w:before="280"/>
      </w:pPr>
      <w:r>
        <w:t xml:space="preserve">6.2 Why RTOS rather than super-loop</w:t>
      </w:r>
    </w:p>
    <w:p>
      <w:pPr>
        <w:spacing w:after="120" w:line="300"/>
        <w:jc w:val="both"/>
      </w:pPr>
      <w:r>
        <w:t xml:space="preserve">The rubric explicitly rewards "deterministic timing" and "real-time behaviour". A well-structured FreeRTOS application achieves determinism by assigning fixed priorities to tasks and ensuring the highest-priority ready task always runs, with worst-case response time bounded by the analysis of Liu and Layland </w:t>
      </w:r>
      <w:r>
        <w:t xml:space="preserve">[26]</w:t>
      </w:r>
      <w:r>
        <w:t xml:space="preserve">. A super-loop, by contrast, exhibits variable latency depending on which blocks of the loop are currently executing. For a safety-critical response such as an emergency-stop interrupt this difference is practically significant: an RTOS-based design can guarantee response within one scheduler tick, while a super-loop response time depends on where the program counter happens to be.</w:t>
      </w:r>
    </w:p>
    <w:p>
      <w:pPr>
        <w:pStyle w:val="Heading2"/>
        <w:spacing w:after="140" w:before="280"/>
      </w:pPr>
      <w:r>
        <w:t xml:space="preserve">6.3 Interrupt Service Routines under RTOS</w:t>
      </w:r>
    </w:p>
    <w:p>
      <w:pPr>
        <w:spacing w:after="120" w:line="300"/>
        <w:jc w:val="both"/>
      </w:pPr>
      <w:r>
        <w:t xml:space="preserve">FreeRTOS enforces a strict discipline on ISRs </w:t>
      </w:r>
      <w:r>
        <w:t xml:space="preserve">[28]</w:t>
      </w:r>
      <w:r>
        <w:t xml:space="preserve">: they should be short, they should not call blocking API functions, and they communicate with tasks through FromISR variants of the queue and semaphore APIs. The correct pattern for the wireless RX path in this project is: a UART RX interrupt reads one byte into a ring buffer, and a semaphore-given-from-ISR wakes the RX task to frame the packet. This pattern is documented by Barry </w:t>
      </w:r>
      <w:r>
        <w:t xml:space="preserve">[28]</w:t>
      </w:r>
      <w:r>
        <w:t xml:space="preserve"> and is directly citeable in the software-development section.</w:t>
      </w:r>
    </w:p>
    <w:p>
      <w:pPr>
        <w:pBdr>
          <w:left w:val="single" w:color="2E75B6" w:sz="12"/>
        </w:pBdr>
        <w:spacing w:after="120" w:before="120"/>
        <w:ind w:left="540"/>
      </w:pPr>
      <w:r>
        <w:rPr>
          <w:i/>
          <w:iCs/>
        </w:rPr>
        <w:t xml:space="preserve">Search-for-yourself: 'FreeRTOS Arduino benchmark', 'Rate Monotonic ATmega2560', 'ISR-to-task communication pattern'. Barry's book is freely downloadable from freertos.org and should be read cover-to-cover by the software lead.</w:t>
      </w:r>
    </w:p>
    <w:p>
      <w:pPr>
        <w:pStyle w:val="Heading1"/>
        <w:spacing w:after="180" w:before="360"/>
      </w:pPr>
      <w:r>
        <w:t xml:space="preserve">7. Additive Manufacturing for Robotic Prototypes</w:t>
      </w:r>
    </w:p>
    <w:p>
      <w:pPr>
        <w:spacing w:after="120" w:line="300"/>
        <w:jc w:val="both"/>
      </w:pPr>
      <w:r>
        <w:t xml:space="preserve">Fused Deposition Modelling (FDM), the dominant desktop additive-manufacturing process, extrudes thermoplastic filament layer by layer to build up a part </w:t>
      </w:r>
      <w:r>
        <w:t xml:space="preserve">[30]</w:t>
      </w:r>
      <w:r>
        <w:t xml:space="preserve">. Gibson, Rosen, and Stucker's textbook </w:t>
      </w:r>
      <w:r>
        <w:t xml:space="preserve">[30]</w:t>
      </w:r>
      <w:r>
        <w:t xml:space="preserve"> groups the process with the broader category of Material Extrusion defined in ISO/ASTM 52900. For educational and prototype robotics FDM is the default choice because of its low capital cost, material versatility, and accessibility.</w:t>
      </w:r>
    </w:p>
    <w:p>
      <w:pPr>
        <w:pStyle w:val="Heading2"/>
        <w:spacing w:after="140" w:before="280"/>
      </w:pPr>
      <w:r>
        <w:t xml:space="preserve">7.1 Material selection</w:t>
      </w:r>
    </w:p>
    <w:p>
      <w:pPr>
        <w:spacing w:after="120" w:line="300"/>
        <w:jc w:val="both"/>
      </w:pPr>
      <w:r>
        <w:t xml:space="preserve">Polylactic acid (PLA) is the most commonly used FDM filament for prototyping. Chacón et al. </w:t>
      </w:r>
      <w:r>
        <w:t xml:space="preserve">[31]</w:t>
      </w:r>
      <w:r>
        <w:t xml:space="preserve"> report tensile strengths in the range 50–70 MPa for PLA parts printed at 0.2 mm layer height with 100% infill, depending heavily on raster orientation — a factor of two difference between transverse and axial loading is typical. Tymrak, Kreiger, and Pearce </w:t>
      </w:r>
      <w:r>
        <w:t xml:space="preserve">[32]</w:t>
      </w:r>
      <w:r>
        <w:t xml:space="preserve"> show the same pattern across different desktop printers, cementing the guidance that load-bearing layers must be oriented perpendicular to the dominant loading direction.</w:t>
      </w:r>
    </w:p>
    <w:p>
      <w:pPr>
        <w:spacing w:after="120" w:line="300"/>
        <w:jc w:val="both"/>
      </w:pPr>
      <w:r>
        <w:t xml:space="preserve">For joints that carry torque (base and shoulder in this project), PLA+ or PETG at 40–50% infill with four perimeters is a common and defensible starting configuration </w:t>
      </w:r>
      <w:r>
        <w:t xml:space="preserve">[31]</w:t>
      </w:r>
      <w:r>
        <w:t xml:space="preserve">. TPU is appropriate for gripper contact surfaces because its low Shore hardness provides compliant contact without requiring an additional elastomeric pad. The material and parameter choices should be recorded in a print-parameter table in the report (as specified in Section 10 of the master plan) and each choice should carry a citation into this literature.</w:t>
      </w:r>
    </w:p>
    <w:p>
      <w:pPr>
        <w:pStyle w:val="Heading2"/>
        <w:spacing w:after="140" w:before="280"/>
      </w:pPr>
      <w:r>
        <w:t xml:space="preserve">7.2 Design for FDM</w:t>
      </w:r>
    </w:p>
    <w:p>
      <w:pPr>
        <w:spacing w:after="120" w:line="300"/>
        <w:jc w:val="both"/>
      </w:pPr>
      <w:r>
        <w:t xml:space="preserve">Several recurring design rules in the literature </w:t>
      </w:r>
      <w:r>
        <w:t xml:space="preserve">[30]</w:t>
      </w:r>
      <w:r>
        <w:t xml:space="preserve">[31]</w:t>
      </w:r>
      <w:r>
        <w:t xml:space="preserve"> are relevant to a 4-DOF arm: minimum feature sizes on the order of 0.8 mm; overhang angles below 45° or supported; and the use of heat-set brass threaded inserts in preference to tapped plastic threads for any fastener that will be assembled and disassembled more than a few times. The latter is particularly important in an educational project where iteration is expected.</w:t>
      </w:r>
    </w:p>
    <w:p>
      <w:pPr>
        <w:pBdr>
          <w:left w:val="single" w:color="2E75B6" w:sz="12"/>
        </w:pBdr>
        <w:spacing w:after="120" w:before="120"/>
        <w:ind w:left="540"/>
      </w:pPr>
      <w:r>
        <w:rPr>
          <w:i/>
          <w:iCs/>
        </w:rPr>
        <w:t xml:space="preserve">Search-for-yourself: 'FDM PLA mechanical properties', 'infill density tensile strength', 'heat-set insert plastic joint'. Look for at least one 2023–2025 paper characterising PLA+ specifically.</w:t>
      </w:r>
    </w:p>
    <w:p>
      <w:pPr>
        <w:pStyle w:val="Heading1"/>
        <w:spacing w:after="180" w:before="360"/>
      </w:pPr>
      <w:r>
        <w:t xml:space="preserve">8. Safety in Collaborative and Teleoperated Robotics</w:t>
      </w:r>
    </w:p>
    <w:p>
      <w:pPr>
        <w:spacing w:after="120" w:line="300"/>
        <w:jc w:val="both"/>
      </w:pPr>
      <w:r>
        <w:t xml:space="preserve">Industrial-robot safety is codified in ISO 10218-1 and ISO 10218-2 </w:t>
      </w:r>
      <w:r>
        <w:t xml:space="preserve">[33]</w:t>
      </w:r>
      <w:r>
        <w:t xml:space="preserve">[34]</w:t>
      </w:r>
      <w:r>
        <w:t xml:space="preserve"> covering robots and integrated robot systems respectively, with ISO/TS 15066 </w:t>
      </w:r>
      <w:r>
        <w:t xml:space="preserve">[35]</w:t>
      </w:r>
      <w:r>
        <w:t xml:space="preserve"> extending the framework to collaborative operation between humans and robots. Although a small educational prototype is not subject to these standards, framing the coursework's safety discussion in their language — risk assessment, protective stop, safety-rated monitored stop, power and force limiting — demonstrates engineering maturity and directly aligns with the rubric's reward for "industrial-quality hardware design with strong reliability [and] protection".</w:t>
      </w:r>
    </w:p>
    <w:p>
      <w:pPr>
        <w:pStyle w:val="Heading2"/>
        <w:spacing w:after="140" w:before="280"/>
      </w:pPr>
      <w:r>
        <w:t xml:space="preserve">8.1 Emergency stop</w:t>
      </w:r>
    </w:p>
    <w:p>
      <w:pPr>
        <w:spacing w:after="120" w:line="300"/>
        <w:jc w:val="both"/>
      </w:pPr>
      <w:r>
        <w:t xml:space="preserve">An emergency-stop function is mandated by ISO 13850 </w:t>
      </w:r>
      <w:r>
        <w:t xml:space="preserve">[36]</w:t>
      </w:r>
      <w:r>
        <w:t xml:space="preserve"> and referenced through ISO 10218. The standard's "Stop Category 0" specifies immediate removal of power to the actuators, while "Category 1" is a controlled stop followed by power removal. For this project, a latching red mushroom button is wired in two complementary ways: a physical contact in series with the servo 5–6 V rail (Category 0 semantics), and a parallel input to a microcontroller pin-change interrupt that forces the FSM into the SAFE state and commands all servos to the nearest known-safe pose before power is removed (Category 1 semantics). Implementing both gives marks for redundancy and for fidelity to the standard.</w:t>
      </w:r>
    </w:p>
    <w:p>
      <w:pPr>
        <w:pStyle w:val="Heading2"/>
        <w:spacing w:after="140" w:before="280"/>
      </w:pPr>
      <w:r>
        <w:t xml:space="preserve">8.2 Software safety</w:t>
      </w:r>
    </w:p>
    <w:p>
      <w:pPr>
        <w:spacing w:after="120" w:line="300"/>
        <w:jc w:val="both"/>
      </w:pPr>
      <w:r>
        <w:t xml:space="preserve">The watchdog timer, a hardware peripheral on the ATmega2560 that resets the microcontroller if the application fails to periodically "kick" it, is a classical embedded-safety pattern </w:t>
      </w:r>
      <w:r>
        <w:t xml:space="preserve">[27]</w:t>
      </w:r>
      <w:r>
        <w:t xml:space="preserve">. In this project the watchdog is kicked from the FreeRTOS idle task at approximately 50 ms intervals and configured to time out at 500 ms, so any firmware hang lasting more than that is corrected automatically by a reset. The same discipline applies to the wireless link: a comms-timeout counter maintained in the Safety_Task forces the arm into SAFE after 500 ms of silence from the transmitter — this addresses the "command timeout" requirement explicitly named in the master plan's advanced features list.</w:t>
      </w:r>
    </w:p>
    <w:p>
      <w:pPr>
        <w:pStyle w:val="Heading2"/>
        <w:spacing w:after="140" w:before="280"/>
      </w:pPr>
      <w:r>
        <w:t xml:space="preserve">8.3 Human-machine interface safety</w:t>
      </w:r>
    </w:p>
    <w:p>
      <w:pPr>
        <w:spacing w:after="120" w:line="300"/>
        <w:jc w:val="both"/>
      </w:pPr>
      <w:r>
        <w:t xml:space="preserve">ISO/TS 15066 </w:t>
      </w:r>
      <w:r>
        <w:t xml:space="preserve">[35]</w:t>
      </w:r>
      <w:r>
        <w:t xml:space="preserve"> defines biomechanical limits on force and pressure that a collaborative robot may exert on specified human body regions without causing harm. Although the small hobby servos used in this project cannot approach those limits in practice, the report should discuss how the design choices — compliant gripper pads (TPU), soft joint limits in firmware, low servo supply voltage — contribute to an inherently low-energy system, and what scaling of the design would need to change if higher-torque actuators were substituted.</w:t>
      </w:r>
    </w:p>
    <w:p>
      <w:pPr>
        <w:pBdr>
          <w:left w:val="single" w:color="2E75B6" w:sz="12"/>
        </w:pBdr>
        <w:spacing w:after="120" w:before="120"/>
        <w:ind w:left="540"/>
      </w:pPr>
      <w:r>
        <w:rPr>
          <w:i/>
          <w:iCs/>
        </w:rPr>
        <w:t xml:space="preserve">Search-for-yourself: 'ISO 10218 summary', 'ISO/TS 15066 power and force limiting', 'watchdog timer embedded safety pattern'. The ISO standards themselves are accessible via BSI through most institute libraries.</w:t>
      </w:r>
    </w:p>
    <w:p>
      <w:pPr>
        <w:pStyle w:val="Heading1"/>
        <w:spacing w:after="180" w:before="360"/>
      </w:pPr>
      <w:r>
        <w:t xml:space="preserve">9. Synthesis and Research Gaps</w:t>
      </w:r>
    </w:p>
    <w:p>
      <w:pPr>
        <w:spacing w:after="120" w:line="300"/>
        <w:jc w:val="both"/>
      </w:pPr>
      <w:r>
        <w:t xml:space="preserve">The literature surveyed above supports five claims that the rest of this report will substantiate experimentally:</w:t>
      </w:r>
    </w:p>
    <w:p>
      <w:pPr>
        <w:pStyle w:val="ListParagraph"/>
        <w:numPr>
          <w:ilvl w:val="0"/>
          <w:numId w:val="2"/>
        </w:numPr>
        <w:spacing w:after="80" w:line="280"/>
      </w:pPr>
      <w:r>
        <w:rPr>
          <w:b/>
          <w:bCs/>
        </w:rPr>
        <w:t xml:space="preserve">Claim 1.</w:t>
      </w:r>
      <w:r>
        <w:t xml:space="preserve"> An articulated 4-DOF arm with a gripper is the minimum-cost configuration capable of planar pick-and-place with orientation control </w:t>
      </w:r>
      <w:r>
        <w:t xml:space="preserve">[2]</w:t>
      </w:r>
      <w:r>
        <w:t xml:space="preserve">[3]</w:t>
      </w:r>
      <w:r>
        <w:t xml:space="preserve">. This motivates the coursework's mechanical design.</w:t>
      </w:r>
    </w:p>
    <w:p>
      <w:pPr>
        <w:pStyle w:val="ListParagraph"/>
        <w:numPr>
          <w:ilvl w:val="0"/>
          <w:numId w:val="2"/>
        </w:numPr>
        <w:spacing w:after="80" w:line="280"/>
      </w:pPr>
      <w:r>
        <w:rPr>
          <w:b/>
          <w:bCs/>
        </w:rPr>
        <w:t xml:space="preserve">Claim 2.</w:t>
      </w:r>
      <w:r>
        <w:t xml:space="preserve"> For a two-node point-to-point teleoperation link with a latency budget in the tens of milliseconds, Bluetooth Classic SPP is a defensible choice, but its latency jitter and absence of native retransmission require an application-layer protocol with sequencing, CRC, and timeout recovery to meet industrial robustness expectations </w:t>
      </w:r>
      <w:r>
        <w:t xml:space="preserve">[9]</w:t>
      </w:r>
      <w:r>
        <w:t xml:space="preserve">[10]</w:t>
      </w:r>
      <w:r>
        <w:t xml:space="preserve">.</w:t>
      </w:r>
    </w:p>
    <w:p>
      <w:pPr>
        <w:pStyle w:val="ListParagraph"/>
        <w:numPr>
          <w:ilvl w:val="0"/>
          <w:numId w:val="2"/>
        </w:numPr>
        <w:spacing w:after="80" w:line="280"/>
      </w:pPr>
      <w:r>
        <w:rPr>
          <w:b/>
          <w:bCs/>
        </w:rPr>
        <w:t xml:space="preserve">Claim 3.</w:t>
      </w:r>
      <w:r>
        <w:t xml:space="preserve"> Potentiometric joint feedback read through an ADC with RC low-pass filtering and software averaging provides sub-degree angular measurement at negligible cost and is sufficient to close a PID loop around each joint </w:t>
      </w:r>
      <w:r>
        <w:t xml:space="preserve">[15]</w:t>
      </w:r>
      <w:r>
        <w:t xml:space="preserve">[16]</w:t>
      </w:r>
      <w:r>
        <w:t xml:space="preserve">.</w:t>
      </w:r>
    </w:p>
    <w:p>
      <w:pPr>
        <w:pStyle w:val="ListParagraph"/>
        <w:numPr>
          <w:ilvl w:val="0"/>
          <w:numId w:val="2"/>
        </w:numPr>
        <w:spacing w:after="80" w:line="280"/>
      </w:pPr>
      <w:r>
        <w:rPr>
          <w:b/>
          <w:bCs/>
        </w:rPr>
        <w:t xml:space="preserve">Claim 4.</w:t>
      </w:r>
      <w:r>
        <w:t xml:space="preserve"> An RTOS-based firmware architecture with explicit FSMs, priority-based task scheduling, and ISR-driven I/O is more deterministic, more testable, and more defensible against safety-critical failure modes than a super-loop implementation </w:t>
      </w:r>
      <w:r>
        <w:t xml:space="preserve">[23]</w:t>
      </w:r>
      <w:r>
        <w:t xml:space="preserve">[26]</w:t>
      </w:r>
      <w:r>
        <w:t xml:space="preserve">[28]</w:t>
      </w:r>
      <w:r>
        <w:t xml:space="preserve">.</w:t>
      </w:r>
    </w:p>
    <w:p>
      <w:pPr>
        <w:pStyle w:val="ListParagraph"/>
        <w:numPr>
          <w:ilvl w:val="0"/>
          <w:numId w:val="2"/>
        </w:numPr>
        <w:spacing w:after="80" w:line="280"/>
      </w:pPr>
      <w:r>
        <w:rPr>
          <w:b/>
          <w:bCs/>
        </w:rPr>
        <w:t xml:space="preserve">Claim 5.</w:t>
      </w:r>
      <w:r>
        <w:t xml:space="preserve"> Commodity FDM printing in PLA+/PETG with brass heat-set inserts produces mechanical joints adequate for a low-duty-cycle educational prototype, provided material orientation is matched to the dominant load direction </w:t>
      </w:r>
      <w:r>
        <w:t xml:space="preserve">[30]</w:t>
      </w:r>
      <w:r>
        <w:t xml:space="preserve">[31]</w:t>
      </w:r>
      <w:r>
        <w:t xml:space="preserve">.</w:t>
      </w:r>
    </w:p>
    <w:p>
      <w:pPr>
        <w:spacing w:after="120" w:line="300"/>
        <w:jc w:val="both"/>
      </w:pPr>
      <w:r>
        <w:t xml:space="preserve">Three gaps in the literature that this project will contribute small empirical data points to are: (i) measured end-to-end latency and packet-loss characteristics of HC-05 SPP at 38400 baud under a custom 8-byte packet protocol, for which the literature provides only indicative values; (ii) the quantitative benefit of moving from a super-loop to a FreeRTOS implementation on the ATmega2560 for a multi-servo control task; and (iii) the effect of a simple ADC filtering pipeline on PID control performance in a 4-DOF hobby-servo arm. These are the questions that the Testing section of the report will answer directly.</w:t>
      </w:r>
    </w:p>
    <w:p>
      <w:r>
        <w:br w:type="page"/>
      </w:r>
    </w:p>
    <w:p>
      <w:pPr>
        <w:pStyle w:val="Heading1"/>
        <w:spacing w:after="180" w:before="360"/>
      </w:pPr>
      <w:r>
        <w:t xml:space="preserve">References (IEEE style)</w:t>
      </w:r>
    </w:p>
    <w:p>
      <w:pPr>
        <w:spacing w:after="120" w:line="300"/>
        <w:jc w:val="both"/>
      </w:pPr>
      <w:r>
        <w:rPr>
          <w:i/>
          <w:iCs/>
        </w:rPr>
        <w:t xml:space="preserve">All references below are cited in-text by number. Before final submission, verify each entry in your library catalogue or IEEE Xplore, retrieve the DOI, and record access date. Hobby-blog and YouTube sources are deliberately excluded from this core list; add them as secondary sources only where they support a specific implementation detail and clearly label them as such.</w:t>
      </w:r>
    </w:p>
    <w:p>
      <w:pPr>
        <w:spacing w:after="120" w:line="260"/>
        <w:ind w:left="540" w:hanging="540"/>
      </w:pPr>
      <w:r>
        <w:rPr>
          <w:b/>
          <w:bCs/>
        </w:rPr>
        <w:t xml:space="preserve">[1]  </w:t>
      </w:r>
      <w:r>
        <w:t xml:space="preserve">International Federation of Robotics, "World Robotics Report," IFR Statistical Department, Frankfurt, Germany, 2023. [Online]. Available: https://ifr.org</w:t>
      </w:r>
    </w:p>
    <w:p>
      <w:pPr>
        <w:spacing w:after="120" w:line="260"/>
        <w:ind w:left="540" w:hanging="540"/>
      </w:pPr>
      <w:r>
        <w:rPr>
          <w:b/>
          <w:bCs/>
        </w:rPr>
        <w:t xml:space="preserve">[2]  </w:t>
      </w:r>
      <w:r>
        <w:t xml:space="preserve">B. Siciliano and O. Khatib, Eds., Springer Handbook of Robotics, 2nd ed. Berlin, Germany: Springer, 2016.</w:t>
      </w:r>
    </w:p>
    <w:p>
      <w:pPr>
        <w:spacing w:after="120" w:line="260"/>
        <w:ind w:left="540" w:hanging="540"/>
      </w:pPr>
      <w:r>
        <w:rPr>
          <w:b/>
          <w:bCs/>
        </w:rPr>
        <w:t xml:space="preserve">[3]  </w:t>
      </w:r>
      <w:r>
        <w:t xml:space="preserve">J. J. Craig, Introduction to Robotics: Mechanics and Control, 4th ed. Harlow, U.K.: Pearson, 2017.</w:t>
      </w:r>
    </w:p>
    <w:p>
      <w:pPr>
        <w:spacing w:after="120" w:line="260"/>
        <w:ind w:left="540" w:hanging="540"/>
      </w:pPr>
      <w:r>
        <w:rPr>
          <w:b/>
          <w:bCs/>
        </w:rPr>
        <w:t xml:space="preserve">[4]  </w:t>
      </w:r>
      <w:r>
        <w:t xml:space="preserve">Manipulating Industrial Robots — Performance Criteria and Related Test Methods, ISO Standard 9283, 1998.</w:t>
      </w:r>
    </w:p>
    <w:p>
      <w:pPr>
        <w:spacing w:after="120" w:line="260"/>
        <w:ind w:left="540" w:hanging="540"/>
      </w:pPr>
      <w:r>
        <w:rPr>
          <w:b/>
          <w:bCs/>
        </w:rPr>
        <w:t xml:space="preserve">[5]  </w:t>
      </w:r>
      <w:r>
        <w:t xml:space="preserve">M. W. Spong, S. Hutchinson, and M. Vidyasagar, Robot Modeling and Control, 2nd ed. Hoboken, NJ: Wiley, 2020.</w:t>
      </w:r>
    </w:p>
    <w:p>
      <w:pPr>
        <w:spacing w:after="120" w:line="260"/>
        <w:ind w:left="540" w:hanging="540"/>
      </w:pPr>
      <w:r>
        <w:rPr>
          <w:b/>
          <w:bCs/>
        </w:rPr>
        <w:t xml:space="preserve">[6]  </w:t>
      </w:r>
      <w:r>
        <w:t xml:space="preserve">P. F. Hokayem and M. W. Spong, "Bilateral teleoperation: An historical survey," Automatica, vol. 42, no. 12, pp. 2035–2057, Dec. 2006.</w:t>
      </w:r>
    </w:p>
    <w:p>
      <w:pPr>
        <w:spacing w:after="120" w:line="260"/>
        <w:ind w:left="540" w:hanging="540"/>
      </w:pPr>
      <w:r>
        <w:rPr>
          <w:b/>
          <w:bCs/>
        </w:rPr>
        <w:t xml:space="preserve">[7]  </w:t>
      </w:r>
      <w:r>
        <w:t xml:space="preserve">D. Kragic and H. I. Christensen, "Survey on visual servoing for manipulation," Computational Vision and Active Perception Laboratory, Royal Institute of Technology, Stockholm, Sweden, Tech. Rep. ISRN KTH/NA/P-02/01-SE, 2002.</w:t>
      </w:r>
    </w:p>
    <w:p>
      <w:pPr>
        <w:spacing w:after="120" w:line="260"/>
        <w:ind w:left="540" w:hanging="540"/>
      </w:pPr>
      <w:r>
        <w:rPr>
          <w:b/>
          <w:bCs/>
        </w:rPr>
        <w:t xml:space="preserve">[8]  </w:t>
      </w:r>
      <w:r>
        <w:t xml:space="preserve">IEEE Standard for Information Technology—Local and Metropolitan Area Networks—Specific Requirements—Part 15.1: Wireless Medium Access Control (MAC) and Physical Layer (PHY) Specifications for Wireless Personal Area Networks (WPANs), IEEE Std 802.15.1-2005.</w:t>
      </w:r>
    </w:p>
    <w:p>
      <w:pPr>
        <w:spacing w:after="120" w:line="260"/>
        <w:ind w:left="540" w:hanging="540"/>
      </w:pPr>
      <w:r>
        <w:rPr>
          <w:b/>
          <w:bCs/>
        </w:rPr>
        <w:t xml:space="preserve">[9]  </w:t>
      </w:r>
      <w:r>
        <w:t xml:space="preserve">C. Gomez, J. Oller, and J. Paradells, "Overview and evaluation of Bluetooth Low Energy: An emerging low-power wireless technology," Sensors, vol. 12, no. 9, pp. 11734–11753, Aug. 2012.</w:t>
      </w:r>
    </w:p>
    <w:p>
      <w:pPr>
        <w:spacing w:after="120" w:line="260"/>
        <w:ind w:left="540" w:hanging="540"/>
      </w:pPr>
      <w:r>
        <w:rPr>
          <w:b/>
          <w:bCs/>
        </w:rPr>
        <w:t xml:space="preserve">[10]  </w:t>
      </w:r>
      <w:r>
        <w:t xml:space="preserve">N. Baker, "ZigBee and Bluetooth: Strengths and weaknesses for industrial applications," Computing &amp; Control Engineering Journal, vol. 16, no. 2, pp. 20–25, Apr./May 2005.</w:t>
      </w:r>
    </w:p>
    <w:p>
      <w:pPr>
        <w:spacing w:after="120" w:line="260"/>
        <w:ind w:left="540" w:hanging="540"/>
      </w:pPr>
      <w:r>
        <w:rPr>
          <w:b/>
          <w:bCs/>
        </w:rPr>
        <w:t xml:space="preserve">[11]  </w:t>
      </w:r>
      <w:r>
        <w:t xml:space="preserve">J.-S. Lee, Y.-W. Su, and C.-C. Shen, "A comparative study of wireless protocols: Bluetooth, UWB, ZigBee, and Wi-Fi," in Proc. 33rd Annu. Conf. IEEE Ind. Electron. Soc. (IECON), Taipei, Taiwan, Nov. 2007, pp. 46–51.</w:t>
      </w:r>
    </w:p>
    <w:p>
      <w:pPr>
        <w:spacing w:after="120" w:line="260"/>
        <w:ind w:left="540" w:hanging="540"/>
      </w:pPr>
      <w:r>
        <w:rPr>
          <w:b/>
          <w:bCs/>
        </w:rPr>
        <w:t xml:space="preserve">[12]  </w:t>
      </w:r>
      <w:r>
        <w:t xml:space="preserve">IEEE Standard for Low-Rate Wireless Networks, IEEE Std 802.15.4-2020.</w:t>
      </w:r>
    </w:p>
    <w:p>
      <w:pPr>
        <w:spacing w:after="120" w:line="260"/>
        <w:ind w:left="540" w:hanging="540"/>
      </w:pPr>
      <w:r>
        <w:rPr>
          <w:b/>
          <w:bCs/>
        </w:rPr>
        <w:t xml:space="preserve">[13]  </w:t>
      </w:r>
      <w:r>
        <w:t xml:space="preserve">Nordic Semiconductor, "nRF24L01+ Single Chip 2.4 GHz Transceiver Product Specification v1.0," Oslo, Norway, 2008. [Online]. Available: https://www.nordicsemi.com</w:t>
      </w:r>
    </w:p>
    <w:p>
      <w:pPr>
        <w:spacing w:after="120" w:line="260"/>
        <w:ind w:left="540" w:hanging="540"/>
      </w:pPr>
      <w:r>
        <w:rPr>
          <w:b/>
          <w:bCs/>
        </w:rPr>
        <w:t xml:space="preserve">[14]  </w:t>
      </w:r>
      <w:r>
        <w:t xml:space="preserve">A. Willig, K. Matheus, and A. Wolisz, "Wireless technology in industrial networks," Proc. IEEE, vol. 93, no. 6, pp. 1130–1151, Jun. 2005.</w:t>
      </w:r>
    </w:p>
    <w:p>
      <w:pPr>
        <w:spacing w:after="120" w:line="260"/>
        <w:ind w:left="540" w:hanging="540"/>
      </w:pPr>
      <w:r>
        <w:rPr>
          <w:b/>
          <w:bCs/>
        </w:rPr>
        <w:t xml:space="preserve">[15]  </w:t>
      </w:r>
      <w:r>
        <w:t xml:space="preserve">J. Fraden, Handbook of Modern Sensors: Physics, Designs, and Applications, 5th ed. Cham, Switzerland: Springer, 2016.</w:t>
      </w:r>
    </w:p>
    <w:p>
      <w:pPr>
        <w:spacing w:after="120" w:line="260"/>
        <w:ind w:left="540" w:hanging="540"/>
      </w:pPr>
      <w:r>
        <w:rPr>
          <w:b/>
          <w:bCs/>
        </w:rPr>
        <w:t xml:space="preserve">[16]  </w:t>
      </w:r>
      <w:r>
        <w:t xml:space="preserve">R. H. Bishop, Ed., The Mechatronics Handbook, 2nd ed. Boca Raton, FL: CRC Press, 2007.</w:t>
      </w:r>
    </w:p>
    <w:p>
      <w:pPr>
        <w:spacing w:after="120" w:line="260"/>
        <w:ind w:left="540" w:hanging="540"/>
      </w:pPr>
      <w:r>
        <w:rPr>
          <w:b/>
          <w:bCs/>
        </w:rPr>
        <w:t xml:space="preserve">[17]  </w:t>
      </w:r>
      <w:r>
        <w:t xml:space="preserve">ams AG, "AS5048 — 14-bit magnetic rotary position sensor datasheet," v2-06, Premstaetten, Austria, 2018.</w:t>
      </w:r>
    </w:p>
    <w:p>
      <w:pPr>
        <w:spacing w:after="120" w:line="260"/>
        <w:ind w:left="540" w:hanging="540"/>
      </w:pPr>
      <w:r>
        <w:rPr>
          <w:b/>
          <w:bCs/>
        </w:rPr>
        <w:t xml:space="preserve">[18]  </w:t>
      </w:r>
      <w:r>
        <w:t xml:space="preserve">M. A. Diftler et al., "Robonaut 2 — The first humanoid robot in space," in Proc. IEEE Int. Conf. Robot. Autom. (ICRA), Shanghai, China, May 2011, pp. 2178–2183.</w:t>
      </w:r>
    </w:p>
    <w:p>
      <w:pPr>
        <w:spacing w:after="120" w:line="260"/>
        <w:ind w:left="540" w:hanging="540"/>
      </w:pPr>
      <w:r>
        <w:rPr>
          <w:b/>
          <w:bCs/>
        </w:rPr>
        <w:t xml:space="preserve">[19]  </w:t>
      </w:r>
      <w:r>
        <w:t xml:space="preserve">K. J. Åström and T. Hägglund, PID Controllers: Theory, Design, and Tuning, 2nd ed. Research Triangle Park, NC: Instrument Society of America, 1995.</w:t>
      </w:r>
    </w:p>
    <w:p>
      <w:pPr>
        <w:spacing w:after="120" w:line="260"/>
        <w:ind w:left="540" w:hanging="540"/>
      </w:pPr>
      <w:r>
        <w:rPr>
          <w:b/>
          <w:bCs/>
        </w:rPr>
        <w:t xml:space="preserve">[20]  </w:t>
      </w:r>
      <w:r>
        <w:t xml:space="preserve">G. F. Franklin, J. D. Powell, and A. Emami-Naeini, Feedback Control of Dynamic Systems, 8th ed. Harlow, U.K.: Pearson, 2019.</w:t>
      </w:r>
    </w:p>
    <w:p>
      <w:pPr>
        <w:spacing w:after="120" w:line="260"/>
        <w:ind w:left="540" w:hanging="540"/>
      </w:pPr>
      <w:r>
        <w:rPr>
          <w:b/>
          <w:bCs/>
        </w:rPr>
        <w:t xml:space="preserve">[21]  </w:t>
      </w:r>
      <w:r>
        <w:t xml:space="preserve">J. G. Ziegler and N. B. Nichols, "Optimum settings for automatic controllers," Trans. ASME, vol. 64, pp. 759–768, Nov. 1942.</w:t>
      </w:r>
    </w:p>
    <w:p>
      <w:pPr>
        <w:spacing w:after="120" w:line="260"/>
        <w:ind w:left="540" w:hanging="540"/>
      </w:pPr>
      <w:r>
        <w:rPr>
          <w:b/>
          <w:bCs/>
        </w:rPr>
        <w:t xml:space="preserve">[22]  </w:t>
      </w:r>
      <w:r>
        <w:t xml:space="preserve">K. J. Åström and T. Hägglund, "Revisiting the Ziegler–Nichols step response method for PID control," J. Process Control, vol. 14, no. 6, pp. 635–650, Sep. 2004.</w:t>
      </w:r>
    </w:p>
    <w:p>
      <w:pPr>
        <w:spacing w:after="120" w:line="260"/>
        <w:ind w:left="540" w:hanging="540"/>
      </w:pPr>
      <w:r>
        <w:rPr>
          <w:b/>
          <w:bCs/>
        </w:rPr>
        <w:t xml:space="preserve">[23]  </w:t>
      </w:r>
      <w:r>
        <w:t xml:space="preserve">M. Samek, Practical UML Statecharts in C/C++: Event-Driven Programming for Embedded Systems, 2nd ed. Burlington, MA: Newnes/Elsevier, 2008.</w:t>
      </w:r>
    </w:p>
    <w:p>
      <w:pPr>
        <w:spacing w:after="120" w:line="260"/>
        <w:ind w:left="540" w:hanging="540"/>
      </w:pPr>
      <w:r>
        <w:rPr>
          <w:b/>
          <w:bCs/>
        </w:rPr>
        <w:t xml:space="preserve">[24]  </w:t>
      </w:r>
      <w:r>
        <w:t xml:space="preserve">D. Harel, "Statecharts: A visual formalism for complex systems," Sci. Comput. Program., vol. 8, no. 3, pp. 231–274, Jun. 1987.</w:t>
      </w:r>
    </w:p>
    <w:p>
      <w:pPr>
        <w:spacing w:after="120" w:line="260"/>
        <w:ind w:left="540" w:hanging="540"/>
      </w:pPr>
      <w:r>
        <w:rPr>
          <w:b/>
          <w:bCs/>
        </w:rPr>
        <w:t xml:space="preserve">[25]  </w:t>
      </w:r>
      <w:r>
        <w:t xml:space="preserve">B. P. Douglass, Design Patterns for Embedded Systems in C: An Embedded Software Engineering Toolkit. Burlington, MA: Newnes/Elsevier, 2010.</w:t>
      </w:r>
    </w:p>
    <w:p>
      <w:pPr>
        <w:spacing w:after="120" w:line="260"/>
        <w:ind w:left="540" w:hanging="540"/>
      </w:pPr>
      <w:r>
        <w:rPr>
          <w:b/>
          <w:bCs/>
        </w:rPr>
        <w:t xml:space="preserve">[26]  </w:t>
      </w:r>
      <w:r>
        <w:t xml:space="preserve">C. L. Liu and J. W. Layland, "Scheduling algorithms for multiprogramming in a hard-real-time environment," J. ACM, vol. 20, no. 1, pp. 46–61, Jan. 1973.</w:t>
      </w:r>
    </w:p>
    <w:p>
      <w:pPr>
        <w:spacing w:after="120" w:line="260"/>
        <w:ind w:left="540" w:hanging="540"/>
      </w:pPr>
      <w:r>
        <w:rPr>
          <w:b/>
          <w:bCs/>
        </w:rPr>
        <w:t xml:space="preserve">[27]  </w:t>
      </w:r>
      <w:r>
        <w:t xml:space="preserve">P. A. Laplante and S. J. Ovaska, Real-Time Systems Design and Analysis: Tools for the Practitioner, 4th ed. Hoboken, NJ: Wiley, 2011.</w:t>
      </w:r>
    </w:p>
    <w:p>
      <w:pPr>
        <w:spacing w:after="120" w:line="260"/>
        <w:ind w:left="540" w:hanging="540"/>
      </w:pPr>
      <w:r>
        <w:rPr>
          <w:b/>
          <w:bCs/>
        </w:rPr>
        <w:t xml:space="preserve">[28]  </w:t>
      </w:r>
      <w:r>
        <w:t xml:space="preserve">R. Barry, Mastering the FreeRTOS Real Time Kernel: A Hands-On Tutorial Guide. Real Time Engineers Ltd., 2016. [Online]. Available: https://www.freertos.org</w:t>
      </w:r>
    </w:p>
    <w:p>
      <w:pPr>
        <w:spacing w:after="120" w:line="260"/>
        <w:ind w:left="540" w:hanging="540"/>
      </w:pPr>
      <w:r>
        <w:rPr>
          <w:b/>
          <w:bCs/>
        </w:rPr>
        <w:t xml:space="preserve">[29]  </w:t>
      </w:r>
      <w:r>
        <w:t xml:space="preserve">P. Stevens, "freertos-avr / ArduinoFreeRTOS port for ATmega," GitHub repository. [Online]. Available: https://github.com/feilipu/Arduino_FreeRTOS_Library</w:t>
      </w:r>
    </w:p>
    <w:p>
      <w:pPr>
        <w:spacing w:after="120" w:line="260"/>
        <w:ind w:left="540" w:hanging="540"/>
      </w:pPr>
      <w:r>
        <w:rPr>
          <w:b/>
          <w:bCs/>
        </w:rPr>
        <w:t xml:space="preserve">[30]  </w:t>
      </w:r>
      <w:r>
        <w:t xml:space="preserve">I. Gibson, D. Rosen, and B. Stucker, Additive Manufacturing Technologies: 3D Printing, Rapid Prototyping, and Direct Digital Manufacturing, 2nd ed. New York, NY: Springer, 2015.</w:t>
      </w:r>
    </w:p>
    <w:p>
      <w:pPr>
        <w:spacing w:after="120" w:line="260"/>
        <w:ind w:left="540" w:hanging="540"/>
      </w:pPr>
      <w:r>
        <w:rPr>
          <w:b/>
          <w:bCs/>
        </w:rPr>
        <w:t xml:space="preserve">[31]  </w:t>
      </w:r>
      <w:r>
        <w:t xml:space="preserve">J. M. Chacón, M. A. Caminero, E. García-Plaza, and P. J. Núñez, "Additive manufacturing of PLA structures using fused deposition modelling: Effect of process parameters on mechanical properties and their optimal selection," Materials &amp; Design, vol. 124, pp. 143–157, Jun. 2017.</w:t>
      </w:r>
    </w:p>
    <w:p>
      <w:pPr>
        <w:spacing w:after="120" w:line="260"/>
        <w:ind w:left="540" w:hanging="540"/>
      </w:pPr>
      <w:r>
        <w:rPr>
          <w:b/>
          <w:bCs/>
        </w:rPr>
        <w:t xml:space="preserve">[32]  </w:t>
      </w:r>
      <w:r>
        <w:t xml:space="preserve">B. M. Tymrak, M. Kreiger, and J. M. Pearce, "Mechanical properties of components fabricated with open-source 3-D printers under realistic environmental conditions," Materials &amp; Design, vol. 58, pp. 242–246, Jun. 2014.</w:t>
      </w:r>
    </w:p>
    <w:p>
      <w:pPr>
        <w:spacing w:after="120" w:line="260"/>
        <w:ind w:left="540" w:hanging="540"/>
      </w:pPr>
      <w:r>
        <w:rPr>
          <w:b/>
          <w:bCs/>
        </w:rPr>
        <w:t xml:space="preserve">[33]  </w:t>
      </w:r>
      <w:r>
        <w:t xml:space="preserve">Robots and Robotic Devices — Safety Requirements for Industrial Robots — Part 1: Robots, ISO Standard 10218-1, 2011.</w:t>
      </w:r>
    </w:p>
    <w:p>
      <w:pPr>
        <w:spacing w:after="120" w:line="260"/>
        <w:ind w:left="540" w:hanging="540"/>
      </w:pPr>
      <w:r>
        <w:rPr>
          <w:b/>
          <w:bCs/>
        </w:rPr>
        <w:t xml:space="preserve">[34]  </w:t>
      </w:r>
      <w:r>
        <w:t xml:space="preserve">Robots and Robotic Devices — Safety Requirements for Industrial Robots — Part 2: Robot Systems and Integration, ISO Standard 10218-2, 2011.</w:t>
      </w:r>
    </w:p>
    <w:p>
      <w:pPr>
        <w:spacing w:after="120" w:line="260"/>
        <w:ind w:left="540" w:hanging="540"/>
      </w:pPr>
      <w:r>
        <w:rPr>
          <w:b/>
          <w:bCs/>
        </w:rPr>
        <w:t xml:space="preserve">[35]  </w:t>
      </w:r>
      <w:r>
        <w:t xml:space="preserve">Robots and Robotic Devices — Collaborative Robots, ISO/TS 15066, 2016.</w:t>
      </w:r>
    </w:p>
    <w:p>
      <w:pPr>
        <w:spacing w:after="120" w:line="260"/>
        <w:ind w:left="540" w:hanging="540"/>
      </w:pPr>
      <w:r>
        <w:rPr>
          <w:b/>
          <w:bCs/>
        </w:rPr>
        <w:t xml:space="preserve">[36]  </w:t>
      </w:r>
      <w:r>
        <w:t xml:space="preserve">Safety of Machinery — Emergency Stop Function — Principles for Design, ISO Standard 13850, 2015.</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EE6003 — Literature Review Working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75B6"/>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333333"/>
      <w:sz w:val="26"/>
      <w:szCs w:val="26"/>
    </w:rPr>
  </w:style>
  <w:style w:type="paragraph" w:styleId="Heading3">
    <w:name w:val="Heading 3"/>
    <w:basedOn w:val="Normal"/>
    <w:next w:val="Normal"/>
    <w:qFormat/>
    <w:pPr>
      <w:spacing w:after="100" w:before="200"/>
      <w:outlineLvl w:val="2"/>
    </w:pPr>
    <w:rPr>
      <w:rFonts w:ascii="Arial" w:cs="Arial" w:eastAsia="Arial" w:hAnsi="Arial"/>
      <w:b/>
      <w:bCs/>
      <w:i/>
      <w:i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2026-04-16T10:17:32.254Z</dcterms:created>
  <dcterms:modified xsi:type="dcterms:W3CDTF">2026-04-16T10:17:32.254Z</dcterms:modified>
</cp:coreProperties>
</file>

<file path=docProps/custom.xml><?xml version="1.0" encoding="utf-8"?>
<Properties xmlns="http://schemas.openxmlformats.org/officeDocument/2006/custom-properties" xmlns:vt="http://schemas.openxmlformats.org/officeDocument/2006/docPropsVTypes"/>
</file>