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Times New Roman" w:hAnsi="Times New Roman"/>
          <w:b/>
          <w:color w:val="646464"/>
          <w:sz w:val="28"/>
        </w:rPr>
        <w:t>A MAJOR PROJECT REPORT ON</w:t>
        <w:br/>
      </w:r>
    </w:p>
    <w:p>
      <w:pPr>
        <w:spacing w:before="120" w:after="320"/>
        <w:jc w:val="center"/>
      </w:pPr>
      <w:r>
        <w:rPr>
          <w:rFonts w:ascii="Times New Roman" w:hAnsi="Times New Roman"/>
          <w:b/>
          <w:color w:val="800000"/>
          <w:sz w:val="36"/>
        </w:rPr>
        <w:t>SOIL NUTRIENT AND ORGANIC CARBON PREDICTION USING GEOSPATIAL AND MULTISPECTRAL SATELLITE DATA</w:t>
      </w:r>
    </w:p>
    <w:p>
      <w:pPr>
        <w:spacing w:before="200" w:after="400"/>
        <w:jc w:val="center"/>
      </w:pPr>
      <w:r>
        <w:rPr>
          <w:rFonts w:ascii="Times New Roman" w:hAnsi="Times New Roman"/>
          <w:b/>
          <w:color w:val="282828"/>
          <w:sz w:val="24"/>
        </w:rPr>
        <w:t>Submitted in partial fulfillment of the requirements for the award of the degree of</w:t>
        <w:br/>
        <w:t>BACHELOR OF TECHNOLOGY</w:t>
        <w:br/>
        <w:t>IN</w:t>
        <w:br/>
        <w:t>COMPUTER SCIENCE AND ENGINEERING</w:t>
        <w:br/>
        <w:t>(ARTIFICIAL INTELLIGENCE AND MACHINE LEARNING)</w:t>
      </w:r>
    </w:p>
    <w:p>
      <w:pPr>
        <w:spacing w:before="320" w:after="120"/>
        <w:jc w:val="center"/>
      </w:pPr>
      <w:r>
        <w:rPr>
          <w:rFonts w:ascii="Times New Roman" w:hAnsi="Times New Roman"/>
          <w:b/>
          <w:color w:val="1B365D"/>
          <w:sz w:val="26"/>
        </w:rPr>
        <w:t>Submitted by</w:t>
        <w:br/>
        <w:t>BATCH NO: B15 - B7</w:t>
        <w:br/>
      </w:r>
    </w:p>
    <w:p>
      <w:pPr>
        <w:spacing w:before="20" w:after="20"/>
        <w:jc w:val="center"/>
      </w:pPr>
      <w:r>
        <w:rPr>
          <w:rFonts w:ascii="Times New Roman" w:hAnsi="Times New Roman"/>
          <w:b/>
          <w:sz w:val="24"/>
        </w:rPr>
        <w:t>CHINTHALAPALLI SOWMYA   (23102A010507)</w:t>
      </w:r>
    </w:p>
    <w:p>
      <w:pPr>
        <w:spacing w:before="20" w:after="20"/>
        <w:jc w:val="center"/>
      </w:pPr>
      <w:r>
        <w:rPr>
          <w:rFonts w:ascii="Times New Roman" w:hAnsi="Times New Roman"/>
          <w:b/>
          <w:sz w:val="24"/>
        </w:rPr>
        <w:t>KOTA VENKATA LAKSHMI SAI VARSHA   (23102A010547)</w:t>
      </w:r>
    </w:p>
    <w:p>
      <w:pPr>
        <w:spacing w:before="20" w:after="20"/>
        <w:jc w:val="center"/>
      </w:pPr>
      <w:r>
        <w:rPr>
          <w:rFonts w:ascii="Times New Roman" w:hAnsi="Times New Roman"/>
          <w:b/>
          <w:sz w:val="24"/>
        </w:rPr>
        <w:t>PAMULA KRUPAVARAM   (23102A010478)</w:t>
      </w:r>
    </w:p>
    <w:p>
      <w:pPr>
        <w:spacing w:before="20" w:after="20"/>
        <w:jc w:val="center"/>
      </w:pPr>
      <w:r>
        <w:rPr>
          <w:rFonts w:ascii="Times New Roman" w:hAnsi="Times New Roman"/>
          <w:b/>
          <w:sz w:val="24"/>
        </w:rPr>
        <w:t>KUNDA PUSHKAR   (23102A010529)</w:t>
      </w:r>
    </w:p>
    <w:p>
      <w:pPr>
        <w:spacing w:before="480" w:after="80"/>
        <w:jc w:val="center"/>
      </w:pPr>
      <w:r>
        <w:rPr>
          <w:rFonts w:ascii="Times New Roman" w:hAnsi="Times New Roman"/>
          <w:b/>
          <w:i/>
          <w:sz w:val="24"/>
        </w:rPr>
        <w:t>Under the Guidance of</w:t>
        <w:br/>
      </w:r>
      <w:r>
        <w:rPr>
          <w:rFonts w:ascii="Times New Roman" w:hAnsi="Times New Roman"/>
          <w:b/>
          <w:color w:val="800000"/>
          <w:sz w:val="26"/>
        </w:rPr>
        <w:t>Dr. V. ANANTHA NATRAJAN</w:t>
        <w:br/>
      </w:r>
      <w:r>
        <w:rPr>
          <w:rFonts w:ascii="Times New Roman" w:hAnsi="Times New Roman"/>
          <w:sz w:val="22"/>
        </w:rPr>
        <w:t>Supervisor, Department of CSE (AI &amp; ML)</w:t>
        <w:br/>
        <w:br/>
      </w:r>
      <w:r>
        <w:rPr>
          <w:rFonts w:ascii="Times New Roman" w:hAnsi="Times New Roman"/>
          <w:b/>
          <w:sz w:val="22"/>
        </w:rPr>
        <w:t xml:space="preserve">Section Incharge: </w:t>
      </w:r>
      <w:r>
        <w:rPr>
          <w:rFonts w:ascii="Times New Roman" w:hAnsi="Times New Roman"/>
          <w:b/>
          <w:color w:val="1B365D"/>
          <w:sz w:val="23"/>
        </w:rPr>
        <w:t>MR. N. BALAKRISHNA</w:t>
        <w:br/>
      </w:r>
      <w:r>
        <w:rPr>
          <w:rFonts w:ascii="Times New Roman" w:hAnsi="Times New Roman"/>
          <w:sz w:val="21"/>
        </w:rPr>
        <w:t>Assistant Professor, Department of CSE (AI &amp; ML)</w:t>
      </w:r>
    </w:p>
    <w:p>
      <w:pPr>
        <w:spacing w:before="600" w:after="0"/>
        <w:jc w:val="center"/>
      </w:pPr>
      <w:r>
        <w:rPr>
          <w:rFonts w:ascii="Times New Roman" w:hAnsi="Times New Roman"/>
          <w:b/>
          <w:sz w:val="24"/>
        </w:rPr>
        <w:t>DEPARTMENT OF ARTIFICIAL INTELLIGENCE AND MACHINE LEARNING</w:t>
        <w:br/>
        <w:t>ACADEMIC YEAR 2026 – 2027</w:t>
      </w:r>
    </w:p>
    <w:p>
      <w:r>
        <w:br w:type="page"/>
      </w:r>
    </w:p>
    <w:p>
      <w:pPr>
        <w:spacing w:before="360" w:after="200" w:line="276" w:lineRule="auto"/>
        <w:jc w:val="left"/>
      </w:pPr>
      <w:r>
        <w:rPr>
          <w:rFonts w:ascii="Times New Roman" w:hAnsi="Times New Roman"/>
          <w:b/>
          <w:color w:val="1B365D"/>
          <w:sz w:val="32"/>
        </w:rPr>
        <w:t>CERTIFICATE OF ORIGINAL WORK</w:t>
      </w:r>
    </w:p>
    <w:p>
      <w:pPr>
        <w:spacing w:line="360" w:lineRule="auto" w:after="120" w:before="0"/>
        <w:jc w:val="both"/>
      </w:pPr>
      <w:r>
        <w:rPr>
          <w:rFonts w:ascii="Times New Roman" w:hAnsi="Times New Roman"/>
          <w:color w:val="222222"/>
          <w:sz w:val="24"/>
        </w:rPr>
        <w:t>This is to certify that the project report entitled "SOIL NUTRIENT AND ORGANIC CARBON PREDICTION USING GEOSPATIAL AND MULTISPECTRAL SATELLITE DATA" is a bona fide record of work carried out by CHINTHALAPALLI SOWMYA (23102A010507), KOTA VENKATA LAKSHMI SAI VARSHA (23102A010547), PAMULA KRUPAVARAM (23102A010478), and KUNDA PUSHKAR (23102A010529), students of the Department of Computer Science and Engineering (Artificial Intelligence and Machine Learning), during the academic year 2026–2027, in partial fulfillment of the requirements for the award of the Degree of Bachelor of Technology.</w:t>
      </w:r>
    </w:p>
    <w:p>
      <w:pPr>
        <w:spacing w:line="360" w:lineRule="auto" w:after="120" w:before="0"/>
        <w:jc w:val="both"/>
      </w:pPr>
      <w:r>
        <w:rPr>
          <w:rFonts w:ascii="Times New Roman" w:hAnsi="Times New Roman"/>
          <w:color w:val="222222"/>
          <w:sz w:val="24"/>
        </w:rPr>
        <w:t>The results embodied in this report have not been submitted to any other University or Institute for the award of any degree or diploma. The research experiments, data ingestion pipelines, cloud geospatial workflows, and machine learning models described herein represent the independent work of the project batch under standard academic supervision.</w:t>
      </w:r>
    </w:p>
    <w:p>
      <w:pPr>
        <w:spacing w:before="1400" w:after="0"/>
      </w:pPr>
      <w:r>
        <w:rPr>
          <w:rFonts w:ascii="Times New Roman" w:hAnsi="Times New Roman"/>
          <w:b/>
          <w:sz w:val="22"/>
        </w:rPr>
        <w:t>Dr. V. ANANTHA NATRAJAN                MR. N. BALAKRISHNA                HEAD OF DEPARTMENT</w:t>
        <w:br/>
        <w:t>Project Supervisor                    Section Incharge                  Dept. of CSE (AI &amp; ML)</w:t>
      </w:r>
    </w:p>
    <w:p>
      <w:r>
        <w:br w:type="page"/>
      </w:r>
    </w:p>
    <w:p>
      <w:pPr>
        <w:spacing w:before="360" w:after="200" w:line="276" w:lineRule="auto"/>
        <w:jc w:val="left"/>
      </w:pPr>
      <w:r>
        <w:rPr>
          <w:rFonts w:ascii="Times New Roman" w:hAnsi="Times New Roman"/>
          <w:b/>
          <w:color w:val="1B365D"/>
          <w:sz w:val="32"/>
        </w:rPr>
        <w:t>DECLARATION</w:t>
      </w:r>
    </w:p>
    <w:p>
      <w:pPr>
        <w:spacing w:line="360" w:lineRule="auto" w:after="120" w:before="0"/>
        <w:jc w:val="both"/>
      </w:pPr>
      <w:r>
        <w:rPr>
          <w:rFonts w:ascii="Times New Roman" w:hAnsi="Times New Roman"/>
          <w:color w:val="222222"/>
          <w:sz w:val="24"/>
        </w:rPr>
        <w:t>We hereby declare that the project work entitled "SOIL NUTRIENT AND ORGANIC CARBON PREDICTION USING GEOSPATIAL AND MULTISPECTRAL SATELLITE DATA" submitted to the Department of Computer Science and Engineering (Artificial Intelligence and Machine Learning) is an authentic record of our own research carried out under the supervision of Dr. V. Anantha Natrajan.</w:t>
      </w:r>
    </w:p>
    <w:p>
      <w:pPr>
        <w:spacing w:line="360" w:lineRule="auto" w:after="120" w:before="0"/>
        <w:jc w:val="both"/>
      </w:pPr>
      <w:r>
        <w:rPr>
          <w:rFonts w:ascii="Times New Roman" w:hAnsi="Times New Roman"/>
          <w:color w:val="222222"/>
          <w:sz w:val="24"/>
        </w:rPr>
        <w:t>We further confirm that this work is original and has not been submitted elsewhere for any academic degree, diploma, or fellowship. All data sources, satellite imagery providers (European Space Agency Copernicus Sentinel-2, NASA SRTM, ECMWF ERA5-Land, ISRIC SoilGrids), and open-source software libraries utilized during the investigation have been duly cited and acknowledged in accordance with scientific ethics.</w:t>
      </w:r>
    </w:p>
    <w:p>
      <w:pPr>
        <w:spacing w:before="800"/>
      </w:pPr>
      <w:r>
        <w:rPr>
          <w:rFonts w:ascii="Times New Roman" w:hAnsi="Times New Roman"/>
          <w:b/>
          <w:sz w:val="22"/>
        </w:rPr>
        <w:t>Place: SPSR Nellore District, A.P.</w:t>
        <w:br/>
        <w:t>Date: 16th September 2026</w:t>
        <w:br/>
        <w:br/>
        <w:br/>
        <w:t>1. CHINTHALAPALLI SOWMYA (23102A010507)       _______________________</w:t>
        <w:br/>
        <w:br/>
        <w:t>2. KOTA VENKATA LAKSHMI SAI VARSHA (23102A010547) _______________________</w:t>
        <w:br/>
        <w:br/>
        <w:t>3. PAMULA KRUPAVARAM (23102A010478)           _______________________</w:t>
        <w:br/>
        <w:br/>
        <w:t>4. KUNDA PUSHKAR (23102A010529)               _______________________</w:t>
      </w:r>
    </w:p>
    <w:p>
      <w:r>
        <w:br w:type="page"/>
      </w:r>
    </w:p>
    <w:p>
      <w:pPr>
        <w:spacing w:before="360" w:after="200" w:line="276" w:lineRule="auto"/>
        <w:jc w:val="left"/>
      </w:pPr>
      <w:r>
        <w:rPr>
          <w:rFonts w:ascii="Times New Roman" w:hAnsi="Times New Roman"/>
          <w:b/>
          <w:color w:val="1B365D"/>
          <w:sz w:val="32"/>
        </w:rPr>
        <w:t>ACKNOWLEDGMENTS</w:t>
      </w:r>
    </w:p>
    <w:p>
      <w:pPr>
        <w:spacing w:line="360" w:lineRule="auto" w:after="120" w:before="0"/>
        <w:jc w:val="both"/>
      </w:pPr>
      <w:r>
        <w:rPr>
          <w:rFonts w:ascii="Times New Roman" w:hAnsi="Times New Roman"/>
          <w:color w:val="222222"/>
          <w:sz w:val="24"/>
        </w:rPr>
        <w:t>We express our deepest sense of gratitude and sincere thanks to our revered Project Supervisor, Dr. V. Anantha Natrajan, Department of CSE (AI &amp; ML), for his invaluable guidance, technical insight, and constant encouragement throughout the formulation and execution of this digital soil mapping project. His rigorous critiques and domain expertise in machine learning and remote sensing data modeling played a pivotal role in shaping our multi-temporal calibration and dual-head ensemble architecture.</w:t>
      </w:r>
    </w:p>
    <w:p>
      <w:pPr>
        <w:spacing w:line="360" w:lineRule="auto" w:after="120" w:before="0"/>
        <w:jc w:val="both"/>
      </w:pPr>
      <w:r>
        <w:rPr>
          <w:rFonts w:ascii="Times New Roman" w:hAnsi="Times New Roman"/>
          <w:color w:val="222222"/>
          <w:sz w:val="24"/>
        </w:rPr>
        <w:t>We are profoundly indebted to Mr. N. Balakrishna, Assistant Professor &amp; Section Incharge, Department of CSE (AI &amp; ML), for his continuous support, academic mentoring, and administrative coordination during all phases of our project review.</w:t>
      </w:r>
    </w:p>
    <w:p>
      <w:pPr>
        <w:spacing w:line="360" w:lineRule="auto" w:after="120" w:before="0"/>
        <w:jc w:val="both"/>
      </w:pPr>
      <w:r>
        <w:rPr>
          <w:rFonts w:ascii="Times New Roman" w:hAnsi="Times New Roman"/>
          <w:color w:val="222222"/>
          <w:sz w:val="24"/>
        </w:rPr>
        <w:t>We extend our sincere thanks to the Head of the Department, CSE (AI &amp; ML), and the respected faculty members for providing state-of-the-art computational laboratories, cloud computing infrastructure, and academic resources that enabled the intensive processing of high-dimensional multispectral satellite datasets.</w:t>
      </w:r>
    </w:p>
    <w:p>
      <w:pPr>
        <w:spacing w:line="360" w:lineRule="auto" w:after="120" w:before="0"/>
        <w:jc w:val="both"/>
      </w:pPr>
      <w:r>
        <w:rPr>
          <w:rFonts w:ascii="Times New Roman" w:hAnsi="Times New Roman"/>
          <w:color w:val="222222"/>
          <w:sz w:val="24"/>
        </w:rPr>
        <w:t>Finally, we express our heartfelt gratitude to our parents, family members, and peer batchmates for their constant moral support, motivation, and belief in our academic endeavors.</w:t>
      </w:r>
    </w:p>
    <w:p>
      <w:r>
        <w:br w:type="page"/>
      </w:r>
    </w:p>
    <w:p>
      <w:pPr>
        <w:spacing w:before="360" w:after="200" w:line="276" w:lineRule="auto"/>
        <w:jc w:val="left"/>
      </w:pPr>
      <w:r>
        <w:rPr>
          <w:rFonts w:ascii="Times New Roman" w:hAnsi="Times New Roman"/>
          <w:b/>
          <w:color w:val="1B365D"/>
          <w:sz w:val="32"/>
        </w:rPr>
        <w:t>ABSTRACT</w:t>
      </w:r>
    </w:p>
    <w:p>
      <w:pPr>
        <w:spacing w:line="360" w:lineRule="auto" w:after="120" w:before="0"/>
        <w:jc w:val="both"/>
      </w:pPr>
      <w:r>
        <w:rPr>
          <w:rFonts w:ascii="Times New Roman" w:hAnsi="Times New Roman"/>
          <w:color w:val="222222"/>
          <w:sz w:val="24"/>
        </w:rPr>
        <w:t>Soil health and nutrient availability are paramount determinants of global food security, agricultural yield efficiency, and sustainable environmental stewardship. Conventional soil testing protocols in India rely heavily on physical field sampling followed by centralized wet-chemistry laboratory analyses. Although chemically reliable, this paradigm is hampered by prohibitive labor costs, extended turnaround times of 3 to 8 weeks, and severe spatial sparsity across smallholder farms. Consequently, millions of farmers apply synthetic fertilizers based on outdated, district-level blanket recommendations, precipitating chronic nitrogen-phosphorus-potassium (NPK) nutrient imbalances, accelerated soil acidification, organic matter depletion, and ground-water contamination.</w:t>
      </w:r>
    </w:p>
    <w:p>
      <w:pPr>
        <w:spacing w:line="360" w:lineRule="auto" w:after="120" w:before="0"/>
        <w:jc w:val="both"/>
      </w:pPr>
      <w:r>
        <w:rPr>
          <w:rFonts w:ascii="Times New Roman" w:hAnsi="Times New Roman"/>
          <w:color w:val="222222"/>
          <w:sz w:val="24"/>
        </w:rPr>
        <w:t>This project presents AgriCare, an end-to-end digital soil mapping and precision agronomic advisory pipeline developed for SPSR Nellore District, Andhra Pradesh. The methodology bridges the critical spatial-temporal gap between sparse laboratory measurements and regional-scale agricultural land management. Ground-truth Soil Health Card (SHC) laboratory reports (N=909 geographically verified locations across 46 mandals) are digitized using an automated EasyOCR bounding-box parser and calibrated against 12 Sentinel-2 multispectral surface reflectance bands (B1–B12), SRTM 30m digital elevation geomorphometry, ERA5-Land hydrometeorological reanalysis, and ISRIC SoilGrids texture fractions ingested via Google Earth Engine (GEE). A rigorous bare-soil temporal composite algorithm (BSI &gt; 0.05, NDVI &lt; 0.25) applied across the pre-sowing window (April–June) ensures pristine soil surface reflectance retrieval.</w:t>
      </w:r>
    </w:p>
    <w:p>
      <w:pPr>
        <w:spacing w:line="360" w:lineRule="auto" w:after="120" w:before="0"/>
        <w:jc w:val="both"/>
      </w:pPr>
      <w:r>
        <w:rPr>
          <w:rFonts w:ascii="Times New Roman" w:hAnsi="Times New Roman"/>
          <w:color w:val="222222"/>
          <w:sz w:val="24"/>
        </w:rPr>
        <w:t>A multi-tier SCORPAN feature engineering framework synthesizes 39 baseline covariates and 8 domain-specific physical interaction features into a 47-dimensional feature matrix. Machine learning modeling is driven by a specialized Dual-Head architecture: continuous nutrient quantities (Available N, P, K in kg/ha, and Organic Carbon %) are predicted via a hybrid VotingRegressor (70% ExtraTrees + 30% GradientBoosting), while dedicated ExtraTreesClassifiers categorize soils into statutory ICAR fertility tiers (Low, Medium, High) with calibrated confidence probabilities. To counter inter-annual monsoon variance and sensor drift across crop seasons, a Few-Shot Seasonal Calibration engine leverages a tiny batch of anchor test points (N=25) to achieve domain adaptation.</w:t>
      </w:r>
    </w:p>
    <w:p>
      <w:pPr>
        <w:spacing w:line="360" w:lineRule="auto" w:after="120" w:before="0"/>
        <w:jc w:val="both"/>
      </w:pPr>
      <w:r>
        <w:rPr>
          <w:rFonts w:ascii="Times New Roman" w:hAnsi="Times New Roman"/>
          <w:color w:val="222222"/>
          <w:sz w:val="24"/>
        </w:rPr>
        <w:t>Extensive 5-fold cross-validation establishes outstanding performance: Nitrogen achieves R² = 0.6081 (r = 0.7816, ICAR class accuracy 96.92%, safe-tier agreement 100.0%); Potassium achieves R² = 0.6896 (r = 0.8420, ICAR class accuracy 79.32%, safe-tier agreement 96.37%); Phosphorus achieves R² = 0.4093 (r = 0.6696, safe-tier agreement 94.50%); and Organic Carbon achieves R² = 0.3757 (r = 0.6131, ICAR class accuracy 87.13%). Predictions feed directly into an automated ANGRAU precision fertilizer engine, generating customized Urea, DAP, and MOP dosages (kg/acre) for local crops. This provides a scalable, zero-marginal-cost precision agriculture solution for smallholder farming communities.</w:t>
      </w:r>
    </w:p>
    <w:p>
      <w:pPr>
        <w:spacing w:line="360" w:lineRule="auto" w:after="120" w:before="0"/>
        <w:jc w:val="both"/>
      </w:pPr>
      <w:r>
        <w:rPr>
          <w:rFonts w:ascii="Times New Roman" w:hAnsi="Times New Roman"/>
          <w:b/>
          <w:color w:val="1E1E1E"/>
          <w:sz w:val="24"/>
        </w:rPr>
        <w:t xml:space="preserve">Keywords: </w:t>
      </w:r>
      <w:r>
        <w:rPr>
          <w:rFonts w:ascii="Times New Roman" w:hAnsi="Times New Roman"/>
          <w:color w:val="222222"/>
          <w:sz w:val="24"/>
        </w:rPr>
        <w:t>Keywords: Digital Soil Mapping, Remote Sensing, Sentinel-2 Multispectral, SCORPAN Framework, Google Earth Engine, Dual-Head Machine Learning, Extra-Trees, Few-Shot Domain Adaptation, Precision Agriculture, ANGRAU Fertilizer Advisory.</w:t>
      </w:r>
    </w:p>
    <w:p>
      <w:r>
        <w:br w:type="page"/>
      </w:r>
    </w:p>
    <w:p>
      <w:pPr>
        <w:spacing w:before="360" w:after="200" w:line="276" w:lineRule="auto"/>
        <w:jc w:val="left"/>
      </w:pPr>
      <w:r>
        <w:rPr>
          <w:rFonts w:ascii="Times New Roman" w:hAnsi="Times New Roman"/>
          <w:b/>
          <w:color w:val="1B365D"/>
          <w:sz w:val="32"/>
        </w:rPr>
        <w:t>TABLE OF CONTENTS</w:t>
      </w:r>
    </w:p>
    <w:p>
      <w:pPr>
        <w:spacing w:before="20" w:after="20" w:line="276" w:lineRule="auto"/>
        <w:jc w:val="left"/>
      </w:pPr>
      <w:r>
        <w:rPr>
          <w:rFonts w:ascii="Times New Roman" w:hAnsi="Times New Roman"/>
          <w:sz w:val="21"/>
        </w:rPr>
        <w:t xml:space="preserve">Certificate of Original Work ....................................................... </w:t>
      </w:r>
      <w:r>
        <w:rPr>
          <w:rFonts w:ascii="Times New Roman" w:hAnsi="Times New Roman"/>
          <w:b/>
          <w:sz w:val="21"/>
        </w:rPr>
        <w:t>ii</w:t>
      </w:r>
    </w:p>
    <w:p>
      <w:pPr>
        <w:spacing w:before="20" w:after="20" w:line="276" w:lineRule="auto"/>
        <w:jc w:val="left"/>
      </w:pPr>
      <w:r>
        <w:rPr>
          <w:rFonts w:ascii="Times New Roman" w:hAnsi="Times New Roman"/>
          <w:sz w:val="21"/>
        </w:rPr>
        <w:t xml:space="preserve">Declaration ....................................................................... </w:t>
      </w:r>
      <w:r>
        <w:rPr>
          <w:rFonts w:ascii="Times New Roman" w:hAnsi="Times New Roman"/>
          <w:b/>
          <w:sz w:val="21"/>
        </w:rPr>
        <w:t>iii</w:t>
      </w:r>
    </w:p>
    <w:p>
      <w:pPr>
        <w:spacing w:before="20" w:after="20" w:line="276" w:lineRule="auto"/>
        <w:jc w:val="left"/>
      </w:pPr>
      <w:r>
        <w:rPr>
          <w:rFonts w:ascii="Times New Roman" w:hAnsi="Times New Roman"/>
          <w:sz w:val="21"/>
        </w:rPr>
        <w:t xml:space="preserve">Acknowledgments .................................................................... </w:t>
      </w:r>
      <w:r>
        <w:rPr>
          <w:rFonts w:ascii="Times New Roman" w:hAnsi="Times New Roman"/>
          <w:b/>
          <w:sz w:val="21"/>
        </w:rPr>
        <w:t>iv</w:t>
      </w:r>
    </w:p>
    <w:p>
      <w:pPr>
        <w:spacing w:before="20" w:after="20" w:line="276" w:lineRule="auto"/>
        <w:jc w:val="left"/>
      </w:pPr>
      <w:r>
        <w:rPr>
          <w:rFonts w:ascii="Times New Roman" w:hAnsi="Times New Roman"/>
          <w:b/>
          <w:sz w:val="21"/>
        </w:rPr>
        <w:t xml:space="preserve">Abstract ............................................................................ </w:t>
      </w:r>
      <w:r>
        <w:rPr>
          <w:rFonts w:ascii="Times New Roman" w:hAnsi="Times New Roman"/>
          <w:b/>
          <w:sz w:val="21"/>
        </w:rPr>
        <w:t>v</w:t>
      </w:r>
    </w:p>
    <w:p>
      <w:pPr>
        <w:spacing w:before="20" w:after="20" w:line="276" w:lineRule="auto"/>
        <w:jc w:val="left"/>
      </w:pPr>
      <w:r>
        <w:rPr>
          <w:rFonts w:ascii="Times New Roman" w:hAnsi="Times New Roman"/>
          <w:b/>
          <w:sz w:val="21"/>
        </w:rPr>
        <w:t xml:space="preserve">List of Figures .................................................................. </w:t>
      </w:r>
      <w:r>
        <w:rPr>
          <w:rFonts w:ascii="Times New Roman" w:hAnsi="Times New Roman"/>
          <w:b/>
          <w:sz w:val="21"/>
        </w:rPr>
        <w:t>viii</w:t>
      </w:r>
    </w:p>
    <w:p>
      <w:pPr>
        <w:spacing w:before="20" w:after="20" w:line="276" w:lineRule="auto"/>
        <w:jc w:val="left"/>
      </w:pPr>
      <w:r>
        <w:rPr>
          <w:rFonts w:ascii="Times New Roman" w:hAnsi="Times New Roman"/>
          <w:b/>
          <w:sz w:val="21"/>
        </w:rPr>
        <w:t xml:space="preserve">List of Tables ...................................................................... </w:t>
      </w:r>
      <w:r>
        <w:rPr>
          <w:rFonts w:ascii="Times New Roman" w:hAnsi="Times New Roman"/>
          <w:b/>
          <w:sz w:val="21"/>
        </w:rPr>
        <w:t>x</w:t>
      </w:r>
    </w:p>
    <w:p>
      <w:pPr>
        <w:spacing w:before="20" w:after="20" w:line="276" w:lineRule="auto"/>
        <w:jc w:val="left"/>
      </w:pPr>
      <w:r>
        <w:rPr>
          <w:rFonts w:ascii="Times New Roman" w:hAnsi="Times New Roman"/>
          <w:b/>
          <w:sz w:val="21"/>
        </w:rPr>
        <w:t xml:space="preserve">CHAPTER 1: INTRODUCTION ............................................................. </w:t>
      </w:r>
      <w:r>
        <w:rPr>
          <w:rFonts w:ascii="Times New Roman" w:hAnsi="Times New Roman"/>
          <w:b/>
          <w:sz w:val="21"/>
        </w:rPr>
        <w:t>1</w:t>
      </w:r>
    </w:p>
    <w:p>
      <w:pPr>
        <w:spacing w:before="20" w:after="20" w:line="276" w:lineRule="auto"/>
        <w:jc w:val="left"/>
      </w:pPr>
      <w:r>
        <w:rPr>
          <w:rFonts w:ascii="Times New Roman" w:hAnsi="Times New Roman"/>
          <w:sz w:val="21"/>
        </w:rPr>
        <w:t xml:space="preserve">    1.1 Background and Statistical Reports .......................................... </w:t>
      </w:r>
      <w:r>
        <w:rPr>
          <w:rFonts w:ascii="Times New Roman" w:hAnsi="Times New Roman"/>
          <w:b/>
          <w:sz w:val="21"/>
        </w:rPr>
        <w:t>1</w:t>
      </w:r>
    </w:p>
    <w:p>
      <w:pPr>
        <w:spacing w:before="20" w:after="20" w:line="276" w:lineRule="auto"/>
        <w:jc w:val="left"/>
      </w:pPr>
      <w:r>
        <w:rPr>
          <w:rFonts w:ascii="Times New Roman" w:hAnsi="Times New Roman"/>
          <w:sz w:val="21"/>
        </w:rPr>
        <w:t xml:space="preserve">    1.2 Current Issues and Operational Challenges ................................... </w:t>
      </w:r>
      <w:r>
        <w:rPr>
          <w:rFonts w:ascii="Times New Roman" w:hAnsi="Times New Roman"/>
          <w:b/>
          <w:sz w:val="21"/>
        </w:rPr>
        <w:t>3</w:t>
      </w:r>
    </w:p>
    <w:p>
      <w:pPr>
        <w:spacing w:before="20" w:after="20" w:line="276" w:lineRule="auto"/>
        <w:jc w:val="left"/>
      </w:pPr>
      <w:r>
        <w:rPr>
          <w:rFonts w:ascii="Times New Roman" w:hAnsi="Times New Roman"/>
          <w:sz w:val="21"/>
        </w:rPr>
        <w:t xml:space="preserve">    1.3 Existing Solutions: National and International Landscape .................... </w:t>
      </w:r>
      <w:r>
        <w:rPr>
          <w:rFonts w:ascii="Times New Roman" w:hAnsi="Times New Roman"/>
          <w:b/>
          <w:sz w:val="21"/>
        </w:rPr>
        <w:t>5</w:t>
      </w:r>
    </w:p>
    <w:p>
      <w:pPr>
        <w:spacing w:before="20" w:after="20" w:line="276" w:lineRule="auto"/>
        <w:jc w:val="left"/>
      </w:pPr>
      <w:r>
        <w:rPr>
          <w:rFonts w:ascii="Times New Roman" w:hAnsi="Times New Roman"/>
          <w:sz w:val="21"/>
        </w:rPr>
        <w:t xml:space="preserve">    1.4 Advantages of the Proposed Solution &amp; Macro Block Diagram ................... </w:t>
      </w:r>
      <w:r>
        <w:rPr>
          <w:rFonts w:ascii="Times New Roman" w:hAnsi="Times New Roman"/>
          <w:b/>
          <w:sz w:val="21"/>
        </w:rPr>
        <w:t>6</w:t>
      </w:r>
    </w:p>
    <w:p>
      <w:pPr>
        <w:spacing w:before="20" w:after="20" w:line="276" w:lineRule="auto"/>
        <w:jc w:val="left"/>
      </w:pPr>
      <w:r>
        <w:rPr>
          <w:rFonts w:ascii="Times New Roman" w:hAnsi="Times New Roman"/>
          <w:sz w:val="21"/>
        </w:rPr>
        <w:t xml:space="preserve">    1.5 Technical Summary of Pipeline Architecture .................................. </w:t>
      </w:r>
      <w:r>
        <w:rPr>
          <w:rFonts w:ascii="Times New Roman" w:hAnsi="Times New Roman"/>
          <w:b/>
          <w:sz w:val="21"/>
        </w:rPr>
        <w:t>7</w:t>
      </w:r>
    </w:p>
    <w:p>
      <w:pPr>
        <w:spacing w:before="20" w:after="20" w:line="276" w:lineRule="auto"/>
        <w:jc w:val="left"/>
      </w:pPr>
      <w:r>
        <w:rPr>
          <w:rFonts w:ascii="Times New Roman" w:hAnsi="Times New Roman"/>
          <w:sz w:val="21"/>
        </w:rPr>
        <w:t xml:space="preserve">    1.6 Formal Problem Statement .................................................... </w:t>
      </w:r>
      <w:r>
        <w:rPr>
          <w:rFonts w:ascii="Times New Roman" w:hAnsi="Times New Roman"/>
          <w:b/>
          <w:sz w:val="21"/>
        </w:rPr>
        <w:t>8</w:t>
      </w:r>
    </w:p>
    <w:p>
      <w:pPr>
        <w:spacing w:before="20" w:after="20" w:line="276" w:lineRule="auto"/>
        <w:jc w:val="left"/>
      </w:pPr>
      <w:r>
        <w:rPr>
          <w:rFonts w:ascii="Times New Roman" w:hAnsi="Times New Roman"/>
          <w:sz w:val="21"/>
        </w:rPr>
        <w:t xml:space="preserve">    1.7 Research Objectives ......................................................... </w:t>
      </w:r>
      <w:r>
        <w:rPr>
          <w:rFonts w:ascii="Times New Roman" w:hAnsi="Times New Roman"/>
          <w:b/>
          <w:sz w:val="21"/>
        </w:rPr>
        <w:t>8</w:t>
      </w:r>
    </w:p>
    <w:p>
      <w:pPr>
        <w:spacing w:before="20" w:after="20" w:line="276" w:lineRule="auto"/>
        <w:jc w:val="left"/>
      </w:pPr>
      <w:r>
        <w:rPr>
          <w:rFonts w:ascii="Times New Roman" w:hAnsi="Times New Roman"/>
          <w:sz w:val="21"/>
        </w:rPr>
        <w:t xml:space="preserve">    1.8 Scope and Operational Boundaries ............................................ </w:t>
      </w:r>
      <w:r>
        <w:rPr>
          <w:rFonts w:ascii="Times New Roman" w:hAnsi="Times New Roman"/>
          <w:b/>
          <w:sz w:val="21"/>
        </w:rPr>
        <w:t>9</w:t>
      </w:r>
    </w:p>
    <w:p>
      <w:pPr>
        <w:spacing w:before="20" w:after="20" w:line="276" w:lineRule="auto"/>
        <w:jc w:val="left"/>
      </w:pPr>
      <w:r>
        <w:rPr>
          <w:rFonts w:ascii="Times New Roman" w:hAnsi="Times New Roman"/>
          <w:sz w:val="21"/>
        </w:rPr>
        <w:t xml:space="preserve">    1.9 Primary Research Contributions .............................................. </w:t>
      </w:r>
      <w:r>
        <w:rPr>
          <w:rFonts w:ascii="Times New Roman" w:hAnsi="Times New Roman"/>
          <w:b/>
          <w:sz w:val="21"/>
        </w:rPr>
        <w:t>9</w:t>
      </w:r>
    </w:p>
    <w:p>
      <w:pPr>
        <w:spacing w:before="20" w:after="20" w:line="276" w:lineRule="auto"/>
        <w:jc w:val="left"/>
      </w:pPr>
      <w:r>
        <w:rPr>
          <w:rFonts w:ascii="Times New Roman" w:hAnsi="Times New Roman"/>
          <w:sz w:val="21"/>
        </w:rPr>
        <w:t xml:space="preserve">    1.10 Section Summary ........................................................... </w:t>
      </w:r>
      <w:r>
        <w:rPr>
          <w:rFonts w:ascii="Times New Roman" w:hAnsi="Times New Roman"/>
          <w:b/>
          <w:sz w:val="21"/>
        </w:rPr>
        <w:t>10</w:t>
      </w:r>
    </w:p>
    <w:p>
      <w:pPr>
        <w:spacing w:before="20" w:after="20" w:line="276" w:lineRule="auto"/>
        <w:jc w:val="left"/>
      </w:pPr>
      <w:r>
        <w:rPr>
          <w:rFonts w:ascii="Times New Roman" w:hAnsi="Times New Roman"/>
          <w:b/>
          <w:sz w:val="21"/>
        </w:rPr>
        <w:t xml:space="preserve">CHAPTER 2: LITERATURE SURVEY ....................................................... </w:t>
      </w:r>
      <w:r>
        <w:rPr>
          <w:rFonts w:ascii="Times New Roman" w:hAnsi="Times New Roman"/>
          <w:b/>
          <w:sz w:val="21"/>
        </w:rPr>
        <w:t>11</w:t>
      </w:r>
    </w:p>
    <w:p>
      <w:pPr>
        <w:spacing w:before="20" w:after="20" w:line="276" w:lineRule="auto"/>
        <w:jc w:val="left"/>
      </w:pPr>
      <w:r>
        <w:rPr>
          <w:rFonts w:ascii="Times New Roman" w:hAnsi="Times New Roman"/>
          <w:sz w:val="21"/>
        </w:rPr>
        <w:t xml:space="preserve">    2.1 Evolution of Digital Soil Mapping and Remote Sensing ....................... </w:t>
      </w:r>
      <w:r>
        <w:rPr>
          <w:rFonts w:ascii="Times New Roman" w:hAnsi="Times New Roman"/>
          <w:b/>
          <w:sz w:val="21"/>
        </w:rPr>
        <w:t>11</w:t>
      </w:r>
    </w:p>
    <w:p>
      <w:pPr>
        <w:spacing w:before="20" w:after="20" w:line="276" w:lineRule="auto"/>
        <w:jc w:val="left"/>
      </w:pPr>
      <w:r>
        <w:rPr>
          <w:rFonts w:ascii="Times New Roman" w:hAnsi="Times New Roman"/>
          <w:sz w:val="21"/>
        </w:rPr>
        <w:t xml:space="preserve">    2.2 Comprehensive Review of 15 Peer-Reviewed Journals .......................... </w:t>
      </w:r>
      <w:r>
        <w:rPr>
          <w:rFonts w:ascii="Times New Roman" w:hAnsi="Times New Roman"/>
          <w:b/>
          <w:sz w:val="21"/>
        </w:rPr>
        <w:t>12</w:t>
      </w:r>
    </w:p>
    <w:p>
      <w:pPr>
        <w:spacing w:before="20" w:after="20" w:line="276" w:lineRule="auto"/>
        <w:jc w:val="left"/>
      </w:pPr>
      <w:r>
        <w:rPr>
          <w:rFonts w:ascii="Times New Roman" w:hAnsi="Times New Roman"/>
          <w:sz w:val="21"/>
        </w:rPr>
        <w:t xml:space="preserve">    2.3 Critical Review of 5 International Conference Papers ....................... </w:t>
      </w:r>
      <w:r>
        <w:rPr>
          <w:rFonts w:ascii="Times New Roman" w:hAnsi="Times New Roman"/>
          <w:b/>
          <w:sz w:val="21"/>
        </w:rPr>
        <w:t>15</w:t>
      </w:r>
    </w:p>
    <w:p>
      <w:pPr>
        <w:spacing w:before="20" w:after="20" w:line="276" w:lineRule="auto"/>
        <w:jc w:val="left"/>
      </w:pPr>
      <w:r>
        <w:rPr>
          <w:rFonts w:ascii="Times New Roman" w:hAnsi="Times New Roman"/>
          <w:sz w:val="21"/>
        </w:rPr>
        <w:t xml:space="preserve">    2.4 Analysis of 10 Papers Closely Related to Proposed Approach ................. </w:t>
      </w:r>
      <w:r>
        <w:rPr>
          <w:rFonts w:ascii="Times New Roman" w:hAnsi="Times New Roman"/>
          <w:b/>
          <w:sz w:val="21"/>
        </w:rPr>
        <w:t>16</w:t>
      </w:r>
    </w:p>
    <w:p>
      <w:pPr>
        <w:spacing w:before="20" w:after="20" w:line="276" w:lineRule="auto"/>
        <w:jc w:val="left"/>
      </w:pPr>
      <w:r>
        <w:rPr>
          <w:rFonts w:ascii="Times New Roman" w:hAnsi="Times New Roman"/>
          <w:sz w:val="21"/>
        </w:rPr>
        <w:t xml:space="preserve">    2.5 Critical Analysis of 20 Google Scholar Research Articles ................... </w:t>
      </w:r>
      <w:r>
        <w:rPr>
          <w:rFonts w:ascii="Times New Roman" w:hAnsi="Times New Roman"/>
          <w:b/>
          <w:sz w:val="21"/>
        </w:rPr>
        <w:t>17</w:t>
      </w:r>
    </w:p>
    <w:p>
      <w:pPr>
        <w:spacing w:before="20" w:after="20" w:line="276" w:lineRule="auto"/>
        <w:jc w:val="left"/>
      </w:pPr>
      <w:r>
        <w:rPr>
          <w:rFonts w:ascii="Times New Roman" w:hAnsi="Times New Roman"/>
          <w:sz w:val="21"/>
        </w:rPr>
        <w:t xml:space="preserve">    2.6 Comparative Matrix Table of Prior Art ...................................... </w:t>
      </w:r>
      <w:r>
        <w:rPr>
          <w:rFonts w:ascii="Times New Roman" w:hAnsi="Times New Roman"/>
          <w:b/>
          <w:sz w:val="21"/>
        </w:rPr>
        <w:t>19</w:t>
      </w:r>
    </w:p>
    <w:p>
      <w:pPr>
        <w:spacing w:before="20" w:after="20" w:line="276" w:lineRule="auto"/>
        <w:jc w:val="left"/>
      </w:pPr>
      <w:r>
        <w:rPr>
          <w:rFonts w:ascii="Times New Roman" w:hAnsi="Times New Roman"/>
          <w:sz w:val="21"/>
        </w:rPr>
        <w:t xml:space="preserve">    2.7 Research Gaps and Scientific Opportunities ................................. </w:t>
      </w:r>
      <w:r>
        <w:rPr>
          <w:rFonts w:ascii="Times New Roman" w:hAnsi="Times New Roman"/>
          <w:b/>
          <w:sz w:val="21"/>
        </w:rPr>
        <w:t>20</w:t>
      </w:r>
    </w:p>
    <w:p>
      <w:pPr>
        <w:spacing w:before="20" w:after="20" w:line="276" w:lineRule="auto"/>
        <w:jc w:val="left"/>
      </w:pPr>
      <w:r>
        <w:rPr>
          <w:rFonts w:ascii="Times New Roman" w:hAnsi="Times New Roman"/>
          <w:b/>
          <w:sz w:val="21"/>
        </w:rPr>
        <w:t xml:space="preserve">CHAPTER 3: OVERVIEW OF PROPOSED METHODOLOGY ........................................ </w:t>
      </w:r>
      <w:r>
        <w:rPr>
          <w:rFonts w:ascii="Times New Roman" w:hAnsi="Times New Roman"/>
          <w:b/>
          <w:sz w:val="21"/>
        </w:rPr>
        <w:t>21</w:t>
      </w:r>
    </w:p>
    <w:p>
      <w:pPr>
        <w:spacing w:before="20" w:after="20" w:line="276" w:lineRule="auto"/>
        <w:jc w:val="left"/>
      </w:pPr>
      <w:r>
        <w:rPr>
          <w:rFonts w:ascii="Times New Roman" w:hAnsi="Times New Roman"/>
          <w:sz w:val="21"/>
        </w:rPr>
        <w:t xml:space="preserve">    3.1 Detailed Explanation of System Architecture Schematic ...................... </w:t>
      </w:r>
      <w:r>
        <w:rPr>
          <w:rFonts w:ascii="Times New Roman" w:hAnsi="Times New Roman"/>
          <w:b/>
          <w:sz w:val="21"/>
        </w:rPr>
        <w:t>21</w:t>
      </w:r>
    </w:p>
    <w:p>
      <w:pPr>
        <w:spacing w:before="20" w:after="20" w:line="276" w:lineRule="auto"/>
        <w:jc w:val="left"/>
      </w:pPr>
      <w:r>
        <w:rPr>
          <w:rFonts w:ascii="Times New Roman" w:hAnsi="Times New Roman"/>
          <w:sz w:val="21"/>
        </w:rPr>
        <w:t xml:space="preserve">    3.2 Modular Breakdown of the Technical Pipeline ................................ </w:t>
      </w:r>
      <w:r>
        <w:rPr>
          <w:rFonts w:ascii="Times New Roman" w:hAnsi="Times New Roman"/>
          <w:b/>
          <w:sz w:val="21"/>
        </w:rPr>
        <w:t>22</w:t>
      </w:r>
    </w:p>
    <w:p>
      <w:pPr>
        <w:spacing w:before="20" w:after="20" w:line="276" w:lineRule="auto"/>
        <w:jc w:val="left"/>
      </w:pPr>
      <w:r>
        <w:rPr>
          <w:rFonts w:ascii="Times New Roman" w:hAnsi="Times New Roman"/>
          <w:sz w:val="21"/>
        </w:rPr>
        <w:t xml:space="preserve">        3.2.1 Data Digitization &amp; Computer Vision Pipeline ......................... </w:t>
      </w:r>
      <w:r>
        <w:rPr>
          <w:rFonts w:ascii="Times New Roman" w:hAnsi="Times New Roman"/>
          <w:b/>
          <w:sz w:val="21"/>
        </w:rPr>
        <w:t>22</w:t>
      </w:r>
    </w:p>
    <w:p>
      <w:pPr>
        <w:spacing w:before="20" w:after="20" w:line="276" w:lineRule="auto"/>
        <w:jc w:val="left"/>
      </w:pPr>
      <w:r>
        <w:rPr>
          <w:rFonts w:ascii="Times New Roman" w:hAnsi="Times New Roman"/>
          <w:sz w:val="21"/>
        </w:rPr>
        <w:t xml:space="preserve">        3.2.2 Cloud Geospatial Covariate Extraction (GEE) .......................... </w:t>
      </w:r>
      <w:r>
        <w:rPr>
          <w:rFonts w:ascii="Times New Roman" w:hAnsi="Times New Roman"/>
          <w:b/>
          <w:sz w:val="21"/>
        </w:rPr>
        <w:t>23</w:t>
      </w:r>
    </w:p>
    <w:p>
      <w:pPr>
        <w:spacing w:before="20" w:after="20" w:line="276" w:lineRule="auto"/>
        <w:jc w:val="left"/>
      </w:pPr>
      <w:r>
        <w:rPr>
          <w:rFonts w:ascii="Times New Roman" w:hAnsi="Times New Roman"/>
          <w:sz w:val="21"/>
        </w:rPr>
        <w:t xml:space="preserve">        3.2.3 SCORPAN Feature Engineering &amp; Mathematical Models .................... </w:t>
      </w:r>
      <w:r>
        <w:rPr>
          <w:rFonts w:ascii="Times New Roman" w:hAnsi="Times New Roman"/>
          <w:b/>
          <w:sz w:val="21"/>
        </w:rPr>
        <w:t>25</w:t>
      </w:r>
    </w:p>
    <w:p>
      <w:pPr>
        <w:spacing w:before="20" w:after="20" w:line="276" w:lineRule="auto"/>
        <w:jc w:val="left"/>
      </w:pPr>
      <w:r>
        <w:rPr>
          <w:rFonts w:ascii="Times New Roman" w:hAnsi="Times New Roman"/>
          <w:sz w:val="21"/>
        </w:rPr>
        <w:t xml:space="preserve">        3.2.4 Dual-Head Machine Learning Architecture .............................. </w:t>
      </w:r>
      <w:r>
        <w:rPr>
          <w:rFonts w:ascii="Times New Roman" w:hAnsi="Times New Roman"/>
          <w:b/>
          <w:sz w:val="21"/>
        </w:rPr>
        <w:t>27</w:t>
      </w:r>
    </w:p>
    <w:p>
      <w:pPr>
        <w:spacing w:before="20" w:after="20" w:line="276" w:lineRule="auto"/>
        <w:jc w:val="left"/>
      </w:pPr>
      <w:r>
        <w:rPr>
          <w:rFonts w:ascii="Times New Roman" w:hAnsi="Times New Roman"/>
          <w:sz w:val="21"/>
        </w:rPr>
        <w:t xml:space="preserve">        3.2.5 Few-Shot Seasonal Calibration Engine ................................. </w:t>
      </w:r>
      <w:r>
        <w:rPr>
          <w:rFonts w:ascii="Times New Roman" w:hAnsi="Times New Roman"/>
          <w:b/>
          <w:sz w:val="21"/>
        </w:rPr>
        <w:t>28</w:t>
      </w:r>
    </w:p>
    <w:p>
      <w:pPr>
        <w:spacing w:before="20" w:after="20" w:line="276" w:lineRule="auto"/>
        <w:jc w:val="left"/>
      </w:pPr>
      <w:r>
        <w:rPr>
          <w:rFonts w:ascii="Times New Roman" w:hAnsi="Times New Roman"/>
          <w:sz w:val="21"/>
        </w:rPr>
        <w:t xml:space="preserve">        3.2.6 ANGRAU Precision Fertilizer Advisory Engine .......................... </w:t>
      </w:r>
      <w:r>
        <w:rPr>
          <w:rFonts w:ascii="Times New Roman" w:hAnsi="Times New Roman"/>
          <w:b/>
          <w:sz w:val="21"/>
        </w:rPr>
        <w:t>29</w:t>
      </w:r>
    </w:p>
    <w:p>
      <w:pPr>
        <w:spacing w:before="20" w:after="20" w:line="276" w:lineRule="auto"/>
        <w:jc w:val="left"/>
      </w:pPr>
      <w:r>
        <w:rPr>
          <w:rFonts w:ascii="Times New Roman" w:hAnsi="Times New Roman"/>
          <w:sz w:val="21"/>
        </w:rPr>
        <w:t xml:space="preserve">    3.3 Flowcharts &amp; Process Execution Logic ....................................... </w:t>
      </w:r>
      <w:r>
        <w:rPr>
          <w:rFonts w:ascii="Times New Roman" w:hAnsi="Times New Roman"/>
          <w:b/>
          <w:sz w:val="21"/>
        </w:rPr>
        <w:t>30</w:t>
      </w:r>
    </w:p>
    <w:p>
      <w:pPr>
        <w:spacing w:before="20" w:after="20" w:line="276" w:lineRule="auto"/>
        <w:jc w:val="left"/>
      </w:pPr>
      <w:r>
        <w:rPr>
          <w:rFonts w:ascii="Times New Roman" w:hAnsi="Times New Roman"/>
          <w:sz w:val="21"/>
        </w:rPr>
        <w:t xml:space="preserve">    3.4 Section Summary ............................................................ </w:t>
      </w:r>
      <w:r>
        <w:rPr>
          <w:rFonts w:ascii="Times New Roman" w:hAnsi="Times New Roman"/>
          <w:b/>
          <w:sz w:val="21"/>
        </w:rPr>
        <w:t>31</w:t>
      </w:r>
    </w:p>
    <w:p>
      <w:pPr>
        <w:spacing w:before="20" w:after="20" w:line="276" w:lineRule="auto"/>
        <w:jc w:val="left"/>
      </w:pPr>
      <w:r>
        <w:rPr>
          <w:rFonts w:ascii="Times New Roman" w:hAnsi="Times New Roman"/>
          <w:b/>
          <w:sz w:val="21"/>
        </w:rPr>
        <w:t xml:space="preserve">CHAPTER 4: EXPERIMENTAL SETUP ...................................................... </w:t>
      </w:r>
      <w:r>
        <w:rPr>
          <w:rFonts w:ascii="Times New Roman" w:hAnsi="Times New Roman"/>
          <w:b/>
          <w:sz w:val="21"/>
        </w:rPr>
        <w:t>32</w:t>
      </w:r>
    </w:p>
    <w:p>
      <w:pPr>
        <w:spacing w:before="20" w:after="20" w:line="276" w:lineRule="auto"/>
        <w:jc w:val="left"/>
      </w:pPr>
      <w:r>
        <w:rPr>
          <w:rFonts w:ascii="Times New Roman" w:hAnsi="Times New Roman"/>
          <w:sz w:val="21"/>
        </w:rPr>
        <w:t xml:space="preserve">    4.1 Hardware Computing Infrastructure &amp; Edge Devices ........................... </w:t>
      </w:r>
      <w:r>
        <w:rPr>
          <w:rFonts w:ascii="Times New Roman" w:hAnsi="Times New Roman"/>
          <w:b/>
          <w:sz w:val="21"/>
        </w:rPr>
        <w:t>32</w:t>
      </w:r>
    </w:p>
    <w:p>
      <w:pPr>
        <w:spacing w:before="20" w:after="20" w:line="276" w:lineRule="auto"/>
        <w:jc w:val="left"/>
      </w:pPr>
      <w:r>
        <w:rPr>
          <w:rFonts w:ascii="Times New Roman" w:hAnsi="Times New Roman"/>
          <w:sz w:val="21"/>
        </w:rPr>
        <w:t xml:space="preserve">    4.2 Software Stack, Frameworks, and Cloud Environments ......................... </w:t>
      </w:r>
      <w:r>
        <w:rPr>
          <w:rFonts w:ascii="Times New Roman" w:hAnsi="Times New Roman"/>
          <w:b/>
          <w:sz w:val="21"/>
        </w:rPr>
        <w:t>33</w:t>
      </w:r>
    </w:p>
    <w:p>
      <w:pPr>
        <w:spacing w:before="20" w:after="20" w:line="276" w:lineRule="auto"/>
        <w:jc w:val="left"/>
      </w:pPr>
      <w:r>
        <w:rPr>
          <w:rFonts w:ascii="Times New Roman" w:hAnsi="Times New Roman"/>
          <w:sz w:val="21"/>
        </w:rPr>
        <w:t xml:space="preserve">    4.3 Dataset Description, Distribution, and Preprocessing ....................... </w:t>
      </w:r>
      <w:r>
        <w:rPr>
          <w:rFonts w:ascii="Times New Roman" w:hAnsi="Times New Roman"/>
          <w:b/>
          <w:sz w:val="21"/>
        </w:rPr>
        <w:t>34</w:t>
      </w:r>
    </w:p>
    <w:p>
      <w:pPr>
        <w:spacing w:before="20" w:after="20" w:line="276" w:lineRule="auto"/>
        <w:jc w:val="left"/>
      </w:pPr>
      <w:r>
        <w:rPr>
          <w:rFonts w:ascii="Times New Roman" w:hAnsi="Times New Roman"/>
          <w:sz w:val="21"/>
        </w:rPr>
        <w:t xml:space="preserve">    4.4 Hyperparameters &amp; Baseline Model Configurations ............................ </w:t>
      </w:r>
      <w:r>
        <w:rPr>
          <w:rFonts w:ascii="Times New Roman" w:hAnsi="Times New Roman"/>
          <w:b/>
          <w:sz w:val="21"/>
        </w:rPr>
        <w:t>35</w:t>
      </w:r>
    </w:p>
    <w:p>
      <w:pPr>
        <w:spacing w:before="20" w:after="20" w:line="276" w:lineRule="auto"/>
        <w:jc w:val="left"/>
      </w:pPr>
      <w:r>
        <w:rPr>
          <w:rFonts w:ascii="Times New Roman" w:hAnsi="Times New Roman"/>
          <w:sz w:val="21"/>
        </w:rPr>
        <w:t xml:space="preserve">    4.5 Section Summary ............................................................ </w:t>
      </w:r>
      <w:r>
        <w:rPr>
          <w:rFonts w:ascii="Times New Roman" w:hAnsi="Times New Roman"/>
          <w:b/>
          <w:sz w:val="21"/>
        </w:rPr>
        <w:t>36</w:t>
      </w:r>
    </w:p>
    <w:p>
      <w:pPr>
        <w:spacing w:before="20" w:after="20" w:line="276" w:lineRule="auto"/>
        <w:jc w:val="left"/>
      </w:pPr>
      <w:r>
        <w:rPr>
          <w:rFonts w:ascii="Times New Roman" w:hAnsi="Times New Roman"/>
          <w:b/>
          <w:sz w:val="21"/>
        </w:rPr>
        <w:t xml:space="preserve">CHAPTER 5: RESULTS AND DISCUSSION .................................................. </w:t>
      </w:r>
      <w:r>
        <w:rPr>
          <w:rFonts w:ascii="Times New Roman" w:hAnsi="Times New Roman"/>
          <w:b/>
          <w:sz w:val="21"/>
        </w:rPr>
        <w:t>37</w:t>
      </w:r>
    </w:p>
    <w:p>
      <w:pPr>
        <w:spacing w:before="20" w:after="20" w:line="276" w:lineRule="auto"/>
        <w:jc w:val="left"/>
      </w:pPr>
      <w:r>
        <w:rPr>
          <w:rFonts w:ascii="Times New Roman" w:hAnsi="Times New Roman"/>
          <w:sz w:val="21"/>
        </w:rPr>
        <w:t xml:space="preserve">    5.1 Evaluation Metrics and Theoretical Formulations ............................ </w:t>
      </w:r>
      <w:r>
        <w:rPr>
          <w:rFonts w:ascii="Times New Roman" w:hAnsi="Times New Roman"/>
          <w:b/>
          <w:sz w:val="21"/>
        </w:rPr>
        <w:t>37</w:t>
      </w:r>
    </w:p>
    <w:p>
      <w:pPr>
        <w:spacing w:before="20" w:after="20" w:line="276" w:lineRule="auto"/>
        <w:jc w:val="left"/>
      </w:pPr>
      <w:r>
        <w:rPr>
          <w:rFonts w:ascii="Times New Roman" w:hAnsi="Times New Roman"/>
          <w:sz w:val="21"/>
        </w:rPr>
        <w:t xml:space="preserve">    5.2 5-Fold Cross-Validation Performance on Ground-Truth Data ................... </w:t>
      </w:r>
      <w:r>
        <w:rPr>
          <w:rFonts w:ascii="Times New Roman" w:hAnsi="Times New Roman"/>
          <w:b/>
          <w:sz w:val="21"/>
        </w:rPr>
        <w:t>38</w:t>
      </w:r>
    </w:p>
    <w:p>
      <w:pPr>
        <w:spacing w:before="20" w:after="20" w:line="276" w:lineRule="auto"/>
        <w:jc w:val="left"/>
      </w:pPr>
      <w:r>
        <w:rPr>
          <w:rFonts w:ascii="Times New Roman" w:hAnsi="Times New Roman"/>
          <w:sz w:val="21"/>
        </w:rPr>
        <w:t xml:space="preserve">    5.3 Comparative Benchmarks Against Existing Machine Learning Baselines ......... </w:t>
      </w:r>
      <w:r>
        <w:rPr>
          <w:rFonts w:ascii="Times New Roman" w:hAnsi="Times New Roman"/>
          <w:b/>
          <w:sz w:val="21"/>
        </w:rPr>
        <w:t>40</w:t>
      </w:r>
    </w:p>
    <w:p>
      <w:pPr>
        <w:spacing w:before="20" w:after="20" w:line="276" w:lineRule="auto"/>
        <w:jc w:val="left"/>
      </w:pPr>
      <w:r>
        <w:rPr>
          <w:rFonts w:ascii="Times New Roman" w:hAnsi="Times New Roman"/>
          <w:sz w:val="21"/>
        </w:rPr>
        <w:t xml:space="preserve">    5.4 Feature Ablation and Dimensionality Reduction Studies ...................... </w:t>
      </w:r>
      <w:r>
        <w:rPr>
          <w:rFonts w:ascii="Times New Roman" w:hAnsi="Times New Roman"/>
          <w:b/>
          <w:sz w:val="21"/>
        </w:rPr>
        <w:t>41</w:t>
      </w:r>
    </w:p>
    <w:p>
      <w:pPr>
        <w:spacing w:before="20" w:after="20" w:line="276" w:lineRule="auto"/>
        <w:jc w:val="left"/>
      </w:pPr>
      <w:r>
        <w:rPr>
          <w:rFonts w:ascii="Times New Roman" w:hAnsi="Times New Roman"/>
          <w:sz w:val="21"/>
        </w:rPr>
        <w:t xml:space="preserve">    5.5 Multi-Temporal Cross-Cycle Generalization &amp; Domain Adaptation .............. </w:t>
      </w:r>
      <w:r>
        <w:rPr>
          <w:rFonts w:ascii="Times New Roman" w:hAnsi="Times New Roman"/>
          <w:b/>
          <w:sz w:val="21"/>
        </w:rPr>
        <w:t>43</w:t>
      </w:r>
    </w:p>
    <w:p>
      <w:pPr>
        <w:spacing w:before="20" w:after="20" w:line="276" w:lineRule="auto"/>
        <w:jc w:val="left"/>
      </w:pPr>
      <w:r>
        <w:rPr>
          <w:rFonts w:ascii="Times New Roman" w:hAnsi="Times New Roman"/>
          <w:sz w:val="21"/>
        </w:rPr>
        <w:t xml:space="preserve">    5.6 Feature Importance and SHAP Model Interpretability ......................... </w:t>
      </w:r>
      <w:r>
        <w:rPr>
          <w:rFonts w:ascii="Times New Roman" w:hAnsi="Times New Roman"/>
          <w:b/>
          <w:sz w:val="21"/>
        </w:rPr>
        <w:t>44</w:t>
      </w:r>
    </w:p>
    <w:p>
      <w:pPr>
        <w:spacing w:before="20" w:after="20" w:line="276" w:lineRule="auto"/>
        <w:jc w:val="left"/>
      </w:pPr>
      <w:r>
        <w:rPr>
          <w:rFonts w:ascii="Times New Roman" w:hAnsi="Times New Roman"/>
          <w:sz w:val="21"/>
        </w:rPr>
        <w:t xml:space="preserve">    5.7 Agronomic Implications and Practical Farmer Trade-Offs ..................... </w:t>
      </w:r>
      <w:r>
        <w:rPr>
          <w:rFonts w:ascii="Times New Roman" w:hAnsi="Times New Roman"/>
          <w:b/>
          <w:sz w:val="21"/>
        </w:rPr>
        <w:t>46</w:t>
      </w:r>
    </w:p>
    <w:p>
      <w:pPr>
        <w:spacing w:before="20" w:after="20" w:line="276" w:lineRule="auto"/>
        <w:jc w:val="left"/>
      </w:pPr>
      <w:r>
        <w:rPr>
          <w:rFonts w:ascii="Times New Roman" w:hAnsi="Times New Roman"/>
          <w:sz w:val="21"/>
        </w:rPr>
        <w:t xml:space="preserve">    5.8 Section Summary ............................................................ </w:t>
      </w:r>
      <w:r>
        <w:rPr>
          <w:rFonts w:ascii="Times New Roman" w:hAnsi="Times New Roman"/>
          <w:b/>
          <w:sz w:val="21"/>
        </w:rPr>
        <w:t>47</w:t>
      </w:r>
    </w:p>
    <w:p>
      <w:pPr>
        <w:spacing w:before="20" w:after="20" w:line="276" w:lineRule="auto"/>
        <w:jc w:val="left"/>
      </w:pPr>
      <w:r>
        <w:rPr>
          <w:rFonts w:ascii="Times New Roman" w:hAnsi="Times New Roman"/>
          <w:b/>
          <w:sz w:val="21"/>
        </w:rPr>
        <w:t xml:space="preserve">CHAPTER 6: CONCLUSION .............................................................. </w:t>
      </w:r>
      <w:r>
        <w:rPr>
          <w:rFonts w:ascii="Times New Roman" w:hAnsi="Times New Roman"/>
          <w:b/>
          <w:sz w:val="21"/>
        </w:rPr>
        <w:t>48</w:t>
      </w:r>
    </w:p>
    <w:p>
      <w:pPr>
        <w:spacing w:before="20" w:after="20" w:line="276" w:lineRule="auto"/>
        <w:jc w:val="left"/>
      </w:pPr>
      <w:r>
        <w:rPr>
          <w:rFonts w:ascii="Times New Roman" w:hAnsi="Times New Roman"/>
          <w:sz w:val="21"/>
        </w:rPr>
        <w:t xml:space="preserve">    6.1 Summary of Core Findings ................................................... </w:t>
      </w:r>
      <w:r>
        <w:rPr>
          <w:rFonts w:ascii="Times New Roman" w:hAnsi="Times New Roman"/>
          <w:b/>
          <w:sz w:val="21"/>
        </w:rPr>
        <w:t>48</w:t>
      </w:r>
    </w:p>
    <w:p>
      <w:pPr>
        <w:spacing w:before="20" w:after="20" w:line="276" w:lineRule="auto"/>
        <w:jc w:val="left"/>
      </w:pPr>
      <w:r>
        <w:rPr>
          <w:rFonts w:ascii="Times New Roman" w:hAnsi="Times New Roman"/>
          <w:sz w:val="21"/>
        </w:rPr>
        <w:t xml:space="preserve">    6.2 Practical Relevance and Real-World Impact .................................. </w:t>
      </w:r>
      <w:r>
        <w:rPr>
          <w:rFonts w:ascii="Times New Roman" w:hAnsi="Times New Roman"/>
          <w:b/>
          <w:sz w:val="21"/>
        </w:rPr>
        <w:t>48</w:t>
      </w:r>
    </w:p>
    <w:p>
      <w:pPr>
        <w:spacing w:before="20" w:after="20" w:line="276" w:lineRule="auto"/>
        <w:jc w:val="left"/>
      </w:pPr>
      <w:r>
        <w:rPr>
          <w:rFonts w:ascii="Times New Roman" w:hAnsi="Times New Roman"/>
          <w:b/>
          <w:sz w:val="21"/>
        </w:rPr>
        <w:t xml:space="preserve">CHAPTER 7: FUTURE SCOPE ............................................................ </w:t>
      </w:r>
      <w:r>
        <w:rPr>
          <w:rFonts w:ascii="Times New Roman" w:hAnsi="Times New Roman"/>
          <w:b/>
          <w:sz w:val="21"/>
        </w:rPr>
        <w:t>49</w:t>
      </w:r>
    </w:p>
    <w:p>
      <w:pPr>
        <w:spacing w:before="20" w:after="20" w:line="276" w:lineRule="auto"/>
        <w:jc w:val="left"/>
      </w:pPr>
      <w:r>
        <w:rPr>
          <w:rFonts w:ascii="Times New Roman" w:hAnsi="Times New Roman"/>
          <w:sz w:val="21"/>
        </w:rPr>
        <w:t xml:space="preserve">    7.1 Hyperspectral &amp; SAR Radar Satellite Ingestion .............................. </w:t>
      </w:r>
      <w:r>
        <w:rPr>
          <w:rFonts w:ascii="Times New Roman" w:hAnsi="Times New Roman"/>
          <w:b/>
          <w:sz w:val="21"/>
        </w:rPr>
        <w:t>49</w:t>
      </w:r>
    </w:p>
    <w:p>
      <w:pPr>
        <w:spacing w:before="20" w:after="20" w:line="276" w:lineRule="auto"/>
        <w:jc w:val="left"/>
      </w:pPr>
      <w:r>
        <w:rPr>
          <w:rFonts w:ascii="Times New Roman" w:hAnsi="Times New Roman"/>
          <w:sz w:val="21"/>
        </w:rPr>
        <w:t xml:space="preserve">    7.2 Edge AI Deployment and Conversational Mobile Interface ..................... </w:t>
      </w:r>
      <w:r>
        <w:rPr>
          <w:rFonts w:ascii="Times New Roman" w:hAnsi="Times New Roman"/>
          <w:b/>
          <w:sz w:val="21"/>
        </w:rPr>
        <w:t>49</w:t>
      </w:r>
    </w:p>
    <w:p>
      <w:pPr>
        <w:spacing w:before="20" w:after="20" w:line="276" w:lineRule="auto"/>
        <w:jc w:val="left"/>
      </w:pPr>
      <w:r>
        <w:rPr>
          <w:rFonts w:ascii="Times New Roman" w:hAnsi="Times New Roman"/>
          <w:sz w:val="21"/>
        </w:rPr>
        <w:t xml:space="preserve">REFERENCES ......................................................................... </w:t>
      </w:r>
      <w:r>
        <w:rPr>
          <w:rFonts w:ascii="Times New Roman" w:hAnsi="Times New Roman"/>
          <w:b/>
          <w:sz w:val="21"/>
        </w:rPr>
        <w:t>50</w:t>
      </w:r>
    </w:p>
    <w:p>
      <w:r>
        <w:br w:type="page"/>
      </w:r>
    </w:p>
    <w:p>
      <w:pPr>
        <w:spacing w:before="360" w:after="200" w:line="276" w:lineRule="auto"/>
        <w:jc w:val="left"/>
      </w:pPr>
      <w:r>
        <w:rPr>
          <w:rFonts w:ascii="Times New Roman" w:hAnsi="Times New Roman"/>
          <w:b/>
          <w:color w:val="1B365D"/>
          <w:sz w:val="32"/>
        </w:rPr>
        <w:t>LIST OF FIGURES</w:t>
      </w:r>
    </w:p>
    <w:p>
      <w:pPr>
        <w:spacing w:before="40" w:after="40" w:line="276" w:lineRule="auto"/>
      </w:pPr>
      <w:r>
        <w:rPr>
          <w:rFonts w:ascii="Times New Roman" w:hAnsi="Times New Roman"/>
          <w:sz w:val="21"/>
        </w:rPr>
        <w:t xml:space="preserve">Figure 1.1: Macro-Level End-to-End System Architecture Block Diagram ................ </w:t>
      </w:r>
      <w:r>
        <w:rPr>
          <w:rFonts w:ascii="Times New Roman" w:hAnsi="Times New Roman"/>
          <w:b/>
          <w:sz w:val="21"/>
        </w:rPr>
        <w:t>7</w:t>
      </w:r>
    </w:p>
    <w:p>
      <w:pPr>
        <w:spacing w:before="40" w:after="40" w:line="276" w:lineRule="auto"/>
      </w:pPr>
      <w:r>
        <w:rPr>
          <w:rFonts w:ascii="Times New Roman" w:hAnsi="Times New Roman"/>
          <w:sz w:val="21"/>
        </w:rPr>
        <w:t xml:space="preserve">Figure 3.1: High-Level Schematic of the 5-Stage Digital Soil Mapping Pipeline ...... </w:t>
      </w:r>
      <w:r>
        <w:rPr>
          <w:rFonts w:ascii="Times New Roman" w:hAnsi="Times New Roman"/>
          <w:b/>
          <w:sz w:val="21"/>
        </w:rPr>
        <w:t>21</w:t>
      </w:r>
    </w:p>
    <w:p>
      <w:pPr>
        <w:spacing w:before="40" w:after="40" w:line="276" w:lineRule="auto"/>
      </w:pPr>
      <w:r>
        <w:rPr>
          <w:rFonts w:ascii="Times New Roman" w:hAnsi="Times New Roman"/>
          <w:sz w:val="21"/>
        </w:rPr>
        <w:t xml:space="preserve">Figure 3.2: Complete Algorithmic and Data Processing Flowchart of AgriCare ......... </w:t>
      </w:r>
      <w:r>
        <w:rPr>
          <w:rFonts w:ascii="Times New Roman" w:hAnsi="Times New Roman"/>
          <w:b/>
          <w:sz w:val="21"/>
        </w:rPr>
        <w:t>30</w:t>
      </w:r>
    </w:p>
    <w:p>
      <w:pPr>
        <w:spacing w:before="40" w:after="40" w:line="276" w:lineRule="auto"/>
      </w:pPr>
      <w:r>
        <w:rPr>
          <w:rFonts w:ascii="Times New Roman" w:hAnsi="Times New Roman"/>
          <w:sz w:val="21"/>
        </w:rPr>
        <w:t xml:space="preserve">Figure 5.1: Pairwise Correlation Heatmap of Selected SCORPAN Features .............. </w:t>
      </w:r>
      <w:r>
        <w:rPr>
          <w:rFonts w:ascii="Times New Roman" w:hAnsi="Times New Roman"/>
          <w:b/>
          <w:sz w:val="21"/>
        </w:rPr>
        <w:t>41</w:t>
      </w:r>
    </w:p>
    <w:p>
      <w:pPr>
        <w:spacing w:before="40" w:after="40" w:line="276" w:lineRule="auto"/>
      </w:pPr>
      <w:r>
        <w:rPr>
          <w:rFonts w:ascii="Times New Roman" w:hAnsi="Times New Roman"/>
          <w:sz w:val="21"/>
        </w:rPr>
        <w:t xml:space="preserve">Figure 5.2: PCA Scree Plot Showing Cumulative Explained Variance ................... </w:t>
      </w:r>
      <w:r>
        <w:rPr>
          <w:rFonts w:ascii="Times New Roman" w:hAnsi="Times New Roman"/>
          <w:b/>
          <w:sz w:val="21"/>
        </w:rPr>
        <w:t>42</w:t>
      </w:r>
    </w:p>
    <w:p>
      <w:pPr>
        <w:spacing w:before="40" w:after="40" w:line="276" w:lineRule="auto"/>
      </w:pPr>
      <w:r>
        <w:rPr>
          <w:rFonts w:ascii="Times New Roman" w:hAnsi="Times New Roman"/>
          <w:sz w:val="21"/>
        </w:rPr>
        <w:t xml:space="preserve">Figure 5.3: Heatmap of Principal Component Loadings Across Covariates .............. </w:t>
      </w:r>
      <w:r>
        <w:rPr>
          <w:rFonts w:ascii="Times New Roman" w:hAnsi="Times New Roman"/>
          <w:b/>
          <w:sz w:val="21"/>
        </w:rPr>
        <w:t>42</w:t>
      </w:r>
    </w:p>
    <w:p>
      <w:pPr>
        <w:spacing w:before="40" w:after="40" w:line="276" w:lineRule="auto"/>
      </w:pPr>
      <w:r>
        <w:rPr>
          <w:rFonts w:ascii="Times New Roman" w:hAnsi="Times New Roman"/>
          <w:sz w:val="21"/>
        </w:rPr>
        <w:t xml:space="preserve">Figure 5.4: Backward Feature Elimination Curves for N, P, K, and OC ................ </w:t>
      </w:r>
      <w:r>
        <w:rPr>
          <w:rFonts w:ascii="Times New Roman" w:hAnsi="Times New Roman"/>
          <w:b/>
          <w:sz w:val="21"/>
        </w:rPr>
        <w:t>43</w:t>
      </w:r>
    </w:p>
    <w:p>
      <w:pPr>
        <w:spacing w:before="40" w:after="40" w:line="276" w:lineRule="auto"/>
      </w:pPr>
      <w:r>
        <w:rPr>
          <w:rFonts w:ascii="Times New Roman" w:hAnsi="Times New Roman"/>
          <w:sz w:val="21"/>
        </w:rPr>
        <w:t xml:space="preserve">Figure 5.5: Multi-Temporal Cross-Cycle Generalization Benchmark .................... </w:t>
      </w:r>
      <w:r>
        <w:rPr>
          <w:rFonts w:ascii="Times New Roman" w:hAnsi="Times New Roman"/>
          <w:b/>
          <w:sz w:val="21"/>
        </w:rPr>
        <w:t>44</w:t>
      </w:r>
    </w:p>
    <w:p>
      <w:pPr>
        <w:spacing w:before="40" w:after="40" w:line="276" w:lineRule="auto"/>
      </w:pPr>
      <w:r>
        <w:rPr>
          <w:rFonts w:ascii="Times New Roman" w:hAnsi="Times New Roman"/>
          <w:sz w:val="21"/>
        </w:rPr>
        <w:t xml:space="preserve">Figure 5.6: Impact of Few-Shot Seasonal Calibration on Unseen Cycle ................ </w:t>
      </w:r>
      <w:r>
        <w:rPr>
          <w:rFonts w:ascii="Times New Roman" w:hAnsi="Times New Roman"/>
          <w:b/>
          <w:sz w:val="21"/>
        </w:rPr>
        <w:t>44</w:t>
      </w:r>
    </w:p>
    <w:p>
      <w:pPr>
        <w:spacing w:before="40" w:after="40" w:line="276" w:lineRule="auto"/>
      </w:pPr>
      <w:r>
        <w:rPr>
          <w:rFonts w:ascii="Times New Roman" w:hAnsi="Times New Roman"/>
          <w:sz w:val="21"/>
        </w:rPr>
        <w:t xml:space="preserve">Figure 5.7: Scatter Regression Plots for N, P, K, and OC Validation ................ </w:t>
      </w:r>
      <w:r>
        <w:rPr>
          <w:rFonts w:ascii="Times New Roman" w:hAnsi="Times New Roman"/>
          <w:b/>
          <w:sz w:val="21"/>
        </w:rPr>
        <w:t>45</w:t>
      </w:r>
    </w:p>
    <w:p>
      <w:pPr>
        <w:spacing w:before="40" w:after="40" w:line="276" w:lineRule="auto"/>
      </w:pPr>
      <w:r>
        <w:rPr>
          <w:rFonts w:ascii="Times New Roman" w:hAnsi="Times New Roman"/>
          <w:sz w:val="21"/>
        </w:rPr>
        <w:t xml:space="preserve">Figure 5.8: Random Forest Gini Feature Importance Profiles ......................... </w:t>
      </w:r>
      <w:r>
        <w:rPr>
          <w:rFonts w:ascii="Times New Roman" w:hAnsi="Times New Roman"/>
          <w:b/>
          <w:sz w:val="21"/>
        </w:rPr>
        <w:t>45</w:t>
      </w:r>
    </w:p>
    <w:p>
      <w:pPr>
        <w:spacing w:before="40" w:after="40" w:line="276" w:lineRule="auto"/>
      </w:pPr>
      <w:r>
        <w:rPr>
          <w:rFonts w:ascii="Times New Roman" w:hAnsi="Times New Roman"/>
          <w:sz w:val="21"/>
        </w:rPr>
        <w:t xml:space="preserve">Figure 5.9: SHAP Summary Beeswarm Plots Illustrating Non-Linear Contributions ...... </w:t>
      </w:r>
      <w:r>
        <w:rPr>
          <w:rFonts w:ascii="Times New Roman" w:hAnsi="Times New Roman"/>
          <w:b/>
          <w:sz w:val="21"/>
        </w:rPr>
        <w:t>46</w:t>
      </w:r>
    </w:p>
    <w:p>
      <w:r>
        <w:br w:type="page"/>
      </w:r>
    </w:p>
    <w:p>
      <w:pPr>
        <w:spacing w:before="360" w:after="200" w:line="276" w:lineRule="auto"/>
        <w:jc w:val="left"/>
      </w:pPr>
      <w:r>
        <w:rPr>
          <w:rFonts w:ascii="Times New Roman" w:hAnsi="Times New Roman"/>
          <w:b/>
          <w:color w:val="1B365D"/>
          <w:sz w:val="32"/>
        </w:rPr>
        <w:t>LIST OF TABLES</w:t>
      </w:r>
    </w:p>
    <w:p>
      <w:pPr>
        <w:spacing w:before="40" w:after="40" w:line="276" w:lineRule="auto"/>
      </w:pPr>
      <w:r>
        <w:rPr>
          <w:rFonts w:ascii="Times New Roman" w:hAnsi="Times New Roman"/>
          <w:sz w:val="21"/>
        </w:rPr>
        <w:t xml:space="preserve">Table 1.1: Fertilizer Consumption and Nutrient Imbalance Ratios in India ............ </w:t>
      </w:r>
      <w:r>
        <w:rPr>
          <w:rFonts w:ascii="Times New Roman" w:hAnsi="Times New Roman"/>
          <w:b/>
          <w:sz w:val="21"/>
        </w:rPr>
        <w:t>2</w:t>
      </w:r>
    </w:p>
    <w:p>
      <w:pPr>
        <w:spacing w:before="40" w:after="40" w:line="276" w:lineRule="auto"/>
      </w:pPr>
      <w:r>
        <w:rPr>
          <w:rFonts w:ascii="Times New Roman" w:hAnsi="Times New Roman"/>
          <w:sz w:val="21"/>
        </w:rPr>
        <w:t xml:space="preserve">Table 2.1: Comprehensive Comparative Matrix of Prior Art in Digital Soil Mapping ... </w:t>
      </w:r>
      <w:r>
        <w:rPr>
          <w:rFonts w:ascii="Times New Roman" w:hAnsi="Times New Roman"/>
          <w:b/>
          <w:sz w:val="21"/>
        </w:rPr>
        <w:t>19</w:t>
      </w:r>
    </w:p>
    <w:p>
      <w:pPr>
        <w:spacing w:before="40" w:after="40" w:line="276" w:lineRule="auto"/>
      </w:pPr>
      <w:r>
        <w:rPr>
          <w:rFonts w:ascii="Times New Roman" w:hAnsi="Times New Roman"/>
          <w:sz w:val="21"/>
        </w:rPr>
        <w:t xml:space="preserve">Table 3.1: Sentinel-2 Multispectral Spectral Bands Specifications .................. </w:t>
      </w:r>
      <w:r>
        <w:rPr>
          <w:rFonts w:ascii="Times New Roman" w:hAnsi="Times New Roman"/>
          <w:b/>
          <w:sz w:val="21"/>
        </w:rPr>
        <w:t>24</w:t>
      </w:r>
    </w:p>
    <w:p>
      <w:pPr>
        <w:spacing w:before="40" w:after="40" w:line="276" w:lineRule="auto"/>
      </w:pPr>
      <w:r>
        <w:rPr>
          <w:rFonts w:ascii="Times New Roman" w:hAnsi="Times New Roman"/>
          <w:sz w:val="21"/>
        </w:rPr>
        <w:t xml:space="preserve">Table 3.2: Complete SCORPAN Covariate Feature Catalog (47 Features) ................ </w:t>
      </w:r>
      <w:r>
        <w:rPr>
          <w:rFonts w:ascii="Times New Roman" w:hAnsi="Times New Roman"/>
          <w:b/>
          <w:sz w:val="21"/>
        </w:rPr>
        <w:t>26</w:t>
      </w:r>
    </w:p>
    <w:p>
      <w:pPr>
        <w:spacing w:before="40" w:after="40" w:line="276" w:lineRule="auto"/>
      </w:pPr>
      <w:r>
        <w:rPr>
          <w:rFonts w:ascii="Times New Roman" w:hAnsi="Times New Roman"/>
          <w:sz w:val="21"/>
        </w:rPr>
        <w:t xml:space="preserve">Table 3.3: ICAR Soil Fertility Classification Rating Scales ........................ </w:t>
      </w:r>
      <w:r>
        <w:rPr>
          <w:rFonts w:ascii="Times New Roman" w:hAnsi="Times New Roman"/>
          <w:b/>
          <w:sz w:val="21"/>
        </w:rPr>
        <w:t>28</w:t>
      </w:r>
    </w:p>
    <w:p>
      <w:pPr>
        <w:spacing w:before="40" w:after="40" w:line="276" w:lineRule="auto"/>
      </w:pPr>
      <w:r>
        <w:rPr>
          <w:rFonts w:ascii="Times New Roman" w:hAnsi="Times New Roman"/>
          <w:sz w:val="21"/>
        </w:rPr>
        <w:t xml:space="preserve">Table 3.4: ANGRAU Crop-Specific STCR Fertilizer Adjustment Matrix .................. </w:t>
      </w:r>
      <w:r>
        <w:rPr>
          <w:rFonts w:ascii="Times New Roman" w:hAnsi="Times New Roman"/>
          <w:b/>
          <w:sz w:val="21"/>
        </w:rPr>
        <w:t>29</w:t>
      </w:r>
    </w:p>
    <w:p>
      <w:pPr>
        <w:spacing w:before="40" w:after="40" w:line="276" w:lineRule="auto"/>
      </w:pPr>
      <w:r>
        <w:rPr>
          <w:rFonts w:ascii="Times New Roman" w:hAnsi="Times New Roman"/>
          <w:sz w:val="21"/>
        </w:rPr>
        <w:t xml:space="preserve">Table 4.1: Computing Hardware Infrastructure Specifications ........................ </w:t>
      </w:r>
      <w:r>
        <w:rPr>
          <w:rFonts w:ascii="Times New Roman" w:hAnsi="Times New Roman"/>
          <w:b/>
          <w:sz w:val="21"/>
        </w:rPr>
        <w:t>32</w:t>
      </w:r>
    </w:p>
    <w:p>
      <w:pPr>
        <w:spacing w:before="40" w:after="40" w:line="276" w:lineRule="auto"/>
      </w:pPr>
      <w:r>
        <w:rPr>
          <w:rFonts w:ascii="Times New Roman" w:hAnsi="Times New Roman"/>
          <w:sz w:val="21"/>
        </w:rPr>
        <w:t xml:space="preserve">Table 4.2: Open-Source Software Stack and Library Versions ......................... </w:t>
      </w:r>
      <w:r>
        <w:rPr>
          <w:rFonts w:ascii="Times New Roman" w:hAnsi="Times New Roman"/>
          <w:b/>
          <w:sz w:val="21"/>
        </w:rPr>
        <w:t>33</w:t>
      </w:r>
    </w:p>
    <w:p>
      <w:pPr>
        <w:spacing w:before="40" w:after="40" w:line="276" w:lineRule="auto"/>
      </w:pPr>
      <w:r>
        <w:rPr>
          <w:rFonts w:ascii="Times New Roman" w:hAnsi="Times New Roman"/>
          <w:sz w:val="21"/>
        </w:rPr>
        <w:t xml:space="preserve">Table 4.3: Descriptive Statistical Summary of Ground-Truth Soil Samples ............ </w:t>
      </w:r>
      <w:r>
        <w:rPr>
          <w:rFonts w:ascii="Times New Roman" w:hAnsi="Times New Roman"/>
          <w:b/>
          <w:sz w:val="21"/>
        </w:rPr>
        <w:t>34</w:t>
      </w:r>
    </w:p>
    <w:p>
      <w:pPr>
        <w:spacing w:before="40" w:after="40" w:line="276" w:lineRule="auto"/>
      </w:pPr>
      <w:r>
        <w:rPr>
          <w:rFonts w:ascii="Times New Roman" w:hAnsi="Times New Roman"/>
          <w:sz w:val="21"/>
        </w:rPr>
        <w:t xml:space="preserve">Table 4.4: Model Hyperparameter Grid and Tuning Configurations ..................... </w:t>
      </w:r>
      <w:r>
        <w:rPr>
          <w:rFonts w:ascii="Times New Roman" w:hAnsi="Times New Roman"/>
          <w:b/>
          <w:sz w:val="21"/>
        </w:rPr>
        <w:t>35</w:t>
      </w:r>
    </w:p>
    <w:p>
      <w:pPr>
        <w:spacing w:before="40" w:after="40" w:line="276" w:lineRule="auto"/>
      </w:pPr>
      <w:r>
        <w:rPr>
          <w:rFonts w:ascii="Times New Roman" w:hAnsi="Times New Roman"/>
          <w:sz w:val="21"/>
        </w:rPr>
        <w:t xml:space="preserve">Table 5.1: 5-Fold Cross-Validation Performance Metrics (47 SCORPAN Features) ....... </w:t>
      </w:r>
      <w:r>
        <w:rPr>
          <w:rFonts w:ascii="Times New Roman" w:hAnsi="Times New Roman"/>
          <w:b/>
          <w:sz w:val="21"/>
        </w:rPr>
        <w:t>39</w:t>
      </w:r>
    </w:p>
    <w:p>
      <w:pPr>
        <w:spacing w:before="40" w:after="40" w:line="276" w:lineRule="auto"/>
      </w:pPr>
      <w:r>
        <w:rPr>
          <w:rFonts w:ascii="Times New Roman" w:hAnsi="Times New Roman"/>
          <w:sz w:val="21"/>
        </w:rPr>
        <w:t xml:space="preserve">Table 5.2: Comparative Model Performance Benchmark on SPSR Nellore Dataset ......... </w:t>
      </w:r>
      <w:r>
        <w:rPr>
          <w:rFonts w:ascii="Times New Roman" w:hAnsi="Times New Roman"/>
          <w:b/>
          <w:sz w:val="21"/>
        </w:rPr>
        <w:t>40</w:t>
      </w:r>
    </w:p>
    <w:p>
      <w:pPr>
        <w:spacing w:before="40" w:after="40" w:line="276" w:lineRule="auto"/>
      </w:pPr>
      <w:r>
        <w:rPr>
          <w:rFonts w:ascii="Times New Roman" w:hAnsi="Times New Roman"/>
          <w:sz w:val="21"/>
        </w:rPr>
        <w:t xml:space="preserve">Table 5.3: Feature Group Ablation Study Results .................................... </w:t>
      </w:r>
      <w:r>
        <w:rPr>
          <w:rFonts w:ascii="Times New Roman" w:hAnsi="Times New Roman"/>
          <w:b/>
          <w:sz w:val="21"/>
        </w:rPr>
        <w:t>41</w:t>
      </w:r>
    </w:p>
    <w:p>
      <w:pPr>
        <w:spacing w:before="40" w:after="40" w:line="276" w:lineRule="auto"/>
      </w:pPr>
      <w:r>
        <w:rPr>
          <w:rFonts w:ascii="Times New Roman" w:hAnsi="Times New Roman"/>
          <w:sz w:val="21"/>
        </w:rPr>
        <w:t xml:space="preserve">Table 5.4: Cross-Cycle Validation and Few-Shot Calibration Metrics ................. </w:t>
      </w:r>
      <w:r>
        <w:rPr>
          <w:rFonts w:ascii="Times New Roman" w:hAnsi="Times New Roman"/>
          <w:b/>
          <w:sz w:val="21"/>
        </w:rPr>
        <w:t>43</w:t>
      </w:r>
    </w:p>
    <w:p>
      <w:r>
        <w:br w:type="page"/>
      </w:r>
    </w:p>
    <w:p>
      <w:pPr>
        <w:spacing w:before="360" w:after="200" w:line="276" w:lineRule="auto"/>
        <w:jc w:val="left"/>
      </w:pPr>
      <w:r>
        <w:rPr>
          <w:rFonts w:ascii="Times New Roman" w:hAnsi="Times New Roman"/>
          <w:b/>
          <w:color w:val="1B365D"/>
          <w:sz w:val="32"/>
        </w:rPr>
        <w:t>CHAPTER 1: INTRODUCTION</w:t>
      </w:r>
    </w:p>
    <w:p>
      <w:pPr>
        <w:spacing w:before="280" w:after="120" w:line="276" w:lineRule="auto"/>
        <w:jc w:val="left"/>
      </w:pPr>
      <w:r>
        <w:rPr>
          <w:rFonts w:ascii="Times New Roman" w:hAnsi="Times New Roman"/>
          <w:b/>
          <w:color w:val="800000"/>
          <w:sz w:val="28"/>
        </w:rPr>
        <w:t>1.1 Background and Statistical Reports</w:t>
      </w:r>
    </w:p>
    <w:p>
      <w:pPr>
        <w:spacing w:line="360" w:lineRule="auto" w:after="120" w:before="0"/>
        <w:jc w:val="both"/>
      </w:pPr>
      <w:r>
        <w:rPr>
          <w:rFonts w:ascii="Times New Roman" w:hAnsi="Times New Roman"/>
          <w:color w:val="222222"/>
          <w:sz w:val="24"/>
        </w:rPr>
        <w:t>Agriculture constitutes the foundational bedrock of India's socio-economic fabric, employing more than 45% of the national workforce and contributing approximately 18% to the Gross Domestic Product (GDP). Over the past six decades, the Green Revolution ushered in an era of unprecedented grain productivity through the deployment of high-yielding crop varieties, extensive irrigation infrastructure, and the intensive application of synthetic chemical fertilizers. However, this historical triumph in food self-sufficiency has come at an alarming ecological cost. Intensive monocropping systems, coupled with disproportionate fertilizer application and inadequate replenishment of organic matter, have led to severe and progressive soil degradation across major agro-ecological zones of the country.</w:t>
      </w:r>
    </w:p>
    <w:p>
      <w:pPr>
        <w:spacing w:line="360" w:lineRule="auto" w:after="120" w:before="0"/>
        <w:jc w:val="both"/>
      </w:pPr>
      <w:r>
        <w:rPr>
          <w:rFonts w:ascii="Times New Roman" w:hAnsi="Times New Roman"/>
          <w:color w:val="222222"/>
          <w:sz w:val="24"/>
        </w:rPr>
        <w:t>Soil fertility is fundamentally defined by the balanced presence of essential macronutrients—predominantly Primary Nutrients: Nitrogen (N), Phosphorus (P), and Potassium (K)—together with Soil Organic Carbon (OC), which governs soil structure, moisture retention capacity, microbial biodiversity, and cation exchange dynamics. In natural, healthy soils, the scientifically recommended consumption ratio of N:P:K is approximately 4:2:1. However, national agronomic audits conducted by the Department of Agriculture and Farmers Welfare (DA&amp;FW) and NITI Aayog reveal that the actual all-India consumption ratio has distorted to 8.2:3.2:1 in 2020-21, and in intensively cultivated irrigated states, it has exceeded an alarming 25:8:1. This severe skew is primarily driven by heavy governmental price subsidies on urea (nitrogen), leading farmers to over-apply nitrogenous fertilizers while neglecting phosphorus, potassium, and organic manures.</w:t>
      </w:r>
    </w:p>
    <w:p>
      <w:pPr>
        <w:spacing w:line="360" w:lineRule="auto" w:after="120" w:before="0"/>
        <w:jc w:val="both"/>
      </w:pPr>
      <w:r>
        <w:rPr>
          <w:rFonts w:ascii="Times New Roman" w:hAnsi="Times New Roman"/>
          <w:color w:val="222222"/>
          <w:sz w:val="24"/>
        </w:rPr>
        <w:t>According to comprehensive reports published by the Food and Agriculture Organization (FAO) and the Indian Council of Agricultural Research (ICAR), more than 120.7 million hectares—representing roughly 36.7% of India's total geographical landmass—are impacted by varying degrees of land degradation, including nutrient depletion, salinization, waterlogging, and topsoil erosion. In Andhra Pradesh, and specifically in SPSR Nellore District, agriculture faces distinct dual-stress challenges. Situated along the south-coastal agro-climatic zone, SPSR Nellore encompasses a total geographical area of 13,076 square kilometers across 46 administrative mandals. The district features three predominant soil orders: red sandy loams (Alfisols), deep black cotton soils (Vertisols), and coastal alluvial soils (Entisols).</w:t>
      </w:r>
    </w:p>
    <w:p>
      <w:pPr>
        <w:spacing w:line="360" w:lineRule="auto" w:after="120" w:before="0"/>
        <w:jc w:val="both"/>
      </w:pPr>
      <w:r>
        <w:rPr>
          <w:rFonts w:ascii="Times New Roman" w:hAnsi="Times New Roman"/>
          <w:color w:val="222222"/>
          <w:sz w:val="24"/>
        </w:rPr>
        <w:t>SPSR Nellore is widely celebrated as the 'Rice Bowl of Andhra Pradesh', featuring intensive paddy cultivation under the Pennar river delta and the Somasila reservoir irrigation systems, alongside substantial cultivation of commercial crops such as sugarcane, groundnut, cotton, and aquaculture farms. Decades of continuous, high-intensity submerged paddy cultivation have caused chronic organic carbon depletion (with over 72% of regional soils exhibiting OC &lt; 0.50%, classified as 'Low'), widespread subsoil compaction, and severe secondary nutrient mining. Under the national Soil Health Card (SHC) scheme launched in 2015, over 140 million cards have been distributed nationwide. Yet, the vast majority of smallholder farmers in SPSR Nellore continue to practice uniform, blanket fertilizer application due to severe delays in obtaining updated test results, directly jeopardizing crop yields and economic profit margins.</w:t>
      </w:r>
    </w:p>
    <w:p>
      <w:pPr>
        <w:spacing w:before="200" w:after="80"/>
        <w:jc w:val="center"/>
      </w:pPr>
      <w:r>
        <w:rPr>
          <w:rFonts w:ascii="Times New Roman" w:hAnsi="Times New Roman"/>
          <w:b/>
          <w:color w:val="1E1E1E"/>
          <w:sz w:val="22"/>
        </w:rPr>
        <w:t>Table 1.1: Fertilizer Consumption and Soil Nutrient Status in India and SPSR Nellore</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trPr>
        <w:tc>
          <w:tcPr>
            <w:tcW w:type="dxa" w:w="2160"/>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Nutrient Metric</w:t>
            </w:r>
          </w:p>
        </w:tc>
        <w:tc>
          <w:tcPr>
            <w:tcW w:type="dxa" w:w="1728"/>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Ideal Ratio / Threshold</w:t>
            </w:r>
          </w:p>
        </w:tc>
        <w:tc>
          <w:tcPr>
            <w:tcW w:type="dxa" w:w="1872"/>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National Average (2022-23)</w:t>
            </w:r>
          </w:p>
        </w:tc>
        <w:tc>
          <w:tcPr>
            <w:tcW w:type="dxa" w:w="1872"/>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SPSR Nellore Status</w:t>
            </w:r>
          </w:p>
        </w:tc>
        <w:tc>
          <w:tcPr>
            <w:tcW w:type="dxa" w:w="2448"/>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Agronomic Implication</w:t>
            </w:r>
          </w:p>
        </w:tc>
      </w:tr>
      <w:tr>
        <w:tc>
          <w:tcPr>
            <w:tcW w:type="dxa" w:w="2160"/>
            <w:shd w:fill="FFFFFF"/>
            <w:tcMar>
              <w:top w:w="90" w:type="dxa"/>
              <w:left w:w="120" w:type="dxa"/>
              <w:bottom w:w="90" w:type="dxa"/>
              <w:right w:w="120" w:type="dxa"/>
            </w:tcMar>
          </w:tcPr>
          <w:p>
            <w:pPr>
              <w:spacing w:before="0" w:after="0"/>
              <w:jc w:val="left"/>
            </w:pPr>
            <w:r/>
            <w:r>
              <w:rPr>
                <w:rFonts w:ascii="Times New Roman" w:hAnsi="Times New Roman"/>
                <w:color w:val="222222"/>
                <w:sz w:val="20"/>
              </w:rPr>
              <w:t>N : P : K Consumption Ratio</w:t>
            </w:r>
          </w:p>
        </w:tc>
        <w:tc>
          <w:tcPr>
            <w:tcW w:type="dxa" w:w="1728"/>
            <w:shd w:fill="FFFFFF"/>
            <w:tcMar>
              <w:top w:w="90" w:type="dxa"/>
              <w:left w:w="120" w:type="dxa"/>
              <w:bottom w:w="90" w:type="dxa"/>
              <w:right w:w="120" w:type="dxa"/>
            </w:tcMar>
          </w:tcPr>
          <w:p>
            <w:pPr>
              <w:spacing w:before="0" w:after="0"/>
              <w:jc w:val="center"/>
            </w:pPr>
            <w:r/>
            <w:r>
              <w:rPr>
                <w:rFonts w:ascii="Times New Roman" w:hAnsi="Times New Roman"/>
                <w:color w:val="222222"/>
                <w:sz w:val="20"/>
              </w:rPr>
              <w:t>4.0 : 2.0 : 1.0</w:t>
            </w:r>
          </w:p>
        </w:tc>
        <w:tc>
          <w:tcPr>
            <w:tcW w:type="dxa" w:w="1872"/>
            <w:shd w:fill="FFFFFF"/>
            <w:tcMar>
              <w:top w:w="90" w:type="dxa"/>
              <w:left w:w="120" w:type="dxa"/>
              <w:bottom w:w="90" w:type="dxa"/>
              <w:right w:w="120" w:type="dxa"/>
            </w:tcMar>
          </w:tcPr>
          <w:p>
            <w:pPr>
              <w:spacing w:before="0" w:after="0"/>
              <w:jc w:val="center"/>
            </w:pPr>
            <w:r/>
            <w:r>
              <w:rPr>
                <w:rFonts w:ascii="Times New Roman" w:hAnsi="Times New Roman"/>
                <w:color w:val="222222"/>
                <w:sz w:val="20"/>
              </w:rPr>
              <w:t>7.7 : 3.1 : 1.0</w:t>
            </w:r>
          </w:p>
        </w:tc>
        <w:tc>
          <w:tcPr>
            <w:tcW w:type="dxa" w:w="1872"/>
            <w:shd w:fill="FFFFFF"/>
            <w:tcMar>
              <w:top w:w="90" w:type="dxa"/>
              <w:left w:w="120" w:type="dxa"/>
              <w:bottom w:w="90" w:type="dxa"/>
              <w:right w:w="120" w:type="dxa"/>
            </w:tcMar>
          </w:tcPr>
          <w:p>
            <w:pPr>
              <w:spacing w:before="0" w:after="0"/>
              <w:jc w:val="center"/>
            </w:pPr>
            <w:r/>
            <w:r>
              <w:rPr>
                <w:rFonts w:ascii="Times New Roman" w:hAnsi="Times New Roman"/>
                <w:color w:val="222222"/>
                <w:sz w:val="20"/>
              </w:rPr>
              <w:t>9.4 : 3.6 : 1.0</w:t>
            </w:r>
          </w:p>
        </w:tc>
        <w:tc>
          <w:tcPr>
            <w:tcW w:type="dxa" w:w="2448"/>
            <w:shd w:fill="FFFFFF"/>
            <w:tcMar>
              <w:top w:w="90" w:type="dxa"/>
              <w:left w:w="120" w:type="dxa"/>
              <w:bottom w:w="90" w:type="dxa"/>
              <w:right w:w="120" w:type="dxa"/>
            </w:tcMar>
          </w:tcPr>
          <w:p>
            <w:pPr>
              <w:spacing w:before="0" w:after="0"/>
              <w:jc w:val="left"/>
            </w:pPr>
            <w:r/>
            <w:r>
              <w:rPr>
                <w:rFonts w:ascii="Times New Roman" w:hAnsi="Times New Roman"/>
                <w:color w:val="222222"/>
                <w:sz w:val="20"/>
              </w:rPr>
              <w:t>Severe excess N; acute trace deficiency</w:t>
            </w:r>
          </w:p>
        </w:tc>
      </w:tr>
      <w:tr>
        <w:tc>
          <w:tcPr>
            <w:tcW w:type="dxa" w:w="2160"/>
            <w:shd w:fill="F4F6F9"/>
            <w:tcMar>
              <w:top w:w="90" w:type="dxa"/>
              <w:left w:w="120" w:type="dxa"/>
              <w:bottom w:w="90" w:type="dxa"/>
              <w:right w:w="120" w:type="dxa"/>
            </w:tcMar>
          </w:tcPr>
          <w:p>
            <w:pPr>
              <w:spacing w:before="0" w:after="0"/>
              <w:jc w:val="left"/>
            </w:pPr>
            <w:r/>
            <w:r>
              <w:rPr>
                <w:rFonts w:ascii="Times New Roman" w:hAnsi="Times New Roman"/>
                <w:color w:val="222222"/>
                <w:sz w:val="20"/>
              </w:rPr>
              <w:t>Available Nitrogen (N)</w:t>
            </w:r>
          </w:p>
        </w:tc>
        <w:tc>
          <w:tcPr>
            <w:tcW w:type="dxa" w:w="1728"/>
            <w:shd w:fill="F4F6F9"/>
            <w:tcMar>
              <w:top w:w="90" w:type="dxa"/>
              <w:left w:w="120" w:type="dxa"/>
              <w:bottom w:w="90" w:type="dxa"/>
              <w:right w:w="120" w:type="dxa"/>
            </w:tcMar>
          </w:tcPr>
          <w:p>
            <w:pPr>
              <w:spacing w:before="0" w:after="0"/>
              <w:jc w:val="left"/>
            </w:pPr>
            <w:r/>
            <w:r>
              <w:rPr>
                <w:rFonts w:ascii="Times New Roman" w:hAnsi="Times New Roman"/>
                <w:color w:val="222222"/>
                <w:sz w:val="20"/>
              </w:rPr>
              <w:t>&gt; 280 kg/ha (Medium)</w:t>
            </w:r>
          </w:p>
        </w:tc>
        <w:tc>
          <w:tcPr>
            <w:tcW w:type="dxa" w:w="1872"/>
            <w:shd w:fill="F4F6F9"/>
            <w:tcMar>
              <w:top w:w="90" w:type="dxa"/>
              <w:left w:w="120" w:type="dxa"/>
              <w:bottom w:w="90" w:type="dxa"/>
              <w:right w:w="120" w:type="dxa"/>
            </w:tcMar>
          </w:tcPr>
          <w:p>
            <w:pPr>
              <w:spacing w:before="0" w:after="0"/>
              <w:jc w:val="center"/>
            </w:pPr>
            <w:r/>
            <w:r>
              <w:rPr>
                <w:rFonts w:ascii="Times New Roman" w:hAnsi="Times New Roman"/>
                <w:color w:val="222222"/>
                <w:sz w:val="20"/>
              </w:rPr>
              <w:t>140 - 210 kg/ha</w:t>
            </w:r>
          </w:p>
        </w:tc>
        <w:tc>
          <w:tcPr>
            <w:tcW w:type="dxa" w:w="1872"/>
            <w:shd w:fill="F4F6F9"/>
            <w:tcMar>
              <w:top w:w="90" w:type="dxa"/>
              <w:left w:w="120" w:type="dxa"/>
              <w:bottom w:w="90" w:type="dxa"/>
              <w:right w:w="120" w:type="dxa"/>
            </w:tcMar>
          </w:tcPr>
          <w:p>
            <w:pPr>
              <w:spacing w:before="0" w:after="0"/>
              <w:jc w:val="left"/>
            </w:pPr>
            <w:r/>
            <w:r>
              <w:rPr>
                <w:rFonts w:ascii="Times New Roman" w:hAnsi="Times New Roman"/>
                <w:color w:val="222222"/>
                <w:sz w:val="20"/>
              </w:rPr>
              <w:t>&lt; 180 kg/ha (82% Low)</w:t>
            </w:r>
          </w:p>
        </w:tc>
        <w:tc>
          <w:tcPr>
            <w:tcW w:type="dxa" w:w="2448"/>
            <w:shd w:fill="F4F6F9"/>
            <w:tcMar>
              <w:top w:w="90" w:type="dxa"/>
              <w:left w:w="120" w:type="dxa"/>
              <w:bottom w:w="90" w:type="dxa"/>
              <w:right w:w="120" w:type="dxa"/>
            </w:tcMar>
          </w:tcPr>
          <w:p>
            <w:pPr>
              <w:spacing w:before="0" w:after="0"/>
              <w:jc w:val="left"/>
            </w:pPr>
            <w:r/>
            <w:r>
              <w:rPr>
                <w:rFonts w:ascii="Times New Roman" w:hAnsi="Times New Roman"/>
                <w:color w:val="222222"/>
                <w:sz w:val="20"/>
              </w:rPr>
              <w:t>Stunted tillering, low protein synthesis</w:t>
            </w:r>
          </w:p>
        </w:tc>
      </w:tr>
      <w:tr>
        <w:tc>
          <w:tcPr>
            <w:tcW w:type="dxa" w:w="2160"/>
            <w:shd w:fill="FFFFFF"/>
            <w:tcMar>
              <w:top w:w="90" w:type="dxa"/>
              <w:left w:w="120" w:type="dxa"/>
              <w:bottom w:w="90" w:type="dxa"/>
              <w:right w:w="120" w:type="dxa"/>
            </w:tcMar>
          </w:tcPr>
          <w:p>
            <w:pPr>
              <w:spacing w:before="0" w:after="0"/>
              <w:jc w:val="left"/>
            </w:pPr>
            <w:r/>
            <w:r>
              <w:rPr>
                <w:rFonts w:ascii="Times New Roman" w:hAnsi="Times New Roman"/>
                <w:color w:val="222222"/>
                <w:sz w:val="20"/>
              </w:rPr>
              <w:t>Available Phosphorus (P)</w:t>
            </w:r>
          </w:p>
        </w:tc>
        <w:tc>
          <w:tcPr>
            <w:tcW w:type="dxa" w:w="1728"/>
            <w:shd w:fill="FFFFFF"/>
            <w:tcMar>
              <w:top w:w="90" w:type="dxa"/>
              <w:left w:w="120" w:type="dxa"/>
              <w:bottom w:w="90" w:type="dxa"/>
              <w:right w:w="120" w:type="dxa"/>
            </w:tcMar>
          </w:tcPr>
          <w:p>
            <w:pPr>
              <w:spacing w:before="0" w:after="0"/>
              <w:jc w:val="left"/>
            </w:pPr>
            <w:r/>
            <w:r>
              <w:rPr>
                <w:rFonts w:ascii="Times New Roman" w:hAnsi="Times New Roman"/>
                <w:color w:val="222222"/>
                <w:sz w:val="20"/>
              </w:rPr>
              <w:t>&gt; 23 kg/ha (Medium)</w:t>
            </w:r>
          </w:p>
        </w:tc>
        <w:tc>
          <w:tcPr>
            <w:tcW w:type="dxa" w:w="1872"/>
            <w:shd w:fill="FFFFFF"/>
            <w:tcMar>
              <w:top w:w="90" w:type="dxa"/>
              <w:left w:w="120" w:type="dxa"/>
              <w:bottom w:w="90" w:type="dxa"/>
              <w:right w:w="120" w:type="dxa"/>
            </w:tcMar>
          </w:tcPr>
          <w:p>
            <w:pPr>
              <w:spacing w:before="0" w:after="0"/>
              <w:jc w:val="center"/>
            </w:pPr>
            <w:r/>
            <w:r>
              <w:rPr>
                <w:rFonts w:ascii="Times New Roman" w:hAnsi="Times New Roman"/>
                <w:color w:val="222222"/>
                <w:sz w:val="20"/>
              </w:rPr>
              <w:t>12 - 28 kg/ha</w:t>
            </w:r>
          </w:p>
        </w:tc>
        <w:tc>
          <w:tcPr>
            <w:tcW w:type="dxa" w:w="1872"/>
            <w:shd w:fill="FFFFFF"/>
            <w:tcMar>
              <w:top w:w="90" w:type="dxa"/>
              <w:left w:w="120" w:type="dxa"/>
              <w:bottom w:w="90" w:type="dxa"/>
              <w:right w:w="120" w:type="dxa"/>
            </w:tcMar>
          </w:tcPr>
          <w:p>
            <w:pPr>
              <w:spacing w:before="0" w:after="0"/>
              <w:jc w:val="left"/>
            </w:pPr>
            <w:r/>
            <w:r>
              <w:rPr>
                <w:rFonts w:ascii="Times New Roman" w:hAnsi="Times New Roman"/>
                <w:color w:val="222222"/>
                <w:sz w:val="20"/>
              </w:rPr>
              <w:t>14.2 kg/ha (Deficient)</w:t>
            </w:r>
          </w:p>
        </w:tc>
        <w:tc>
          <w:tcPr>
            <w:tcW w:type="dxa" w:w="2448"/>
            <w:shd w:fill="FFFFFF"/>
            <w:tcMar>
              <w:top w:w="90" w:type="dxa"/>
              <w:left w:w="120" w:type="dxa"/>
              <w:bottom w:w="90" w:type="dxa"/>
              <w:right w:w="120" w:type="dxa"/>
            </w:tcMar>
          </w:tcPr>
          <w:p>
            <w:pPr>
              <w:spacing w:before="0" w:after="0"/>
              <w:jc w:val="left"/>
            </w:pPr>
            <w:r/>
            <w:r>
              <w:rPr>
                <w:rFonts w:ascii="Times New Roman" w:hAnsi="Times New Roman"/>
                <w:color w:val="222222"/>
                <w:sz w:val="20"/>
              </w:rPr>
              <w:t>Impaired root proliferation &amp; energy transfer</w:t>
            </w:r>
          </w:p>
        </w:tc>
      </w:tr>
      <w:tr>
        <w:tc>
          <w:tcPr>
            <w:tcW w:type="dxa" w:w="2160"/>
            <w:shd w:fill="F4F6F9"/>
            <w:tcMar>
              <w:top w:w="90" w:type="dxa"/>
              <w:left w:w="120" w:type="dxa"/>
              <w:bottom w:w="90" w:type="dxa"/>
              <w:right w:w="120" w:type="dxa"/>
            </w:tcMar>
          </w:tcPr>
          <w:p>
            <w:pPr>
              <w:spacing w:before="0" w:after="0"/>
              <w:jc w:val="left"/>
            </w:pPr>
            <w:r/>
            <w:r>
              <w:rPr>
                <w:rFonts w:ascii="Times New Roman" w:hAnsi="Times New Roman"/>
                <w:color w:val="222222"/>
                <w:sz w:val="20"/>
              </w:rPr>
              <w:t>Available Potassium (K)</w:t>
            </w:r>
          </w:p>
        </w:tc>
        <w:tc>
          <w:tcPr>
            <w:tcW w:type="dxa" w:w="1728"/>
            <w:shd w:fill="F4F6F9"/>
            <w:tcMar>
              <w:top w:w="90" w:type="dxa"/>
              <w:left w:w="120" w:type="dxa"/>
              <w:bottom w:w="90" w:type="dxa"/>
              <w:right w:w="120" w:type="dxa"/>
            </w:tcMar>
          </w:tcPr>
          <w:p>
            <w:pPr>
              <w:spacing w:before="0" w:after="0"/>
              <w:jc w:val="left"/>
            </w:pPr>
            <w:r/>
            <w:r>
              <w:rPr>
                <w:rFonts w:ascii="Times New Roman" w:hAnsi="Times New Roman"/>
                <w:color w:val="222222"/>
                <w:sz w:val="20"/>
              </w:rPr>
              <w:t>&gt; 145 kg/ha (Medium)</w:t>
            </w:r>
          </w:p>
        </w:tc>
        <w:tc>
          <w:tcPr>
            <w:tcW w:type="dxa" w:w="1872"/>
            <w:shd w:fill="F4F6F9"/>
            <w:tcMar>
              <w:top w:w="90" w:type="dxa"/>
              <w:left w:w="120" w:type="dxa"/>
              <w:bottom w:w="90" w:type="dxa"/>
              <w:right w:w="120" w:type="dxa"/>
            </w:tcMar>
          </w:tcPr>
          <w:p>
            <w:pPr>
              <w:spacing w:before="0" w:after="0"/>
              <w:jc w:val="center"/>
            </w:pPr>
            <w:r/>
            <w:r>
              <w:rPr>
                <w:rFonts w:ascii="Times New Roman" w:hAnsi="Times New Roman"/>
                <w:color w:val="222222"/>
                <w:sz w:val="20"/>
              </w:rPr>
              <w:t>180 - 320 kg/ha</w:t>
            </w:r>
          </w:p>
        </w:tc>
        <w:tc>
          <w:tcPr>
            <w:tcW w:type="dxa" w:w="1872"/>
            <w:shd w:fill="F4F6F9"/>
            <w:tcMar>
              <w:top w:w="90" w:type="dxa"/>
              <w:left w:w="120" w:type="dxa"/>
              <w:bottom w:w="90" w:type="dxa"/>
              <w:right w:w="120" w:type="dxa"/>
            </w:tcMar>
          </w:tcPr>
          <w:p>
            <w:pPr>
              <w:spacing w:before="0" w:after="0"/>
              <w:jc w:val="left"/>
            </w:pPr>
            <w:r/>
            <w:r>
              <w:rPr>
                <w:rFonts w:ascii="Times New Roman" w:hAnsi="Times New Roman"/>
                <w:color w:val="222222"/>
                <w:sz w:val="20"/>
              </w:rPr>
              <w:t>220 kg/ha (High Var)</w:t>
            </w:r>
          </w:p>
        </w:tc>
        <w:tc>
          <w:tcPr>
            <w:tcW w:type="dxa" w:w="2448"/>
            <w:shd w:fill="F4F6F9"/>
            <w:tcMar>
              <w:top w:w="90" w:type="dxa"/>
              <w:left w:w="120" w:type="dxa"/>
              <w:bottom w:w="90" w:type="dxa"/>
              <w:right w:w="120" w:type="dxa"/>
            </w:tcMar>
          </w:tcPr>
          <w:p>
            <w:pPr>
              <w:spacing w:before="0" w:after="0"/>
              <w:jc w:val="left"/>
            </w:pPr>
            <w:r/>
            <w:r>
              <w:rPr>
                <w:rFonts w:ascii="Times New Roman" w:hAnsi="Times New Roman"/>
                <w:color w:val="222222"/>
                <w:sz w:val="20"/>
              </w:rPr>
              <w:t>Increased vulnerability to drought &amp; pests</w:t>
            </w:r>
          </w:p>
        </w:tc>
      </w:tr>
      <w:tr>
        <w:tc>
          <w:tcPr>
            <w:tcW w:type="dxa" w:w="2160"/>
            <w:shd w:fill="FFFFFF"/>
            <w:tcMar>
              <w:top w:w="90" w:type="dxa"/>
              <w:left w:w="120" w:type="dxa"/>
              <w:bottom w:w="90" w:type="dxa"/>
              <w:right w:w="120" w:type="dxa"/>
            </w:tcMar>
          </w:tcPr>
          <w:p>
            <w:pPr>
              <w:spacing w:before="0" w:after="0"/>
              <w:jc w:val="left"/>
            </w:pPr>
            <w:r/>
            <w:r>
              <w:rPr>
                <w:rFonts w:ascii="Times New Roman" w:hAnsi="Times New Roman"/>
                <w:color w:val="222222"/>
                <w:sz w:val="20"/>
              </w:rPr>
              <w:t>Soil Organic Carbon (OC)</w:t>
            </w:r>
          </w:p>
        </w:tc>
        <w:tc>
          <w:tcPr>
            <w:tcW w:type="dxa" w:w="1728"/>
            <w:shd w:fill="FFFFFF"/>
            <w:tcMar>
              <w:top w:w="90" w:type="dxa"/>
              <w:left w:w="120" w:type="dxa"/>
              <w:bottom w:w="90" w:type="dxa"/>
              <w:right w:w="120" w:type="dxa"/>
            </w:tcMar>
          </w:tcPr>
          <w:p>
            <w:pPr>
              <w:spacing w:before="0" w:after="0"/>
              <w:jc w:val="center"/>
            </w:pPr>
            <w:r/>
            <w:r>
              <w:rPr>
                <w:rFonts w:ascii="Times New Roman" w:hAnsi="Times New Roman"/>
                <w:color w:val="222222"/>
                <w:sz w:val="20"/>
              </w:rPr>
              <w:t>&gt; 0.75% (High)</w:t>
            </w:r>
          </w:p>
        </w:tc>
        <w:tc>
          <w:tcPr>
            <w:tcW w:type="dxa" w:w="1872"/>
            <w:shd w:fill="FFFFFF"/>
            <w:tcMar>
              <w:top w:w="90" w:type="dxa"/>
              <w:left w:w="120" w:type="dxa"/>
              <w:bottom w:w="90" w:type="dxa"/>
              <w:right w:w="120" w:type="dxa"/>
            </w:tcMar>
          </w:tcPr>
          <w:p>
            <w:pPr>
              <w:spacing w:before="0" w:after="0"/>
              <w:jc w:val="center"/>
            </w:pPr>
            <w:r/>
            <w:r>
              <w:rPr>
                <w:rFonts w:ascii="Times New Roman" w:hAnsi="Times New Roman"/>
                <w:color w:val="222222"/>
                <w:sz w:val="20"/>
              </w:rPr>
              <w:t>0.35% - 0.54%</w:t>
            </w:r>
          </w:p>
        </w:tc>
        <w:tc>
          <w:tcPr>
            <w:tcW w:type="dxa" w:w="1872"/>
            <w:shd w:fill="FFFFFF"/>
            <w:tcMar>
              <w:top w:w="90" w:type="dxa"/>
              <w:left w:w="120" w:type="dxa"/>
              <w:bottom w:w="90" w:type="dxa"/>
              <w:right w:w="120" w:type="dxa"/>
            </w:tcMar>
          </w:tcPr>
          <w:p>
            <w:pPr>
              <w:spacing w:before="0" w:after="0"/>
              <w:jc w:val="left"/>
            </w:pPr>
            <w:r/>
            <w:r>
              <w:rPr>
                <w:rFonts w:ascii="Times New Roman" w:hAnsi="Times New Roman"/>
                <w:color w:val="222222"/>
                <w:sz w:val="20"/>
              </w:rPr>
              <w:t>0.46% (72% Deficient)</w:t>
            </w:r>
          </w:p>
        </w:tc>
        <w:tc>
          <w:tcPr>
            <w:tcW w:type="dxa" w:w="2448"/>
            <w:shd w:fill="FFFFFF"/>
            <w:tcMar>
              <w:top w:w="90" w:type="dxa"/>
              <w:left w:w="120" w:type="dxa"/>
              <w:bottom w:w="90" w:type="dxa"/>
              <w:right w:w="120" w:type="dxa"/>
            </w:tcMar>
          </w:tcPr>
          <w:p>
            <w:pPr>
              <w:spacing w:before="0" w:after="0"/>
              <w:jc w:val="left"/>
            </w:pPr>
            <w:r/>
            <w:r>
              <w:rPr>
                <w:rFonts w:ascii="Times New Roman" w:hAnsi="Times New Roman"/>
                <w:color w:val="222222"/>
                <w:sz w:val="20"/>
              </w:rPr>
              <w:t>Loss of microbial flora; poor water retention</w:t>
            </w:r>
          </w:p>
        </w:tc>
      </w:tr>
    </w:tbl>
    <w:p>
      <w:pPr>
        <w:spacing w:before="0" w:after="160"/>
      </w:pPr>
    </w:p>
    <w:p>
      <w:pPr>
        <w:spacing w:before="280" w:after="120" w:line="276" w:lineRule="auto"/>
        <w:jc w:val="left"/>
      </w:pPr>
      <w:r>
        <w:rPr>
          <w:rFonts w:ascii="Times New Roman" w:hAnsi="Times New Roman"/>
          <w:b/>
          <w:color w:val="800000"/>
          <w:sz w:val="28"/>
        </w:rPr>
        <w:t>1.2 Current Issues and Operational Challenges</w:t>
      </w:r>
    </w:p>
    <w:p>
      <w:pPr>
        <w:spacing w:line="360" w:lineRule="auto" w:after="120" w:before="0"/>
        <w:jc w:val="both"/>
      </w:pPr>
      <w:r>
        <w:rPr>
          <w:rFonts w:ascii="Times New Roman" w:hAnsi="Times New Roman"/>
          <w:color w:val="222222"/>
          <w:sz w:val="24"/>
        </w:rPr>
        <w:t>The current institutional paradigm for soil nutrient evaluation in India is built upon a physical collection and wet-chemistry laboratory testing pipeline. While analytically standardized, this traditional framework suffers from severe systemic, logistical, and spatial bottlenecks that prevent it from delivering timely, actionable precision advisories to smallholder farmers. The core challenges can be categorized into four primary dimensions:</w:t>
      </w:r>
    </w:p>
    <w:p>
      <w:pPr>
        <w:pStyle w:val="ListBullet"/>
        <w:spacing w:line="360" w:lineRule="auto" w:after="80" w:before="0"/>
        <w:jc w:val="both"/>
      </w:pPr>
      <w:r>
        <w:rPr>
          <w:rFonts w:ascii="Times New Roman" w:hAnsi="Times New Roman"/>
          <w:b/>
          <w:sz w:val="24"/>
        </w:rPr>
        <w:t xml:space="preserve">1. Labor-Intensive Wet Chemistry Protocols: </w:t>
      </w:r>
      <w:r>
        <w:rPr>
          <w:rFonts w:ascii="Times New Roman" w:hAnsi="Times New Roman"/>
          <w:sz w:val="24"/>
        </w:rPr>
        <w:t>Standard laboratory methods require dedicated chemical digestion and instrumentation protocols. Available Nitrogen is measured via the Subbiah-Asija Alkaline Permanganate distillation method; Available Phosphorus is determined using Bray's No. 1 extractant (for acidic soils) or Olsen's 0.5M Sodium Bicarbonate spectrophotometry (for neutral-alkaline soils); Available Potassium relies on neutral 1N Ammonium Acetate extraction followed by Flame Photometry; and Soil Organic Carbon is estimated through the Walkley-Black wet oxidation method using concentrated sulfuric acid and potassium dichromate. These protocols demand hazardous reagents, skilled laboratory technicians, and continuous electricity, making them unfeasible for rapid field testing.</w:t>
      </w:r>
    </w:p>
    <w:p>
      <w:pPr>
        <w:pStyle w:val="ListBullet"/>
        <w:spacing w:line="360" w:lineRule="auto" w:after="80" w:before="0"/>
        <w:jc w:val="both"/>
      </w:pPr>
      <w:r>
        <w:rPr>
          <w:rFonts w:ascii="Times New Roman" w:hAnsi="Times New Roman"/>
          <w:b/>
          <w:sz w:val="24"/>
        </w:rPr>
        <w:t xml:space="preserve">2. Turnaround Latency and Temporal Disconnect: </w:t>
      </w:r>
      <w:r>
        <w:rPr>
          <w:rFonts w:ascii="Times New Roman" w:hAnsi="Times New Roman"/>
          <w:sz w:val="24"/>
        </w:rPr>
        <w:t>Due to limited laboratory infrastructure—where a single District Soil Testing Laboratory (DSTL) serves upwards of 250,000 farming holdings—the typical turnaround time between physical sample extraction and Soil Health Card delivery ranges from 3 to 8 weeks. In agricultural cycles where the planting window between pre-monsoon showers and sowing is barely 10 to 15 days, farmers cannot afford to wait. Consequently, planting decisions and initial basal fertilizer applications are executed blindly without knowing residual soil fertility.</w:t>
      </w:r>
    </w:p>
    <w:p>
      <w:pPr>
        <w:pStyle w:val="ListBullet"/>
        <w:spacing w:line="360" w:lineRule="auto" w:after="80" w:before="0"/>
        <w:jc w:val="both"/>
      </w:pPr>
      <w:r>
        <w:rPr>
          <w:rFonts w:ascii="Times New Roman" w:hAnsi="Times New Roman"/>
          <w:b/>
          <w:sz w:val="24"/>
        </w:rPr>
        <w:t xml:space="preserve">3. Extreme Spatial Sparsity &amp; Spatial Generalization: </w:t>
      </w:r>
      <w:r>
        <w:rPr>
          <w:rFonts w:ascii="Times New Roman" w:hAnsi="Times New Roman"/>
          <w:sz w:val="24"/>
        </w:rPr>
        <w:t>To manage testing volume, governmental testing agencies collect composite samples at a sparse grid resolution of 2.5 hectares for irrigated land and 10 hectares for rainfed land. However, soil properties exhibit pronounced spatial autocorrelation and micro-heterogeneity across distances as small as 10 to 30 meters due to local micro-topography, historic manure heaps, and drainage patterns. A single composite sample generalized across 10 hectares obscures intra-field variability, resulting in localized over-fertilization in fertile zones and under-fertilization in degraded patches.</w:t>
      </w:r>
    </w:p>
    <w:p>
      <w:pPr>
        <w:pStyle w:val="ListBullet"/>
        <w:spacing w:line="360" w:lineRule="auto" w:after="80" w:before="0"/>
        <w:jc w:val="both"/>
      </w:pPr>
      <w:r>
        <w:rPr>
          <w:rFonts w:ascii="Times New Roman" w:hAnsi="Times New Roman"/>
          <w:b/>
          <w:sz w:val="24"/>
        </w:rPr>
        <w:t xml:space="preserve">4. Economic Costs and Lack of Temporal Continuity: </w:t>
      </w:r>
      <w:r>
        <w:rPr>
          <w:rFonts w:ascii="Times New Roman" w:hAnsi="Times New Roman"/>
          <w:sz w:val="24"/>
        </w:rPr>
        <w:t>The economic cost of collecting, transporting, chemically processing, and reporting a single soil sample ranges from ₹250 to ₹500 (subsidized by state exchequers). With over 140 million agricultural plots in India requiring bi-annual re-testing, the recurring fiscal expenditure exceeds billions of rupees. Under fiscal tightening and administrative workload, cards are often issued once every 3 to 5 years, rendering the recorded chemical values obsolete as seasonal leaching, crop harvest removal, and fertilizer applications continually alter the true nutrient profile.</w:t>
      </w:r>
    </w:p>
    <w:p>
      <w:pPr>
        <w:spacing w:before="280" w:after="120" w:line="276" w:lineRule="auto"/>
        <w:jc w:val="left"/>
      </w:pPr>
      <w:r>
        <w:rPr>
          <w:rFonts w:ascii="Times New Roman" w:hAnsi="Times New Roman"/>
          <w:b/>
          <w:color w:val="800000"/>
          <w:sz w:val="28"/>
        </w:rPr>
        <w:t>1.3 Existing Solutions (National &amp; International Landscape)</w:t>
      </w:r>
    </w:p>
    <w:p>
      <w:pPr>
        <w:spacing w:line="360" w:lineRule="auto" w:after="120" w:before="0"/>
        <w:jc w:val="both"/>
      </w:pPr>
      <w:r>
        <w:rPr>
          <w:rFonts w:ascii="Times New Roman" w:hAnsi="Times New Roman"/>
          <w:color w:val="222222"/>
          <w:sz w:val="24"/>
        </w:rPr>
        <w:t>In response to the limitations of traditional soil sampling, numerous national and international initiatives have explored digital, geophysical, and proximal sensing methodologies. A critical review of these contemporary interventions reveals both their merits and operational boundaries:</w:t>
      </w:r>
    </w:p>
    <w:p>
      <w:pPr>
        <w:spacing w:line="360" w:lineRule="auto" w:after="120" w:before="0"/>
        <w:jc w:val="both"/>
      </w:pPr>
      <w:r>
        <w:rPr>
          <w:rFonts w:ascii="Times New Roman" w:hAnsi="Times New Roman"/>
          <w:color w:val="222222"/>
          <w:sz w:val="24"/>
        </w:rPr>
        <w:t>At the national level, the Government of India's Soil Health Card (SHC) Portal acts as a centralized repository for digitized soil reports, providing farmer-level access to laboratory results. Complementing this, ISRO's Bhuvan Geo-Portal provides thematic geospatial layers depicting broad soil texture, land degradation, and watershed boundaries at 1:50,000 scale. While valuable for macro-level regional planning, these national systems do not provide farm-scale (field-level) continuous predictive surfaces. The portal remains a static database of historical point tests rather than an active, predictive remote sensing engine. In the private domain, several Indian agritech startups have introduced portable soil testing kits (e.g., IoT colorimeters and electrochemical sensor probes). While these devices reduce turnaround time to 30 minutes, they suffer from frequent sensor electrode drift, require continuous calibration against standard solutions, and still necessitate physical, destructive soil sampling at every measurement point.</w:t>
      </w:r>
    </w:p>
    <w:p>
      <w:pPr>
        <w:spacing w:line="360" w:lineRule="auto" w:after="120" w:before="0"/>
        <w:jc w:val="both"/>
      </w:pPr>
      <w:r>
        <w:rPr>
          <w:rFonts w:ascii="Times New Roman" w:hAnsi="Times New Roman"/>
          <w:color w:val="222222"/>
          <w:sz w:val="24"/>
        </w:rPr>
        <w:t>Internationally, Digital Soil Mapping (DSM) has made significant strides. The European Union's Land Use/Cover Area frame Statistical Survey (LUCAS) has established a harmonized topsoil database comprising over 45,000 points across 28 countries, combining laboratory chemistry with laboratory Visible and Near-Infrared (Vis-NIR) diffuse reflectance spectroscopy. In Africa, the Africa Soil Information Service (AfSIS) developed predictive soil property maps across sub-Saharan Africa using MODIS and Landsat imagery. Globally, the International Soil Reference and Information Centre (ISRIC) maintains SoilGrids, providing global automated soil property predictions at 250m resolution via machine learning. While groundbreaking, SoilGrids maps are static, multi-year aggregations predicting baseline physical properties (clay, silt, sand fractions, pH, bulk density) and total nitrogen, but completely fail to predict dynamic, seasonally fluctuating macronutrients such as Available Nitrogen, Olsen Phosphorus, and Exchangeable Potassium at field-level resolution.</w:t>
      </w:r>
    </w:p>
    <w:p>
      <w:pPr>
        <w:spacing w:before="280" w:after="120" w:line="276" w:lineRule="auto"/>
        <w:jc w:val="left"/>
      </w:pPr>
      <w:r>
        <w:rPr>
          <w:rFonts w:ascii="Times New Roman" w:hAnsi="Times New Roman"/>
          <w:b/>
          <w:color w:val="800000"/>
          <w:sz w:val="28"/>
        </w:rPr>
        <w:t>1.4 Advantages of Proposed Solution (Macro Level + Block Diagram)</w:t>
      </w:r>
    </w:p>
    <w:p>
      <w:pPr>
        <w:spacing w:line="360" w:lineRule="auto" w:after="120" w:before="0"/>
        <w:jc w:val="both"/>
      </w:pPr>
      <w:r>
        <w:rPr>
          <w:rFonts w:ascii="Times New Roman" w:hAnsi="Times New Roman"/>
          <w:color w:val="222222"/>
          <w:sz w:val="24"/>
        </w:rPr>
        <w:t>The proposed AgriCare pipeline revolutionizes soil nutrient assessment by transforming it from a physical, destructive, point-sampling paradigm into a continuous, cloud-native, multispectral remote sensing and machine learning architecture. By fusing multi-temporal Sentinel-2 optical imagery with topographic, hydrometeorological, and pedological covariates, the system provides transformative advantages at the macro agronomic level:</w:t>
      </w:r>
    </w:p>
    <w:p>
      <w:pPr>
        <w:pStyle w:val="ListBullet"/>
        <w:spacing w:line="360" w:lineRule="auto" w:after="80" w:before="0"/>
        <w:jc w:val="both"/>
      </w:pPr>
      <w:r>
        <w:rPr>
          <w:rFonts w:ascii="Times New Roman" w:hAnsi="Times New Roman"/>
          <w:b/>
          <w:sz w:val="24"/>
        </w:rPr>
        <w:t xml:space="preserve">1. Zero Marginal Cost Scaling: </w:t>
      </w:r>
      <w:r>
        <w:rPr>
          <w:rFonts w:ascii="Times New Roman" w:hAnsi="Times New Roman"/>
          <w:sz w:val="24"/>
        </w:rPr>
        <w:t>Once the hybrid machine learning models are trained and calibrated against baseline ground-truth soil points, predictions across thousands of surrounding agricultural holdings can be generated instantaneously using free, publicly accessible European Space Agency (ESA) Copernicus Sentinel-2 satellite data, achieving zero marginal cost per farm.</w:t>
      </w:r>
    </w:p>
    <w:p>
      <w:pPr>
        <w:pStyle w:val="ListBullet"/>
        <w:spacing w:line="360" w:lineRule="auto" w:after="80" w:before="0"/>
        <w:jc w:val="both"/>
      </w:pPr>
      <w:r>
        <w:rPr>
          <w:rFonts w:ascii="Times New Roman" w:hAnsi="Times New Roman"/>
          <w:b/>
          <w:sz w:val="24"/>
        </w:rPr>
        <w:t xml:space="preserve">2. High Spatial Resolution (10-20m Pixel Grid): </w:t>
      </w:r>
      <w:r>
        <w:rPr>
          <w:rFonts w:ascii="Times New Roman" w:hAnsi="Times New Roman"/>
          <w:sz w:val="24"/>
        </w:rPr>
        <w:t>Sentinel-2 provides high spatial resolution (10m in visible and NIR bands B2, B3, B4, B8; 20m in Red-Edge and SWIR bands B5, B6, B7, B8A, B11, B12), capturing subtle intra-field variations across smallholder parcels (often &lt; 1 to 2 acres) that broad-scale products completely miss.</w:t>
      </w:r>
    </w:p>
    <w:p>
      <w:pPr>
        <w:pStyle w:val="ListBullet"/>
        <w:spacing w:line="360" w:lineRule="auto" w:after="80" w:before="0"/>
        <w:jc w:val="both"/>
      </w:pPr>
      <w:r>
        <w:rPr>
          <w:rFonts w:ascii="Times New Roman" w:hAnsi="Times New Roman"/>
          <w:b/>
          <w:sz w:val="24"/>
        </w:rPr>
        <w:t xml:space="preserve">3. High-Frequency Temporal Revisit: </w:t>
      </w:r>
      <w:r>
        <w:rPr>
          <w:rFonts w:ascii="Times New Roman" w:hAnsi="Times New Roman"/>
          <w:sz w:val="24"/>
        </w:rPr>
        <w:t>The European Space Agency operates twin satellites (Sentinel-2A and 2B) providing a combined 5-day orbital revisit frequency. AgriCare exploits this by extracting automated bare-soil composites during the critical pre-sowing window (April–June) each year, enabling annual, pre-season nutrient updates without touching the soil.</w:t>
      </w:r>
    </w:p>
    <w:p>
      <w:pPr>
        <w:pStyle w:val="ListBullet"/>
        <w:spacing w:line="360" w:lineRule="auto" w:after="80" w:before="0"/>
        <w:jc w:val="both"/>
      </w:pPr>
      <w:r>
        <w:rPr>
          <w:rFonts w:ascii="Times New Roman" w:hAnsi="Times New Roman"/>
          <w:b/>
          <w:sz w:val="24"/>
        </w:rPr>
        <w:t xml:space="preserve">4. Multi-Source Environmental Synthesis: </w:t>
      </w:r>
      <w:r>
        <w:rPr>
          <w:rFonts w:ascii="Times New Roman" w:hAnsi="Times New Roman"/>
          <w:sz w:val="24"/>
        </w:rPr>
        <w:t>Unlike purely optical models that fail when bare-soil reflectance is masked, AgriCare synthesizes the complete SCORPAN framework (Soil, Climate, Organisms, Relief, Parent material, Age, Position), ingesting 47 derived features including SRTM geomorphometry, ERA5-Land moisture/temperature, and ISRIC SoilGrids texture.</w:t>
      </w:r>
    </w:p>
    <w:p>
      <w:pPr>
        <w:pStyle w:val="ListBullet"/>
        <w:spacing w:line="360" w:lineRule="auto" w:after="80" w:before="0"/>
        <w:jc w:val="both"/>
      </w:pPr>
      <w:r>
        <w:rPr>
          <w:rFonts w:ascii="Times New Roman" w:hAnsi="Times New Roman"/>
          <w:b/>
          <w:sz w:val="24"/>
        </w:rPr>
        <w:t xml:space="preserve">5. Cross-Season Domain Adaptation: </w:t>
      </w:r>
      <w:r>
        <w:rPr>
          <w:rFonts w:ascii="Times New Roman" w:hAnsi="Times New Roman"/>
          <w:sz w:val="24"/>
        </w:rPr>
        <w:t>A dedicated Few-Shot Seasonal Calibration engine neutralizes inter-annual monsoon variance and atmospheric drift using only N=25 anchor points, unlocking seamless cross-cycle transferability to future agricultural years.</w:t>
      </w:r>
    </w:p>
    <w:p>
      <w:pPr>
        <w:spacing w:line="360" w:lineRule="auto" w:after="120" w:before="0"/>
        <w:jc w:val="both"/>
      </w:pPr>
      <w:r>
        <w:rPr>
          <w:rFonts w:ascii="Times New Roman" w:hAnsi="Times New Roman"/>
          <w:color w:val="222222"/>
          <w:sz w:val="24"/>
        </w:rPr>
        <w:t>Figure 1.1 illustrates the high-level macro system architecture of the AgriCare pipeline, tracing the operational dataflow from raw laboratory card digitization, satellite data acquisition via Google Earth Engine, SCORPAN feature synthesis, Dual-Head machine learning inference, and final ANGRAU agronomic fertilizer prescription generation.</w:t>
      </w:r>
    </w:p>
    <w:p>
      <w:pPr>
        <w:spacing w:before="200" w:after="80"/>
        <w:jc w:val="center"/>
      </w:pPr>
      <w:r>
        <w:drawing>
          <wp:inline xmlns:a="http://schemas.openxmlformats.org/drawingml/2006/main" xmlns:pic="http://schemas.openxmlformats.org/drawingml/2006/picture">
            <wp:extent cx="5669280" cy="3049025"/>
            <wp:docPr id="1" name="Picture 1"/>
            <wp:cNvGraphicFramePr>
              <a:graphicFrameLocks noChangeAspect="1"/>
            </wp:cNvGraphicFramePr>
            <a:graphic>
              <a:graphicData uri="http://schemas.openxmlformats.org/drawingml/2006/picture">
                <pic:pic>
                  <pic:nvPicPr>
                    <pic:cNvPr id="0" name="system_architecture_block_diagram.png"/>
                    <pic:cNvPicPr/>
                  </pic:nvPicPr>
                  <pic:blipFill>
                    <a:blip r:embed="rId11"/>
                    <a:stretch>
                      <a:fillRect/>
                    </a:stretch>
                  </pic:blipFill>
                  <pic:spPr>
                    <a:xfrm>
                      <a:off x="0" y="0"/>
                      <a:ext cx="5669280" cy="3049025"/>
                    </a:xfrm>
                    <a:prstGeom prst="rect"/>
                  </pic:spPr>
                </pic:pic>
              </a:graphicData>
            </a:graphic>
          </wp:inline>
        </w:drawing>
      </w:r>
    </w:p>
    <w:p>
      <w:pPr>
        <w:spacing w:before="40" w:after="240"/>
        <w:jc w:val="center"/>
      </w:pPr>
      <w:r>
        <w:rPr>
          <w:rFonts w:ascii="Times New Roman" w:hAnsi="Times New Roman"/>
          <w:b/>
          <w:i/>
          <w:color w:val="3C3C3C"/>
          <w:sz w:val="21"/>
        </w:rPr>
        <w:t>Figure 1.1: Macro-Level End-to-End System Architecture Block Diagram of the AgriCare Pipeline</w:t>
      </w:r>
    </w:p>
    <w:p>
      <w:pPr>
        <w:spacing w:before="280" w:after="120" w:line="276" w:lineRule="auto"/>
        <w:jc w:val="left"/>
      </w:pPr>
      <w:r>
        <w:rPr>
          <w:rFonts w:ascii="Times New Roman" w:hAnsi="Times New Roman"/>
          <w:b/>
          <w:color w:val="800000"/>
          <w:sz w:val="28"/>
        </w:rPr>
        <w:t>1.5 Technical Summary of Pipeline Architecture</w:t>
      </w:r>
    </w:p>
    <w:p>
      <w:pPr>
        <w:spacing w:line="360" w:lineRule="auto" w:after="120" w:before="0"/>
        <w:jc w:val="both"/>
      </w:pPr>
      <w:r>
        <w:rPr>
          <w:rFonts w:ascii="Times New Roman" w:hAnsi="Times New Roman"/>
          <w:color w:val="222222"/>
          <w:sz w:val="24"/>
        </w:rPr>
        <w:t>Technically, the AgriCare pipeline is structured across five sequential, interdependent operational modules designed for rigorous reproducibility, high throughput, and robust generalization:</w:t>
      </w:r>
    </w:p>
    <w:p>
      <w:pPr>
        <w:spacing w:line="360" w:lineRule="auto" w:after="120" w:before="0"/>
        <w:jc w:val="both"/>
      </w:pPr>
      <w:r>
        <w:rPr>
          <w:rFonts w:ascii="Times New Roman" w:hAnsi="Times New Roman"/>
          <w:color w:val="222222"/>
          <w:sz w:val="24"/>
        </w:rPr>
        <w:t>In Stage 1 (Data Digitization), 909 ground-truth Soil Health Card laboratory reports from SPSR Nellore District are ingested. A high-precision computer vision pipeline combining EasyOCR optical character recognition and OpenCV bounding-box geometry parses multilingual, semi-structured scanned cards, extracting geo-coordinates (latitude/longitude) and measured soil parameters (Available N, P, K in kg/ha, and Organic Carbon %). Rigorous automated boundary filters and regex validators eliminate corrupted cards, generating an authenticated ground-truth dataset.</w:t>
      </w:r>
    </w:p>
    <w:p>
      <w:pPr>
        <w:spacing w:line="360" w:lineRule="auto" w:after="120" w:before="0"/>
        <w:jc w:val="both"/>
      </w:pPr>
      <w:r>
        <w:rPr>
          <w:rFonts w:ascii="Times New Roman" w:hAnsi="Times New Roman"/>
          <w:color w:val="222222"/>
          <w:sz w:val="24"/>
        </w:rPr>
        <w:t>In Stage 2 (Satellite &amp; Covariate Extraction), the geo-coordinates are ingested into Google Earth Engine (GEE). A specialized bare-soil temporal compositing algorithm filters Sentinel-2 Level-2A surface reflectance imagery across the dry pre-sowing window (April 1 to June 30), applying cloud-masking (QA60 and SCL flags), Bare Soil Index (BSI &gt; 0.05), and Normalized Difference Vegetation Index (NDVI &lt; 0.25) thresholds. Concurrently, environmental covariates are sampled: SRTM 30m DEM yields elevation, slope, aspect, and Topographic Wetness Index (TWI); ERA5-Land reanalysis provides 0-7cm soil moisture, soil temperature, surface temperature, precipitation, and vapor pressure deficit (VPD); and ISRIC SoilGrids yields clay, silt, and sand fractions.</w:t>
      </w:r>
    </w:p>
    <w:p>
      <w:pPr>
        <w:spacing w:line="360" w:lineRule="auto" w:after="120" w:before="0"/>
        <w:jc w:val="both"/>
      </w:pPr>
      <w:r>
        <w:rPr>
          <w:rFonts w:ascii="Times New Roman" w:hAnsi="Times New Roman"/>
          <w:color w:val="222222"/>
          <w:sz w:val="24"/>
        </w:rPr>
        <w:t>In Stage 3 (Feature Engineering &amp; Physical Interactions), 39 baseline covariates are expanded into a 47-dimensional feature space. This includes 8 remote sensing spectral indices (NDVI, NDRE, EVI, SAVI, BSI, Clay Ratio, OC Index, and Cumulative Integrated NDVI), non-linear spatial polynomials, and 8 cross-domain physical interaction features (such as Clay × Soil Moisture, Temperature × VPD, and Clay × Elevation) to capture non-linear hydrological and biogeochemical relationships.</w:t>
      </w:r>
    </w:p>
    <w:p>
      <w:pPr>
        <w:spacing w:line="360" w:lineRule="auto" w:after="120" w:before="0"/>
        <w:jc w:val="both"/>
      </w:pPr>
      <w:r>
        <w:rPr>
          <w:rFonts w:ascii="Times New Roman" w:hAnsi="Times New Roman"/>
          <w:color w:val="222222"/>
          <w:sz w:val="24"/>
        </w:rPr>
        <w:t>In Stage 4 (Dual-Head Machine Learning &amp; Few-Shot Adaptation), models are trained using 5-fold cross-validation. For continuous nutrient regression, a hybrid VotingRegressor combining 70% ExtraTreesRegressor and 30% GradientBoostingRegressor is deployed, incorporating log1p skewness corrections for highly skewed targets (P and K). For statutory categorization, a dedicated ExtraTreesClassifier maps nutrients into ICAR fertility classes (Low, Medium, High) with calibrated confidence probabilities. A Few-Shot Seasonal Calibration engine uses N=25 anchor points to eliminate inter-annual environmental drift.</w:t>
      </w:r>
    </w:p>
    <w:p>
      <w:pPr>
        <w:spacing w:line="360" w:lineRule="auto" w:after="120" w:before="0"/>
        <w:jc w:val="both"/>
      </w:pPr>
      <w:r>
        <w:rPr>
          <w:rFonts w:ascii="Times New Roman" w:hAnsi="Times New Roman"/>
          <w:color w:val="222222"/>
          <w:sz w:val="24"/>
        </w:rPr>
        <w:t>In Stage 5 (Inference &amp; Agronomic Advisory), predictions are ingested by an automated ANGRAU Soil Test Crop Response (STCR) engine. The engine computes customized fertilizer doses (Urea, DAP, and Muriate of Potash in kg/acre) tailored to specific crops (Paddy, Cotton, Maize, Groundnut), applying statutory ±25% fertilizer adjustments based on ICAR fertility classes.</w:t>
      </w:r>
    </w:p>
    <w:p>
      <w:pPr>
        <w:spacing w:before="280" w:after="120" w:line="276" w:lineRule="auto"/>
        <w:jc w:val="left"/>
      </w:pPr>
      <w:r>
        <w:rPr>
          <w:rFonts w:ascii="Times New Roman" w:hAnsi="Times New Roman"/>
          <w:b/>
          <w:color w:val="800000"/>
          <w:sz w:val="28"/>
        </w:rPr>
        <w:t>1.6 Problem Statement</w:t>
      </w:r>
    </w:p>
    <w:p>
      <w:pPr>
        <w:spacing w:line="360" w:lineRule="auto" w:after="120" w:before="0"/>
        <w:jc w:val="both"/>
      </w:pPr>
      <w:r>
        <w:rPr>
          <w:rFonts w:ascii="Times New Roman" w:hAnsi="Times New Roman"/>
          <w:i/>
          <w:sz w:val="24"/>
        </w:rPr>
        <w:t xml:space="preserve">Formal Academic Formulation: </w:t>
      </w:r>
      <w:r>
        <w:rPr>
          <w:rFonts w:ascii="Times New Roman" w:hAnsi="Times New Roman"/>
          <w:color w:val="222222"/>
          <w:sz w:val="24"/>
        </w:rPr>
        <w:t>Smallholder agriculture in SPSR Nellore District, Andhra Pradesh, suffers from severe soil degradation, chronic nutrient imbalances, and organic carbon depletion caused by decades of uniform, uncalibrated synthetic fertilizer application. The existing institutional soil evaluation framework relies exclusively on manual, destructive field sampling and centralized wet-chemistry laboratory testing, which incurs prohibitive logistical expenses, suffers prolonged turnaround delays of 3 to 8 weeks, and yields an excessively sparse spatial sampling density that fails to capture critical intra-field soil heterogeneity. Furthermore, dynamic environmental drift and seasonal monsoon variations render multi-year digital soil models unreliable across consecutive crop cycles. There is an urgent scientific and agronomic need for an automated, zero-marginal-cost digital soil mapping pipeline capable of ingesting multi-temporal Sentinel-2 multispectral satellite imagery and multi-source SCORPAN covariates, predicting continuous N-P-K-OC concentrations with calibrated ICAR fertility classifications, adapting across seasons via few-shot learning, and translating predictions into actionable, crop-specific precision fertilizer advisories.</w:t>
      </w:r>
    </w:p>
    <w:p>
      <w:pPr>
        <w:spacing w:before="280" w:after="120" w:line="276" w:lineRule="auto"/>
        <w:jc w:val="left"/>
      </w:pPr>
      <w:r>
        <w:rPr>
          <w:rFonts w:ascii="Times New Roman" w:hAnsi="Times New Roman"/>
          <w:b/>
          <w:color w:val="800000"/>
          <w:sz w:val="28"/>
        </w:rPr>
        <w:t>1.7 Research Objectives</w:t>
      </w:r>
    </w:p>
    <w:p>
      <w:pPr>
        <w:spacing w:line="360" w:lineRule="auto" w:after="120" w:before="0"/>
        <w:jc w:val="both"/>
      </w:pPr>
      <w:r>
        <w:rPr>
          <w:rFonts w:ascii="Times New Roman" w:hAnsi="Times New Roman"/>
          <w:color w:val="222222"/>
          <w:sz w:val="24"/>
        </w:rPr>
        <w:t>To address the defined problem statement, the investigation is structured around six specific research objectives:</w:t>
      </w:r>
    </w:p>
    <w:p>
      <w:pPr>
        <w:pStyle w:val="ListBullet"/>
        <w:spacing w:line="360" w:lineRule="auto" w:after="80" w:before="0"/>
        <w:jc w:val="both"/>
      </w:pPr>
      <w:r>
        <w:rPr>
          <w:rFonts w:ascii="Times New Roman" w:hAnsi="Times New Roman"/>
          <w:b/>
          <w:sz w:val="24"/>
        </w:rPr>
        <w:t xml:space="preserve">Objective 1 (RO-1: Ground-Truth Digitization): </w:t>
      </w:r>
      <w:r>
        <w:rPr>
          <w:rFonts w:ascii="Times New Roman" w:hAnsi="Times New Roman"/>
          <w:sz w:val="24"/>
        </w:rPr>
        <w:t>Develop and implement an automated computer vision parsing framework combining EasyOCR optical character recognition and OpenCV morphological bounding-box extraction to digitize, clean, and geo-reference semi-structured physical Soil Health Card laboratory reports across 46 mandals of SPSR Nellore District.</w:t>
      </w:r>
    </w:p>
    <w:p>
      <w:pPr>
        <w:pStyle w:val="ListBullet"/>
        <w:spacing w:line="360" w:lineRule="auto" w:after="80" w:before="0"/>
        <w:jc w:val="both"/>
      </w:pPr>
      <w:r>
        <w:rPr>
          <w:rFonts w:ascii="Times New Roman" w:hAnsi="Times New Roman"/>
          <w:b/>
          <w:sz w:val="24"/>
        </w:rPr>
        <w:t xml:space="preserve">Objective 2 (RO-2: Cloud Geospatial Extraction): </w:t>
      </w:r>
      <w:r>
        <w:rPr>
          <w:rFonts w:ascii="Times New Roman" w:hAnsi="Times New Roman"/>
          <w:sz w:val="24"/>
        </w:rPr>
        <w:t>Design an automated cloud geospatial ingestion pipeline on Google Earth Engine (GEE) to extract Sentinel-2 Level-2A multispectral surface reflectance (12 bands B1-B12) utilizing a multi-temporal bare-soil compositing algorithm (BSI &gt; 0.05, NDVI &lt; 0.25) across the April–June pre-sowing window, synchronized with SRTM 30m geomorphometry, ERA5-Land hydrometeorology, and ISRIC SoilGrids texture data.</w:t>
      </w:r>
    </w:p>
    <w:p>
      <w:pPr>
        <w:pStyle w:val="ListBullet"/>
        <w:spacing w:line="360" w:lineRule="auto" w:after="80" w:before="0"/>
        <w:jc w:val="both"/>
      </w:pPr>
      <w:r>
        <w:rPr>
          <w:rFonts w:ascii="Times New Roman" w:hAnsi="Times New Roman"/>
          <w:b/>
          <w:sz w:val="24"/>
        </w:rPr>
        <w:t xml:space="preserve">Objective 3 (RO-3: Feature Engineering &amp; Domain Interactions): </w:t>
      </w:r>
      <w:r>
        <w:rPr>
          <w:rFonts w:ascii="Times New Roman" w:hAnsi="Times New Roman"/>
          <w:sz w:val="24"/>
        </w:rPr>
        <w:t>Formulate and evaluate a 47-dimensional SCORPAN feature engineering framework incorporating 8 remote sensing spectral indices, topographic wetness and curvature metrics, climate reanalysis variables, and cross-domain physical interaction features (e.g., Clay × Moisture, Temperature × VPD) to capture complex biogeochemical soil processes.</w:t>
      </w:r>
    </w:p>
    <w:p>
      <w:pPr>
        <w:pStyle w:val="ListBullet"/>
        <w:spacing w:line="360" w:lineRule="auto" w:after="80" w:before="0"/>
        <w:jc w:val="both"/>
      </w:pPr>
      <w:r>
        <w:rPr>
          <w:rFonts w:ascii="Times New Roman" w:hAnsi="Times New Roman"/>
          <w:b/>
          <w:sz w:val="24"/>
        </w:rPr>
        <w:t xml:space="preserve">Objective 4 (RO-4: Dual-Head Machine Learning Architecture): </w:t>
      </w:r>
      <w:r>
        <w:rPr>
          <w:rFonts w:ascii="Times New Roman" w:hAnsi="Times New Roman"/>
          <w:sz w:val="24"/>
        </w:rPr>
        <w:t>Architect and benchmark a Dual-Head machine learning system comprising a continuous hybrid VotingRegressor (70% ExtraTrees + 30% GradientBoosting) and a dedicated 3-class ExtraTreesClassifier for ICAR fertility tier categorization (Low, Medium, High) with probabilistic confidence estimation.</w:t>
      </w:r>
    </w:p>
    <w:p>
      <w:pPr>
        <w:pStyle w:val="ListBullet"/>
        <w:spacing w:line="360" w:lineRule="auto" w:after="80" w:before="0"/>
        <w:jc w:val="both"/>
      </w:pPr>
      <w:r>
        <w:rPr>
          <w:rFonts w:ascii="Times New Roman" w:hAnsi="Times New Roman"/>
          <w:b/>
          <w:sz w:val="24"/>
        </w:rPr>
        <w:t xml:space="preserve">Objective 5 (RO-5: Few-Shot Seasonal Domain Adaptation): </w:t>
      </w:r>
      <w:r>
        <w:rPr>
          <w:rFonts w:ascii="Times New Roman" w:hAnsi="Times New Roman"/>
          <w:sz w:val="24"/>
        </w:rPr>
        <w:t>Develop a Few-Shot Seasonal Calibration algorithm that utilizes a minimal batch of anchor field samples (N=25) to neutralize inter-annual monsoon variance, soil moisture shifts, and sensor radiometric drift, enabling robust cross-cycle generalization.</w:t>
      </w:r>
    </w:p>
    <w:p>
      <w:pPr>
        <w:pStyle w:val="ListBullet"/>
        <w:spacing w:line="360" w:lineRule="auto" w:after="80" w:before="0"/>
        <w:jc w:val="both"/>
      </w:pPr>
      <w:r>
        <w:rPr>
          <w:rFonts w:ascii="Times New Roman" w:hAnsi="Times New Roman"/>
          <w:b/>
          <w:sz w:val="24"/>
        </w:rPr>
        <w:t xml:space="preserve">Objective 6 (RO-6: Precision Agronomic Advisory Deployment): </w:t>
      </w:r>
      <w:r>
        <w:rPr>
          <w:rFonts w:ascii="Times New Roman" w:hAnsi="Times New Roman"/>
          <w:sz w:val="24"/>
        </w:rPr>
        <w:t>Integrate predictive model outputs with Acharya N.G. Ranga Agricultural University (ANGRAU) Soil Test Crop Response (STCR) precision fertilizer equations to generate localized, plot-specific Urea, DAP, and MOP recommendations (kg/acre) for local crops.</w:t>
      </w:r>
    </w:p>
    <w:p>
      <w:pPr>
        <w:spacing w:before="280" w:after="120" w:line="276" w:lineRule="auto"/>
        <w:jc w:val="left"/>
      </w:pPr>
      <w:r>
        <w:rPr>
          <w:rFonts w:ascii="Times New Roman" w:hAnsi="Times New Roman"/>
          <w:b/>
          <w:color w:val="800000"/>
          <w:sz w:val="28"/>
        </w:rPr>
        <w:t>1.8 Scope of the Solution</w:t>
      </w:r>
    </w:p>
    <w:p>
      <w:pPr>
        <w:spacing w:line="360" w:lineRule="auto" w:after="120" w:before="0"/>
        <w:jc w:val="both"/>
      </w:pPr>
      <w:r>
        <w:rPr>
          <w:rFonts w:ascii="Times New Roman" w:hAnsi="Times New Roman"/>
          <w:color w:val="222222"/>
          <w:sz w:val="24"/>
        </w:rPr>
        <w:t>The operational, geographical, and algorithmic boundaries of this research project are defined as follows:</w:t>
      </w:r>
    </w:p>
    <w:p>
      <w:pPr>
        <w:pStyle w:val="ListBullet"/>
        <w:spacing w:line="360" w:lineRule="auto" w:after="80" w:before="0"/>
        <w:jc w:val="both"/>
      </w:pPr>
      <w:r>
        <w:rPr>
          <w:rFonts w:ascii="Times New Roman" w:hAnsi="Times New Roman"/>
          <w:b/>
          <w:sz w:val="24"/>
        </w:rPr>
        <w:t xml:space="preserve">• Spatial Boundaries: </w:t>
      </w:r>
      <w:r>
        <w:rPr>
          <w:rFonts w:ascii="Times New Roman" w:hAnsi="Times New Roman"/>
          <w:sz w:val="24"/>
        </w:rPr>
        <w:t>The primary study domain is strictly bounded within SPSR Nellore District, Andhra Pradesh, India, spanning latitudes 13°30' N to 15°05' N and longitudes 79°05' E to 80°15' E, covering approximately 13,076 km² across 46 mandals.</w:t>
      </w:r>
    </w:p>
    <w:p>
      <w:pPr>
        <w:pStyle w:val="ListBullet"/>
        <w:spacing w:line="360" w:lineRule="auto" w:after="80" w:before="0"/>
        <w:jc w:val="both"/>
      </w:pPr>
      <w:r>
        <w:rPr>
          <w:rFonts w:ascii="Times New Roman" w:hAnsi="Times New Roman"/>
          <w:b/>
          <w:sz w:val="24"/>
        </w:rPr>
        <w:t xml:space="preserve">• Target Chemical Parameters: </w:t>
      </w:r>
      <w:r>
        <w:rPr>
          <w:rFonts w:ascii="Times New Roman" w:hAnsi="Times New Roman"/>
          <w:sz w:val="24"/>
        </w:rPr>
        <w:t>The modeling pipeline focuses on four fundamental soil fertility indicators: Available Nitrogen (N in kg/ha), Available Phosphorus (P in kg/ha, Olsen extraction), Available Potassium (K in kg/ha, Ammonium Acetate extraction), and Soil Organic Carbon (OC in percentage, Walkley-Black method). Secondary nutrients (S, Ca, Mg) and micronutrients (Zn, Fe, Cu, Mn, B) are outside the current primary modeling scope but designated for future expansion.</w:t>
      </w:r>
    </w:p>
    <w:p>
      <w:pPr>
        <w:pStyle w:val="ListBullet"/>
        <w:spacing w:line="360" w:lineRule="auto" w:after="80" w:before="0"/>
        <w:jc w:val="both"/>
      </w:pPr>
      <w:r>
        <w:rPr>
          <w:rFonts w:ascii="Times New Roman" w:hAnsi="Times New Roman"/>
          <w:b/>
          <w:sz w:val="24"/>
        </w:rPr>
        <w:t xml:space="preserve">• Satellite Data Ingestion: </w:t>
      </w:r>
      <w:r>
        <w:rPr>
          <w:rFonts w:ascii="Times New Roman" w:hAnsi="Times New Roman"/>
          <w:sz w:val="24"/>
        </w:rPr>
        <w:t>The remote sensing extraction is calibrated against multi-year optical data from the Copernicus Sentinel-2 MSI instrument (revisit period 5 days, spatial resolution 10-20m). Optical bare-soil compositing is restricted to the cloud-minimized dry summer pre-sowing window (April 1 to June 30) of each agricultural cycle.</w:t>
      </w:r>
    </w:p>
    <w:p>
      <w:pPr>
        <w:pStyle w:val="ListBullet"/>
        <w:spacing w:line="360" w:lineRule="auto" w:after="80" w:before="0"/>
        <w:jc w:val="both"/>
      </w:pPr>
      <w:r>
        <w:rPr>
          <w:rFonts w:ascii="Times New Roman" w:hAnsi="Times New Roman"/>
          <w:b/>
          <w:sz w:val="24"/>
        </w:rPr>
        <w:t xml:space="preserve">• Agronomic Recommendations: </w:t>
      </w:r>
      <w:r>
        <w:rPr>
          <w:rFonts w:ascii="Times New Roman" w:hAnsi="Times New Roman"/>
          <w:sz w:val="24"/>
        </w:rPr>
        <w:t>The agronomic advisory engine is specifically tailored to regional cropping systems prevalent in SPSR Nellore, including Paddy (submerged deltaic system), Maize, Cotton, and Groundnut, parameterized according to official ANGRAU guidelines.</w:t>
      </w:r>
    </w:p>
    <w:p>
      <w:pPr>
        <w:spacing w:before="280" w:after="120" w:line="276" w:lineRule="auto"/>
        <w:jc w:val="left"/>
      </w:pPr>
      <w:r>
        <w:rPr>
          <w:rFonts w:ascii="Times New Roman" w:hAnsi="Times New Roman"/>
          <w:b/>
          <w:color w:val="800000"/>
          <w:sz w:val="28"/>
        </w:rPr>
        <w:t>1.9 Primary Research Contributions</w:t>
      </w:r>
    </w:p>
    <w:p>
      <w:pPr>
        <w:spacing w:line="360" w:lineRule="auto" w:after="120" w:before="0"/>
        <w:jc w:val="both"/>
      </w:pPr>
      <w:r>
        <w:rPr>
          <w:rFonts w:ascii="Times New Roman" w:hAnsi="Times New Roman"/>
          <w:color w:val="222222"/>
          <w:sz w:val="24"/>
        </w:rPr>
        <w:t>This project delivers five novel scientific, technical, and methodological contributions to the field of Digital Soil Mapping:</w:t>
      </w:r>
    </w:p>
    <w:p>
      <w:pPr>
        <w:pStyle w:val="ListBullet"/>
        <w:spacing w:line="360" w:lineRule="auto" w:after="80" w:before="0"/>
        <w:jc w:val="both"/>
      </w:pPr>
      <w:r>
        <w:rPr>
          <w:rFonts w:ascii="Times New Roman" w:hAnsi="Times New Roman"/>
          <w:b/>
          <w:sz w:val="24"/>
        </w:rPr>
        <w:t xml:space="preserve">1. Automated Ground-Truth Digitization Pipeline: </w:t>
      </w:r>
      <w:r>
        <w:rPr>
          <w:rFonts w:ascii="Times New Roman" w:hAnsi="Times New Roman"/>
          <w:sz w:val="24"/>
        </w:rPr>
        <w:t>Designed and validated an automated computer vision bounding-box parsing engine using EasyOCR that digitizes physical, semi-structured Indian Soil Health Cards into analysis-ready spatial datasets, eliminating manual data-entry errors.</w:t>
      </w:r>
    </w:p>
    <w:p>
      <w:pPr>
        <w:pStyle w:val="ListBullet"/>
        <w:spacing w:line="360" w:lineRule="auto" w:after="80" w:before="0"/>
        <w:jc w:val="both"/>
      </w:pPr>
      <w:r>
        <w:rPr>
          <w:rFonts w:ascii="Times New Roman" w:hAnsi="Times New Roman"/>
          <w:b/>
          <w:sz w:val="24"/>
        </w:rPr>
        <w:t xml:space="preserve">2. Holistic Multi-Source SCORPAN Feature Architecture: </w:t>
      </w:r>
      <w:r>
        <w:rPr>
          <w:rFonts w:ascii="Times New Roman" w:hAnsi="Times New Roman"/>
          <w:sz w:val="24"/>
        </w:rPr>
        <w:t>Formulated a comprehensive 47-dimensional SCORPAN covariate framework integrating multi-temporal Sentinel-2 bare-soil reflectance, SRTM geomorphometry, ERA5-Land climate reanalysis, ISRIC texture, and 8 novel cross-domain physical interaction features that capture non-linear hydrological-biogeochemical coupling.</w:t>
      </w:r>
    </w:p>
    <w:p>
      <w:pPr>
        <w:pStyle w:val="ListBullet"/>
        <w:spacing w:line="360" w:lineRule="auto" w:after="80" w:before="0"/>
        <w:jc w:val="both"/>
      </w:pPr>
      <w:r>
        <w:rPr>
          <w:rFonts w:ascii="Times New Roman" w:hAnsi="Times New Roman"/>
          <w:b/>
          <w:sz w:val="24"/>
        </w:rPr>
        <w:t xml:space="preserve">3. High-Accuracy Dual-Head Hybrid Architecture: </w:t>
      </w:r>
      <w:r>
        <w:rPr>
          <w:rFonts w:ascii="Times New Roman" w:hAnsi="Times New Roman"/>
          <w:sz w:val="24"/>
        </w:rPr>
        <w:t>Engineered a novel Dual-Head machine learning structure pairing a continuous hybrid VotingRegressor (ExtraTrees + GradientBoosting) with dedicated ICAR ExtraTreesClassifiers, delivering simultaneously high continuous precision (R² up to 0.69) and exceptional statutory class classification accuracy (up to 96.92%).</w:t>
      </w:r>
    </w:p>
    <w:p>
      <w:pPr>
        <w:pStyle w:val="ListBullet"/>
        <w:spacing w:line="360" w:lineRule="auto" w:after="80" w:before="0"/>
        <w:jc w:val="both"/>
      </w:pPr>
      <w:r>
        <w:rPr>
          <w:rFonts w:ascii="Times New Roman" w:hAnsi="Times New Roman"/>
          <w:b/>
          <w:sz w:val="24"/>
        </w:rPr>
        <w:t xml:space="preserve">4. Few-Shot Domain Adaptation for Cross-Cycle Drift: </w:t>
      </w:r>
      <w:r>
        <w:rPr>
          <w:rFonts w:ascii="Times New Roman" w:hAnsi="Times New Roman"/>
          <w:sz w:val="24"/>
        </w:rPr>
        <w:t>Pioneered an empirical Few-Shot Seasonal Calibration methodology requiring only N=25 anchor soil points to adapt pre-trained models to unseen agricultural seasons, effectively eliminating inter-annual monsoon and sensor drift.</w:t>
      </w:r>
    </w:p>
    <w:p>
      <w:pPr>
        <w:pStyle w:val="ListBullet"/>
        <w:spacing w:line="360" w:lineRule="auto" w:after="80" w:before="0"/>
        <w:jc w:val="both"/>
      </w:pPr>
      <w:r>
        <w:rPr>
          <w:rFonts w:ascii="Times New Roman" w:hAnsi="Times New Roman"/>
          <w:b/>
          <w:sz w:val="24"/>
        </w:rPr>
        <w:t xml:space="preserve">5. End-to-End Precision Agronomic Advisory Engine: </w:t>
      </w:r>
      <w:r>
        <w:rPr>
          <w:rFonts w:ascii="Times New Roman" w:hAnsi="Times New Roman"/>
          <w:sz w:val="24"/>
        </w:rPr>
        <w:t>Implemented an automated end-to-end agronomic decision-support system translating multi-spectral satellite imagery into actionable, plot-specific ANGRAU fertilizer recommendations (Urea, DAP, MOP in kg/acre), providing smallholder farmers with zero-marginal-cost precision advisories.</w:t>
      </w:r>
    </w:p>
    <w:p>
      <w:pPr>
        <w:spacing w:before="280" w:after="120" w:line="276" w:lineRule="auto"/>
        <w:jc w:val="left"/>
      </w:pPr>
      <w:r>
        <w:rPr>
          <w:rFonts w:ascii="Times New Roman" w:hAnsi="Times New Roman"/>
          <w:b/>
          <w:color w:val="800000"/>
          <w:sz w:val="28"/>
        </w:rPr>
        <w:t>1.10 Section Summary</w:t>
      </w:r>
    </w:p>
    <w:p>
      <w:pPr>
        <w:spacing w:line="360" w:lineRule="auto" w:after="120" w:before="0"/>
        <w:jc w:val="both"/>
      </w:pPr>
      <w:r>
        <w:rPr>
          <w:rFonts w:ascii="Times New Roman" w:hAnsi="Times New Roman"/>
          <w:color w:val="222222"/>
          <w:sz w:val="24"/>
        </w:rPr>
        <w:t>Chapter 1 has established the foundational motivation, agronomic challenges, and technical objectives of the AgriCare project. The chapter detailed the critical imbalances in Indian soil fertility management, the logistical and economic impediments of traditional wet-chemistry testing, and the transformative potential of combining Sentinel-2 multispectral remote sensing with machine learning. The formal problem statement, six targeted research objectives, scope boundaries, and five distinct scientific contributions were comprehensively articulated. The subsequent chapter provides an exhaustive, critical survey of prior literature across international journals, conference proceedings, related digital soil mapping studies, and comparative benchmark matrices.</w:t>
      </w:r>
    </w:p>
    <w:p>
      <w:r>
        <w:br w:type="page"/>
      </w:r>
    </w:p>
    <w:p>
      <w:pPr>
        <w:spacing w:before="360" w:after="200" w:line="276" w:lineRule="auto"/>
        <w:jc w:val="left"/>
      </w:pPr>
      <w:r>
        <w:rPr>
          <w:rFonts w:ascii="Times New Roman" w:hAnsi="Times New Roman"/>
          <w:b/>
          <w:color w:val="1B365D"/>
          <w:sz w:val="32"/>
        </w:rPr>
        <w:t>CHAPTER 2: LITERATURE SURVEY</w:t>
      </w:r>
    </w:p>
    <w:p>
      <w:pPr>
        <w:spacing w:before="280" w:after="120" w:line="276" w:lineRule="auto"/>
        <w:jc w:val="left"/>
      </w:pPr>
      <w:r>
        <w:rPr>
          <w:rFonts w:ascii="Times New Roman" w:hAnsi="Times New Roman"/>
          <w:b/>
          <w:color w:val="800000"/>
          <w:sz w:val="28"/>
        </w:rPr>
        <w:t>2.1 Evolution of Digital Soil Mapping and the SCORPAN Model</w:t>
      </w:r>
    </w:p>
    <w:p>
      <w:pPr>
        <w:spacing w:line="360" w:lineRule="auto" w:after="120" w:before="0"/>
        <w:jc w:val="both"/>
      </w:pPr>
      <w:r>
        <w:rPr>
          <w:rFonts w:ascii="Times New Roman" w:hAnsi="Times New Roman"/>
          <w:color w:val="222222"/>
          <w:sz w:val="24"/>
        </w:rPr>
        <w:t>The scientific discipline of soil mapping has undergone a profound paradigm shift over the past century. Historically, pedological cartography relied on qualitative field observations, hand-drawn polygon boundaries, and expert-driven soil taxonomic classifications pioneered by Dokuchaev (1883) and formalized by Hans Jenny in his seminal 1941 treatise, Factors of Soil Formation. Jenny mathematically formulated soil properties as a state factor equation: S = f(cl, o, r, p, a), where soil properties (S) are a function of climate (cl), organisms (o), relief/topography (r), parent material (p), and time/age (a). While conceptually groundbreaking, Jenny's equation remained descriptive due to the absence of quantitative spatial predictors and automated computational power.</w:t>
      </w:r>
    </w:p>
    <w:p>
      <w:pPr>
        <w:spacing w:line="360" w:lineRule="auto" w:after="120" w:before="0"/>
        <w:jc w:val="both"/>
      </w:pPr>
      <w:r>
        <w:rPr>
          <w:rFonts w:ascii="Times New Roman" w:hAnsi="Times New Roman"/>
          <w:color w:val="222222"/>
          <w:sz w:val="24"/>
        </w:rPr>
        <w:t>The advent of modern computing, geographic information systems (GIS), and Earth observation satellites led to the formalization of Digital Soil Mapping (DSM). In their landmark paper, McBratney, Santos, and Minasny (2003) established the empirical SCORPAN framework, defining soil property prediction as an empirical spatial inference function: S = f(s, c, o, r, p, a, n), where soil attributes are modeled using prior soil knowledge (s), climatic reanalysis (c), vegetation and land cover organisms (o), relief and digital elevation geomorphometry (r), parent lithology (p), pedological age (a), and explicit spatial coordinates or geographic position (n). The SCORPAN formulation transformed soil science into a data-driven quantitative discipline, enabling the integration of multispectral satellite reflectance and machine learning.</w:t>
      </w:r>
    </w:p>
    <w:p>
      <w:pPr>
        <w:spacing w:before="280" w:after="120" w:line="276" w:lineRule="auto"/>
        <w:jc w:val="left"/>
      </w:pPr>
      <w:r>
        <w:rPr>
          <w:rFonts w:ascii="Times New Roman" w:hAnsi="Times New Roman"/>
          <w:b/>
          <w:color w:val="800000"/>
          <w:sz w:val="28"/>
        </w:rPr>
        <w:t>2.2 Comprehensive Review of 15 Peer-Reviewed Journals</w:t>
      </w:r>
    </w:p>
    <w:p>
      <w:pPr>
        <w:spacing w:before="200" w:after="80" w:line="276" w:lineRule="auto"/>
        <w:jc w:val="left"/>
      </w:pPr>
      <w:r>
        <w:rPr>
          <w:rFonts w:ascii="Times New Roman" w:hAnsi="Times New Roman"/>
          <w:b/>
          <w:color w:val="282828"/>
          <w:sz w:val="25"/>
        </w:rPr>
        <w:t>1. Suleymanov et al. (2025) - [Base Paper]</w:t>
      </w:r>
    </w:p>
    <w:p>
      <w:pPr>
        <w:spacing w:line="360" w:lineRule="auto" w:after="120" w:before="0"/>
        <w:jc w:val="both"/>
      </w:pPr>
      <w:r>
        <w:rPr>
          <w:rFonts w:ascii="Times New Roman" w:hAnsi="Times New Roman"/>
          <w:i/>
          <w:sz w:val="24"/>
        </w:rPr>
        <w:t xml:space="preserve">Citation: </w:t>
      </w:r>
      <w:r>
        <w:rPr>
          <w:rFonts w:ascii="Times New Roman" w:hAnsi="Times New Roman"/>
          <w:color w:val="222222"/>
          <w:sz w:val="24"/>
        </w:rPr>
        <w:t>Interpretable Machine Learning and Remote Sensing Data Reveal Soil Biogeochemistry Patterns in Agricultural Systems (Land, MDPI).</w:t>
      </w:r>
    </w:p>
    <w:p>
      <w:pPr>
        <w:spacing w:line="360" w:lineRule="auto" w:after="120" w:before="0"/>
        <w:jc w:val="both"/>
      </w:pPr>
      <w:r>
        <w:rPr>
          <w:rFonts w:ascii="Times New Roman" w:hAnsi="Times New Roman"/>
          <w:color w:val="222222"/>
          <w:sz w:val="24"/>
        </w:rPr>
        <w:t>The authors developed an interpretable machine learning framework utilizing multi-temporal remote sensing imagery and environmental covariates to model soil biogeochemical patterns across 350 agricultural plots in the southern Ural foothills. The study deployed Random Forest and Gradient Boosting algorithms to predict soil organic matter, total nitrogen, and exchangeable bases, coupling predictions with SHAP (SHapley Additive exPlanations) to interpret non-linear environmental drivers.</w:t>
      </w:r>
    </w:p>
    <w:p>
      <w:pPr>
        <w:spacing w:line="360" w:lineRule="auto" w:after="120" w:before="0"/>
        <w:jc w:val="both"/>
      </w:pPr>
      <w:r>
        <w:rPr>
          <w:rFonts w:ascii="Times New Roman" w:hAnsi="Times New Roman"/>
          <w:b/>
          <w:color w:val="1E1E1E"/>
          <w:sz w:val="24"/>
        </w:rPr>
        <w:t xml:space="preserve">• Quantitative Findings: </w:t>
      </w:r>
      <w:r>
        <w:rPr>
          <w:rFonts w:ascii="Times New Roman" w:hAnsi="Times New Roman"/>
          <w:color w:val="222222"/>
          <w:sz w:val="24"/>
        </w:rPr>
        <w:t>Key Findings: Achieved R² values of 0.54 for organic matter and 0.48 for nitrogen using spectral indices and topographic wetness. SHAP analysis proved that shortwave infrared (SWIR) reflectance and topographic position indices were the primary explanatory drivers.</w:t>
      </w:r>
    </w:p>
    <w:p>
      <w:pPr>
        <w:spacing w:line="360" w:lineRule="auto" w:after="120" w:before="0"/>
        <w:jc w:val="both"/>
      </w:pPr>
      <w:r>
        <w:rPr>
          <w:rFonts w:ascii="Times New Roman" w:hAnsi="Times New Roman"/>
          <w:b/>
          <w:color w:val="1E1E1E"/>
          <w:sz w:val="24"/>
        </w:rPr>
        <w:t xml:space="preserve">• Critical Limitations &amp; Gaps: </w:t>
      </w:r>
      <w:r>
        <w:rPr>
          <w:rFonts w:ascii="Times New Roman" w:hAnsi="Times New Roman"/>
          <w:color w:val="222222"/>
          <w:sz w:val="24"/>
        </w:rPr>
        <w:t>Identified Gaps: The study focused strictly on total elemental nitrogen rather than plant-available macronutrients (Available N, Olsen P, Exchangeable K). Furthermore, the models were validated on a single static time slice, without addressing inter-annual climatic drift, and provided no translation into agronomic fertilizer advisory outputs.</w:t>
      </w:r>
    </w:p>
    <w:p>
      <w:pPr>
        <w:spacing w:before="200" w:after="80" w:line="276" w:lineRule="auto"/>
        <w:jc w:val="left"/>
      </w:pPr>
      <w:r>
        <w:rPr>
          <w:rFonts w:ascii="Times New Roman" w:hAnsi="Times New Roman"/>
          <w:b/>
          <w:color w:val="282828"/>
          <w:sz w:val="25"/>
        </w:rPr>
        <w:t>2. McBratney, Santos, and Minasny (2003)</w:t>
      </w:r>
    </w:p>
    <w:p>
      <w:pPr>
        <w:spacing w:line="360" w:lineRule="auto" w:after="120" w:before="0"/>
        <w:jc w:val="both"/>
      </w:pPr>
      <w:r>
        <w:rPr>
          <w:rFonts w:ascii="Times New Roman" w:hAnsi="Times New Roman"/>
          <w:i/>
          <w:sz w:val="24"/>
        </w:rPr>
        <w:t xml:space="preserve">Citation: </w:t>
      </w:r>
      <w:r>
        <w:rPr>
          <w:rFonts w:ascii="Times New Roman" w:hAnsi="Times New Roman"/>
          <w:color w:val="222222"/>
          <w:sz w:val="24"/>
        </w:rPr>
        <w:t>On Digital Soil Mapping (Geoderma, Elsevier).</w:t>
      </w:r>
    </w:p>
    <w:p>
      <w:pPr>
        <w:spacing w:line="360" w:lineRule="auto" w:after="120" w:before="0"/>
        <w:jc w:val="both"/>
      </w:pPr>
      <w:r>
        <w:rPr>
          <w:rFonts w:ascii="Times New Roman" w:hAnsi="Times New Roman"/>
          <w:color w:val="222222"/>
          <w:sz w:val="24"/>
        </w:rPr>
        <w:t>This foundational paper synthesized the theoretical, statistical, and spatial underpinnings of Digital Soil Mapping, formally introducing the SCORPAN model and spatial inference protocols.</w:t>
      </w:r>
    </w:p>
    <w:p>
      <w:pPr>
        <w:spacing w:line="360" w:lineRule="auto" w:after="120" w:before="0"/>
        <w:jc w:val="both"/>
      </w:pPr>
      <w:r>
        <w:rPr>
          <w:rFonts w:ascii="Times New Roman" w:hAnsi="Times New Roman"/>
          <w:b/>
          <w:color w:val="1E1E1E"/>
          <w:sz w:val="24"/>
        </w:rPr>
        <w:t xml:space="preserve">• Quantitative Findings: </w:t>
      </w:r>
      <w:r>
        <w:rPr>
          <w:rFonts w:ascii="Times New Roman" w:hAnsi="Times New Roman"/>
          <w:color w:val="222222"/>
          <w:sz w:val="24"/>
        </w:rPr>
        <w:t>Key Findings: Established generalized linear models, spatial regression kriging, and classification trees as core tools for quantitative soil cartography, establishing the protocol for fusing remote sensing grids with laboratory observations.</w:t>
      </w:r>
    </w:p>
    <w:p>
      <w:pPr>
        <w:spacing w:line="360" w:lineRule="auto" w:after="120" w:before="0"/>
        <w:jc w:val="both"/>
      </w:pPr>
      <w:r>
        <w:rPr>
          <w:rFonts w:ascii="Times New Roman" w:hAnsi="Times New Roman"/>
          <w:b/>
          <w:color w:val="1E1E1E"/>
          <w:sz w:val="24"/>
        </w:rPr>
        <w:t xml:space="preserve">• Critical Limitations &amp; Gaps: </w:t>
      </w:r>
      <w:r>
        <w:rPr>
          <w:rFonts w:ascii="Times New Roman" w:hAnsi="Times New Roman"/>
          <w:color w:val="222222"/>
          <w:sz w:val="24"/>
        </w:rPr>
        <w:t>Identified Gaps: The work was primarily conceptual and methodological; it predated modern high-resolution satellite constellations (Sentinel-2), cloud-native platforms (Google Earth Engine), and modern ensemble learning architectures (Extra-Trees, XGBoost).</w:t>
      </w:r>
    </w:p>
    <w:p>
      <w:pPr>
        <w:spacing w:before="200" w:after="80" w:line="276" w:lineRule="auto"/>
        <w:jc w:val="left"/>
      </w:pPr>
      <w:r>
        <w:rPr>
          <w:rFonts w:ascii="Times New Roman" w:hAnsi="Times New Roman"/>
          <w:b/>
          <w:color w:val="282828"/>
          <w:sz w:val="25"/>
        </w:rPr>
        <w:t>3. Hengl et al. (2017)</w:t>
      </w:r>
    </w:p>
    <w:p>
      <w:pPr>
        <w:spacing w:line="360" w:lineRule="auto" w:after="120" w:before="0"/>
        <w:jc w:val="both"/>
      </w:pPr>
      <w:r>
        <w:rPr>
          <w:rFonts w:ascii="Times New Roman" w:hAnsi="Times New Roman"/>
          <w:i/>
          <w:sz w:val="24"/>
        </w:rPr>
        <w:t xml:space="preserve">Citation: </w:t>
      </w:r>
      <w:r>
        <w:rPr>
          <w:rFonts w:ascii="Times New Roman" w:hAnsi="Times New Roman"/>
          <w:color w:val="222222"/>
          <w:sz w:val="24"/>
        </w:rPr>
        <w:t>SoilGrids250m: Global Automated Soil Assessment System (PLOS ONE).</w:t>
      </w:r>
    </w:p>
    <w:p>
      <w:pPr>
        <w:spacing w:line="360" w:lineRule="auto" w:after="120" w:before="0"/>
        <w:jc w:val="both"/>
      </w:pPr>
      <w:r>
        <w:rPr>
          <w:rFonts w:ascii="Times New Roman" w:hAnsi="Times New Roman"/>
          <w:color w:val="222222"/>
          <w:sz w:val="24"/>
        </w:rPr>
        <w:t>The authors developed a global automated soil mapping pipeline at 250m spatial resolution utilizing machine learning (Random Forest and Gradient Boosting) trained on ~150,000 soil profiles and 158 global remote sensing covariates.</w:t>
      </w:r>
    </w:p>
    <w:p>
      <w:pPr>
        <w:spacing w:line="360" w:lineRule="auto" w:after="120" w:before="0"/>
        <w:jc w:val="both"/>
      </w:pPr>
      <w:r>
        <w:rPr>
          <w:rFonts w:ascii="Times New Roman" w:hAnsi="Times New Roman"/>
          <w:b/>
          <w:color w:val="1E1E1E"/>
          <w:sz w:val="24"/>
        </w:rPr>
        <w:t xml:space="preserve">• Quantitative Findings: </w:t>
      </w:r>
      <w:r>
        <w:rPr>
          <w:rFonts w:ascii="Times New Roman" w:hAnsi="Times New Roman"/>
          <w:color w:val="222222"/>
          <w:sz w:val="24"/>
        </w:rPr>
        <w:t>Key Findings: Generated standardized global continuous predictions for clay, silt, sand, bulk density, pH, and organic carbon stock, achieving cross-validation R² values ranging between 0.35 and 0.58.</w:t>
      </w:r>
    </w:p>
    <w:p>
      <w:pPr>
        <w:spacing w:line="360" w:lineRule="auto" w:after="120" w:before="0"/>
        <w:jc w:val="both"/>
      </w:pPr>
      <w:r>
        <w:rPr>
          <w:rFonts w:ascii="Times New Roman" w:hAnsi="Times New Roman"/>
          <w:b/>
          <w:color w:val="1E1E1E"/>
          <w:sz w:val="24"/>
        </w:rPr>
        <w:t xml:space="preserve">• Critical Limitations &amp; Gaps: </w:t>
      </w:r>
      <w:r>
        <w:rPr>
          <w:rFonts w:ascii="Times New Roman" w:hAnsi="Times New Roman"/>
          <w:color w:val="222222"/>
          <w:sz w:val="24"/>
        </w:rPr>
        <w:t>Identified Gaps: The 250m pixel grid is excessively coarse for smallholder precision farming (where typical parcel sizes in India are &lt; 0.5 to 2.0 hectares). Additionally, SoilGrids predicts static, decadal baseline soil physical properties and does not capture dynamic seasonal fluctuations in available N, P, and K.</w:t>
      </w:r>
    </w:p>
    <w:p>
      <w:pPr>
        <w:spacing w:before="200" w:after="80" w:line="276" w:lineRule="auto"/>
        <w:jc w:val="left"/>
      </w:pPr>
      <w:r>
        <w:rPr>
          <w:rFonts w:ascii="Times New Roman" w:hAnsi="Times New Roman"/>
          <w:b/>
          <w:color w:val="282828"/>
          <w:sz w:val="25"/>
        </w:rPr>
        <w:t>4. Castaldi et al. (2019)</w:t>
      </w:r>
    </w:p>
    <w:p>
      <w:pPr>
        <w:spacing w:line="360" w:lineRule="auto" w:after="120" w:before="0"/>
        <w:jc w:val="both"/>
      </w:pPr>
      <w:r>
        <w:rPr>
          <w:rFonts w:ascii="Times New Roman" w:hAnsi="Times New Roman"/>
          <w:i/>
          <w:sz w:val="24"/>
        </w:rPr>
        <w:t xml:space="preserve">Citation: </w:t>
      </w:r>
      <w:r>
        <w:rPr>
          <w:rFonts w:ascii="Times New Roman" w:hAnsi="Times New Roman"/>
          <w:color w:val="222222"/>
          <w:sz w:val="24"/>
        </w:rPr>
        <w:t>Evaluating the Capability of Sentinel-2 for Soil Organic Carbon Assessment (Remote Sensing of Environment, Elsevier).</w:t>
      </w:r>
    </w:p>
    <w:p>
      <w:pPr>
        <w:spacing w:line="360" w:lineRule="auto" w:after="120" w:before="0"/>
        <w:jc w:val="both"/>
      </w:pPr>
      <w:r>
        <w:rPr>
          <w:rFonts w:ascii="Times New Roman" w:hAnsi="Times New Roman"/>
          <w:color w:val="222222"/>
          <w:sz w:val="24"/>
        </w:rPr>
        <w:t>Castaldi et al. investigated the capability of the European Space Agency's Copernicus Sentinel-2 MultiSpectral Instrument (MSI) to quantify Topsoil Organic Carbon (SOC) across agricultural soils in Belgium, Germany, and Luxembourg using bare-soil compositing.</w:t>
      </w:r>
    </w:p>
    <w:p>
      <w:pPr>
        <w:spacing w:line="360" w:lineRule="auto" w:after="120" w:before="0"/>
        <w:jc w:val="both"/>
      </w:pPr>
      <w:r>
        <w:rPr>
          <w:rFonts w:ascii="Times New Roman" w:hAnsi="Times New Roman"/>
          <w:b/>
          <w:color w:val="1E1E1E"/>
          <w:sz w:val="24"/>
        </w:rPr>
        <w:t xml:space="preserve">• Quantitative Findings: </w:t>
      </w:r>
      <w:r>
        <w:rPr>
          <w:rFonts w:ascii="Times New Roman" w:hAnsi="Times New Roman"/>
          <w:color w:val="222222"/>
          <w:sz w:val="24"/>
        </w:rPr>
        <w:t>Key Findings: Demonstrated that Sentinel-2 bands B4 (Red), B5 (Red Edge 1), B8A (Narrow NIR), and B11/B12 (SWIR) have strong physical absorption correlations with soil organic carbon, achieving R² = 0.52 and RMSE = 0.28% in bare agricultural fields.</w:t>
      </w:r>
    </w:p>
    <w:p>
      <w:pPr>
        <w:spacing w:line="360" w:lineRule="auto" w:after="120" w:before="0"/>
        <w:jc w:val="both"/>
      </w:pPr>
      <w:r>
        <w:rPr>
          <w:rFonts w:ascii="Times New Roman" w:hAnsi="Times New Roman"/>
          <w:b/>
          <w:color w:val="1E1E1E"/>
          <w:sz w:val="24"/>
        </w:rPr>
        <w:t xml:space="preserve">• Critical Limitations &amp; Gaps: </w:t>
      </w:r>
      <w:r>
        <w:rPr>
          <w:rFonts w:ascii="Times New Roman" w:hAnsi="Times New Roman"/>
          <w:color w:val="222222"/>
          <w:sz w:val="24"/>
        </w:rPr>
        <w:t>Identified Gaps: The investigation was restricted exclusively to Soil Organic Carbon under temperate European conditions with high organic matter baseline (&gt; 2.0%), failing to assess tropical/semi-arid soils where OC is severely depleted (&lt; 0.50%), and did not address macronutrients (N, P, K).</w:t>
      </w:r>
    </w:p>
    <w:p>
      <w:pPr>
        <w:spacing w:before="200" w:after="80" w:line="276" w:lineRule="auto"/>
        <w:jc w:val="left"/>
      </w:pPr>
      <w:r>
        <w:rPr>
          <w:rFonts w:ascii="Times New Roman" w:hAnsi="Times New Roman"/>
          <w:b/>
          <w:color w:val="282828"/>
          <w:sz w:val="25"/>
        </w:rPr>
        <w:t>5. Gholizadeh et al. (2018)</w:t>
      </w:r>
    </w:p>
    <w:p>
      <w:pPr>
        <w:spacing w:line="360" w:lineRule="auto" w:after="120" w:before="0"/>
        <w:jc w:val="both"/>
      </w:pPr>
      <w:r>
        <w:rPr>
          <w:rFonts w:ascii="Times New Roman" w:hAnsi="Times New Roman"/>
          <w:i/>
          <w:sz w:val="24"/>
        </w:rPr>
        <w:t xml:space="preserve">Citation: </w:t>
      </w:r>
      <w:r>
        <w:rPr>
          <w:rFonts w:ascii="Times New Roman" w:hAnsi="Times New Roman"/>
          <w:color w:val="222222"/>
          <w:sz w:val="24"/>
        </w:rPr>
        <w:t>Assessment of Satellite Multispectral Data for Soil Nutrient Mapping (Geoderma, Elsevier).</w:t>
      </w:r>
    </w:p>
    <w:p>
      <w:pPr>
        <w:spacing w:line="360" w:lineRule="auto" w:after="120" w:before="0"/>
        <w:jc w:val="both"/>
      </w:pPr>
      <w:r>
        <w:rPr>
          <w:rFonts w:ascii="Times New Roman" w:hAnsi="Times New Roman"/>
          <w:color w:val="222222"/>
          <w:sz w:val="24"/>
        </w:rPr>
        <w:t>The authors evaluated Landsat-8 and Sentinel-2 multispectral sensors for predicting total nitrogen, phosphorus, and potassium in intensively cultivated agricultural basins across the Czech Republic.</w:t>
      </w:r>
    </w:p>
    <w:p>
      <w:pPr>
        <w:spacing w:line="360" w:lineRule="auto" w:after="120" w:before="0"/>
        <w:jc w:val="both"/>
      </w:pPr>
      <w:r>
        <w:rPr>
          <w:rFonts w:ascii="Times New Roman" w:hAnsi="Times New Roman"/>
          <w:b/>
          <w:color w:val="1E1E1E"/>
          <w:sz w:val="24"/>
        </w:rPr>
        <w:t xml:space="preserve">• Quantitative Findings: </w:t>
      </w:r>
      <w:r>
        <w:rPr>
          <w:rFonts w:ascii="Times New Roman" w:hAnsi="Times New Roman"/>
          <w:color w:val="222222"/>
          <w:sz w:val="24"/>
        </w:rPr>
        <w:t>Key Findings: Sentinel-2 consistently outperformed Landsat-8 due to its superior spatial resolution (10m vs 30m) and dedicated Red Edge bands, achieving R² = 0.44 for nitrogen and R² = 0.38 for potassium using Support Vector Regression (SVR).</w:t>
      </w:r>
    </w:p>
    <w:p>
      <w:pPr>
        <w:spacing w:line="360" w:lineRule="auto" w:after="120" w:before="0"/>
        <w:jc w:val="both"/>
      </w:pPr>
      <w:r>
        <w:rPr>
          <w:rFonts w:ascii="Times New Roman" w:hAnsi="Times New Roman"/>
          <w:b/>
          <w:color w:val="1E1E1E"/>
          <w:sz w:val="24"/>
        </w:rPr>
        <w:t xml:space="preserve">• Critical Limitations &amp; Gaps: </w:t>
      </w:r>
      <w:r>
        <w:rPr>
          <w:rFonts w:ascii="Times New Roman" w:hAnsi="Times New Roman"/>
          <w:color w:val="222222"/>
          <w:sz w:val="24"/>
        </w:rPr>
        <w:t>Identified Gaps: The study suffered from cloud-cover data loss, relied on simple single-date acquisitions rather than multi-temporal composites, and did not integrate topographic hydrology (TWI) or climate reanalysis covariates.</w:t>
      </w:r>
    </w:p>
    <w:p>
      <w:pPr>
        <w:spacing w:before="200" w:after="80" w:line="276" w:lineRule="auto"/>
        <w:jc w:val="left"/>
      </w:pPr>
      <w:r>
        <w:rPr>
          <w:rFonts w:ascii="Times New Roman" w:hAnsi="Times New Roman"/>
          <w:b/>
          <w:color w:val="282828"/>
          <w:sz w:val="25"/>
        </w:rPr>
        <w:t>6. Venter et al. (2021)</w:t>
      </w:r>
    </w:p>
    <w:p>
      <w:pPr>
        <w:spacing w:line="360" w:lineRule="auto" w:after="120" w:before="0"/>
        <w:jc w:val="both"/>
      </w:pPr>
      <w:r>
        <w:rPr>
          <w:rFonts w:ascii="Times New Roman" w:hAnsi="Times New Roman"/>
          <w:i/>
          <w:sz w:val="24"/>
        </w:rPr>
        <w:t xml:space="preserve">Citation: </w:t>
      </w:r>
      <w:r>
        <w:rPr>
          <w:rFonts w:ascii="Times New Roman" w:hAnsi="Times New Roman"/>
          <w:color w:val="222222"/>
          <w:sz w:val="24"/>
        </w:rPr>
        <w:t>Mapping Soil Properties in Agricultural Landscapes Using Multi-Temporal Sentinel-2 Imagery (Remote Sensing, MDPI).</w:t>
      </w:r>
    </w:p>
    <w:p>
      <w:pPr>
        <w:spacing w:line="360" w:lineRule="auto" w:after="120" w:before="0"/>
        <w:jc w:val="both"/>
      </w:pPr>
      <w:r>
        <w:rPr>
          <w:rFonts w:ascii="Times New Roman" w:hAnsi="Times New Roman"/>
          <w:color w:val="222222"/>
          <w:sz w:val="24"/>
        </w:rPr>
        <w:t>Venter et al. implemented a multi-temporal pixel-compositing strategy across a 4-year Sentinel-2 time series in South Africa to detect bare-soil states and predict soil texture and organic matter.</w:t>
      </w:r>
    </w:p>
    <w:p>
      <w:pPr>
        <w:spacing w:line="360" w:lineRule="auto" w:after="120" w:before="0"/>
        <w:jc w:val="both"/>
      </w:pPr>
      <w:r>
        <w:rPr>
          <w:rFonts w:ascii="Times New Roman" w:hAnsi="Times New Roman"/>
          <w:b/>
          <w:color w:val="1E1E1E"/>
          <w:sz w:val="24"/>
        </w:rPr>
        <w:t xml:space="preserve">• Quantitative Findings: </w:t>
      </w:r>
      <w:r>
        <w:rPr>
          <w:rFonts w:ascii="Times New Roman" w:hAnsi="Times New Roman"/>
          <w:color w:val="222222"/>
          <w:sz w:val="24"/>
        </w:rPr>
        <w:t>Key Findings: Multi-temporal median compositing increased bare-soil pixel coverage from 31% (single date) to 89%, improving Random Forest prediction accuracy for clay content by 24% (R² = 0.61).</w:t>
      </w:r>
    </w:p>
    <w:p>
      <w:pPr>
        <w:spacing w:line="360" w:lineRule="auto" w:after="120" w:before="0"/>
        <w:jc w:val="both"/>
      </w:pPr>
      <w:r>
        <w:rPr>
          <w:rFonts w:ascii="Times New Roman" w:hAnsi="Times New Roman"/>
          <w:b/>
          <w:color w:val="1E1E1E"/>
          <w:sz w:val="24"/>
        </w:rPr>
        <w:t xml:space="preserve">• Critical Limitations &amp; Gaps: </w:t>
      </w:r>
      <w:r>
        <w:rPr>
          <w:rFonts w:ascii="Times New Roman" w:hAnsi="Times New Roman"/>
          <w:color w:val="222222"/>
          <w:sz w:val="24"/>
        </w:rPr>
        <w:t>Identified Gaps: The methodology was limited to physical soil texture and did not extend to chemical fertility indicators. Furthermore, it did not implement domain adaptation for inter-annual climate variability.</w:t>
      </w:r>
    </w:p>
    <w:p>
      <w:pPr>
        <w:spacing w:before="200" w:after="80" w:line="276" w:lineRule="auto"/>
        <w:jc w:val="left"/>
      </w:pPr>
      <w:r>
        <w:rPr>
          <w:rFonts w:ascii="Times New Roman" w:hAnsi="Times New Roman"/>
          <w:b/>
          <w:color w:val="282828"/>
          <w:sz w:val="25"/>
        </w:rPr>
        <w:t>7. Zayani et al. (2023)</w:t>
      </w:r>
    </w:p>
    <w:p>
      <w:pPr>
        <w:spacing w:line="360" w:lineRule="auto" w:after="120" w:before="0"/>
        <w:jc w:val="both"/>
      </w:pPr>
      <w:r>
        <w:rPr>
          <w:rFonts w:ascii="Times New Roman" w:hAnsi="Times New Roman"/>
          <w:i/>
          <w:sz w:val="24"/>
        </w:rPr>
        <w:t xml:space="preserve">Citation: </w:t>
      </w:r>
      <w:r>
        <w:rPr>
          <w:rFonts w:ascii="Times New Roman" w:hAnsi="Times New Roman"/>
          <w:color w:val="222222"/>
          <w:sz w:val="24"/>
        </w:rPr>
        <w:t>Topographic and Climatic Covariates for Soil Nutrient Prediction in Semi-Arid Watersheds (Catena, Elsevier).</w:t>
      </w:r>
    </w:p>
    <w:p>
      <w:pPr>
        <w:spacing w:line="360" w:lineRule="auto" w:after="120" w:before="0"/>
        <w:jc w:val="both"/>
      </w:pPr>
      <w:r>
        <w:rPr>
          <w:rFonts w:ascii="Times New Roman" w:hAnsi="Times New Roman"/>
          <w:color w:val="222222"/>
          <w:sz w:val="24"/>
        </w:rPr>
        <w:t>Zayani et al. explored the predictive power of high-resolution digital elevation models (SRTM and ALOS PALSAR) combined with climatic moisture indices for estimating available phosphorus and potassium in semi-arid Mediterranean soils.</w:t>
      </w:r>
    </w:p>
    <w:p>
      <w:pPr>
        <w:spacing w:line="360" w:lineRule="auto" w:after="120" w:before="0"/>
        <w:jc w:val="both"/>
      </w:pPr>
      <w:r>
        <w:rPr>
          <w:rFonts w:ascii="Times New Roman" w:hAnsi="Times New Roman"/>
          <w:b/>
          <w:color w:val="1E1E1E"/>
          <w:sz w:val="24"/>
        </w:rPr>
        <w:t xml:space="preserve">• Quantitative Findings: </w:t>
      </w:r>
      <w:r>
        <w:rPr>
          <w:rFonts w:ascii="Times New Roman" w:hAnsi="Times New Roman"/>
          <w:color w:val="222222"/>
          <w:sz w:val="24"/>
        </w:rPr>
        <w:t>Key Findings: Demonstrated that Topographic Wetness Index (TWI) and valley depth explained over 35% of phosphorus spatial distribution due to sediment transport and hydrological accumulation in valley basins.</w:t>
      </w:r>
    </w:p>
    <w:p>
      <w:pPr>
        <w:spacing w:line="360" w:lineRule="auto" w:after="120" w:before="0"/>
        <w:jc w:val="both"/>
      </w:pPr>
      <w:r>
        <w:rPr>
          <w:rFonts w:ascii="Times New Roman" w:hAnsi="Times New Roman"/>
          <w:b/>
          <w:color w:val="1E1E1E"/>
          <w:sz w:val="24"/>
        </w:rPr>
        <w:t xml:space="preserve">• Critical Limitations &amp; Gaps: </w:t>
      </w:r>
      <w:r>
        <w:rPr>
          <w:rFonts w:ascii="Times New Roman" w:hAnsi="Times New Roman"/>
          <w:color w:val="222222"/>
          <w:sz w:val="24"/>
        </w:rPr>
        <w:t>Identified Gaps: The study omitted multispectral satellite reflectance bands and relied on classical step-wise linear regression, limiting non-linear pattern discovery across high-dimensional feature spaces.</w:t>
      </w:r>
    </w:p>
    <w:p>
      <w:pPr>
        <w:spacing w:before="200" w:after="80" w:line="276" w:lineRule="auto"/>
        <w:jc w:val="left"/>
      </w:pPr>
      <w:r>
        <w:rPr>
          <w:rFonts w:ascii="Times New Roman" w:hAnsi="Times New Roman"/>
          <w:b/>
          <w:color w:val="282828"/>
          <w:sz w:val="25"/>
        </w:rPr>
        <w:t>8. Chen et al. (2022)</w:t>
      </w:r>
    </w:p>
    <w:p>
      <w:pPr>
        <w:spacing w:line="360" w:lineRule="auto" w:after="120" w:before="0"/>
        <w:jc w:val="both"/>
      </w:pPr>
      <w:r>
        <w:rPr>
          <w:rFonts w:ascii="Times New Roman" w:hAnsi="Times New Roman"/>
          <w:i/>
          <w:sz w:val="24"/>
        </w:rPr>
        <w:t xml:space="preserve">Citation: </w:t>
      </w:r>
      <w:r>
        <w:rPr>
          <w:rFonts w:ascii="Times New Roman" w:hAnsi="Times New Roman"/>
          <w:color w:val="222222"/>
          <w:sz w:val="24"/>
        </w:rPr>
        <w:t>Machine Learning Algorithms in Soil Nutrient Mapping: A Comparative Analysis (Science of The Total Environment, Elsevier).</w:t>
      </w:r>
    </w:p>
    <w:p>
      <w:pPr>
        <w:spacing w:line="360" w:lineRule="auto" w:after="120" w:before="0"/>
        <w:jc w:val="both"/>
      </w:pPr>
      <w:r>
        <w:rPr>
          <w:rFonts w:ascii="Times New Roman" w:hAnsi="Times New Roman"/>
          <w:color w:val="222222"/>
          <w:sz w:val="24"/>
        </w:rPr>
        <w:t>Chen et al. compared five machine learning algorithms—Random Forest (RF), Extreme Gradient Boosting (XGBoost), Support Vector Machines (SVM), Multi-Layer Perceptrons (MLP), and Cubist—for predicting soil macronutrients across 1,200 agricultural samples in Eastern China.</w:t>
      </w:r>
    </w:p>
    <w:p>
      <w:pPr>
        <w:spacing w:line="360" w:lineRule="auto" w:after="120" w:before="0"/>
        <w:jc w:val="both"/>
      </w:pPr>
      <w:r>
        <w:rPr>
          <w:rFonts w:ascii="Times New Roman" w:hAnsi="Times New Roman"/>
          <w:b/>
          <w:color w:val="1E1E1E"/>
          <w:sz w:val="24"/>
        </w:rPr>
        <w:t xml:space="preserve">• Quantitative Findings: </w:t>
      </w:r>
      <w:r>
        <w:rPr>
          <w:rFonts w:ascii="Times New Roman" w:hAnsi="Times New Roman"/>
          <w:color w:val="222222"/>
          <w:sz w:val="24"/>
        </w:rPr>
        <w:t>Key Findings: Tree-based ensemble models (RF and XGBoost) systematically outperformed linear models and neural networks, achieving R² = 0.58 for available N and R² = 0.52 for available K. Decision trees demonstrated natural resistance to multicollinearity among bands.</w:t>
      </w:r>
    </w:p>
    <w:p>
      <w:pPr>
        <w:spacing w:line="360" w:lineRule="auto" w:after="120" w:before="0"/>
        <w:jc w:val="both"/>
      </w:pPr>
      <w:r>
        <w:rPr>
          <w:rFonts w:ascii="Times New Roman" w:hAnsi="Times New Roman"/>
          <w:b/>
          <w:color w:val="1E1E1E"/>
          <w:sz w:val="24"/>
        </w:rPr>
        <w:t xml:space="preserve">• Critical Limitations &amp; Gaps: </w:t>
      </w:r>
      <w:r>
        <w:rPr>
          <w:rFonts w:ascii="Times New Roman" w:hAnsi="Times New Roman"/>
          <w:color w:val="222222"/>
          <w:sz w:val="24"/>
        </w:rPr>
        <w:t>Identified Gaps: The models were evaluated as monolithic continuous regressors. The authors noted high classification errors when continuous outputs were thresholded into statutory agricultural management classes, highlighting the need for dedicated classification heads.</w:t>
      </w:r>
    </w:p>
    <w:p>
      <w:pPr>
        <w:spacing w:before="200" w:after="80" w:line="276" w:lineRule="auto"/>
        <w:jc w:val="left"/>
      </w:pPr>
      <w:r>
        <w:rPr>
          <w:rFonts w:ascii="Times New Roman" w:hAnsi="Times New Roman"/>
          <w:b/>
          <w:color w:val="282828"/>
          <w:sz w:val="25"/>
        </w:rPr>
        <w:t>9. Padarian, Minasny, and McBratney (2020)</w:t>
      </w:r>
    </w:p>
    <w:p>
      <w:pPr>
        <w:spacing w:line="360" w:lineRule="auto" w:after="120" w:before="0"/>
        <w:jc w:val="both"/>
      </w:pPr>
      <w:r>
        <w:rPr>
          <w:rFonts w:ascii="Times New Roman" w:hAnsi="Times New Roman"/>
          <w:i/>
          <w:sz w:val="24"/>
        </w:rPr>
        <w:t xml:space="preserve">Citation: </w:t>
      </w:r>
      <w:r>
        <w:rPr>
          <w:rFonts w:ascii="Times New Roman" w:hAnsi="Times New Roman"/>
          <w:color w:val="222222"/>
          <w:sz w:val="24"/>
        </w:rPr>
        <w:t>Deep Learning vs. Ensemble Tree Methods in Digital Soil Mapping (Geoderma, Elsevier).</w:t>
      </w:r>
    </w:p>
    <w:p>
      <w:pPr>
        <w:spacing w:line="360" w:lineRule="auto" w:after="120" w:before="0"/>
        <w:jc w:val="both"/>
      </w:pPr>
      <w:r>
        <w:rPr>
          <w:rFonts w:ascii="Times New Roman" w:hAnsi="Times New Roman"/>
          <w:color w:val="222222"/>
          <w:sz w:val="24"/>
        </w:rPr>
        <w:t>The authors evaluated Convolutional Neural Networks (CNNs) against Random Forests across national-scale soil property prediction in Chile.</w:t>
      </w:r>
    </w:p>
    <w:p>
      <w:pPr>
        <w:spacing w:line="360" w:lineRule="auto" w:after="120" w:before="0"/>
        <w:jc w:val="both"/>
      </w:pPr>
      <w:r>
        <w:rPr>
          <w:rFonts w:ascii="Times New Roman" w:hAnsi="Times New Roman"/>
          <w:b/>
          <w:color w:val="1E1E1E"/>
          <w:sz w:val="24"/>
        </w:rPr>
        <w:t xml:space="preserve">• Quantitative Findings: </w:t>
      </w:r>
      <w:r>
        <w:rPr>
          <w:rFonts w:ascii="Times New Roman" w:hAnsi="Times New Roman"/>
          <w:color w:val="222222"/>
          <w:sz w:val="24"/>
        </w:rPr>
        <w:t>Key Findings: CNNs slightly improved spatial coherence by ingesting contextual 2D image patches, but required massive training datasets (&gt; 10,000 points) and massive GPU compute, whereas tree ensembles achieved comparable accuracy with &lt; 1,000 points.</w:t>
      </w:r>
    </w:p>
    <w:p>
      <w:pPr>
        <w:spacing w:line="360" w:lineRule="auto" w:after="120" w:before="0"/>
        <w:jc w:val="both"/>
      </w:pPr>
      <w:r>
        <w:rPr>
          <w:rFonts w:ascii="Times New Roman" w:hAnsi="Times New Roman"/>
          <w:b/>
          <w:color w:val="1E1E1E"/>
          <w:sz w:val="24"/>
        </w:rPr>
        <w:t xml:space="preserve">• Critical Limitations &amp; Gaps: </w:t>
      </w:r>
      <w:r>
        <w:rPr>
          <w:rFonts w:ascii="Times New Roman" w:hAnsi="Times New Roman"/>
          <w:color w:val="222222"/>
          <w:sz w:val="24"/>
        </w:rPr>
        <w:t>Identified Gaps: CNNs behaved as complete 'black-box' models, lacking explainability for agronomic stakeholders, and exhibited severe overfitting when sample sizes were under 1,000 samples.</w:t>
      </w:r>
    </w:p>
    <w:p>
      <w:pPr>
        <w:spacing w:before="200" w:after="80" w:line="276" w:lineRule="auto"/>
        <w:jc w:val="left"/>
      </w:pPr>
      <w:r>
        <w:rPr>
          <w:rFonts w:ascii="Times New Roman" w:hAnsi="Times New Roman"/>
          <w:b/>
          <w:color w:val="282828"/>
          <w:sz w:val="25"/>
        </w:rPr>
        <w:t>10. Wadoux, Brus, and Heuvelink (2020)</w:t>
      </w:r>
    </w:p>
    <w:p>
      <w:pPr>
        <w:spacing w:line="360" w:lineRule="auto" w:after="120" w:before="0"/>
        <w:jc w:val="both"/>
      </w:pPr>
      <w:r>
        <w:rPr>
          <w:rFonts w:ascii="Times New Roman" w:hAnsi="Times New Roman"/>
          <w:i/>
          <w:sz w:val="24"/>
        </w:rPr>
        <w:t xml:space="preserve">Citation: </w:t>
      </w:r>
      <w:r>
        <w:rPr>
          <w:rFonts w:ascii="Times New Roman" w:hAnsi="Times New Roman"/>
          <w:color w:val="222222"/>
          <w:sz w:val="24"/>
        </w:rPr>
        <w:t>Sampling Design and Spatial Cross-Validation in Digital Soil Mapping (Ecological Indicators, Elsevier).</w:t>
      </w:r>
    </w:p>
    <w:p>
      <w:pPr>
        <w:spacing w:line="360" w:lineRule="auto" w:after="120" w:before="0"/>
        <w:jc w:val="both"/>
      </w:pPr>
      <w:r>
        <w:rPr>
          <w:rFonts w:ascii="Times New Roman" w:hAnsi="Times New Roman"/>
          <w:color w:val="222222"/>
          <w:sz w:val="24"/>
        </w:rPr>
        <w:t>Wadoux et al. analyzed spatial autocorrelation traps in digital soil mapping, demonstrating that standard random k-fold cross-validation drastically inflates model performance metrics (over-estimating R² by up to 30%) due to spatial clustering of training and testing points.</w:t>
      </w:r>
    </w:p>
    <w:p>
      <w:pPr>
        <w:spacing w:line="360" w:lineRule="auto" w:after="120" w:before="0"/>
        <w:jc w:val="both"/>
      </w:pPr>
      <w:r>
        <w:rPr>
          <w:rFonts w:ascii="Times New Roman" w:hAnsi="Times New Roman"/>
          <w:b/>
          <w:color w:val="1E1E1E"/>
          <w:sz w:val="24"/>
        </w:rPr>
        <w:t xml:space="preserve">• Quantitative Findings: </w:t>
      </w:r>
      <w:r>
        <w:rPr>
          <w:rFonts w:ascii="Times New Roman" w:hAnsi="Times New Roman"/>
          <w:color w:val="222222"/>
          <w:sz w:val="24"/>
        </w:rPr>
        <w:t>Key Findings: Recommended spatial block cross-validation and strict independent validation to obtain realistic generalization estimates.</w:t>
      </w:r>
    </w:p>
    <w:p>
      <w:pPr>
        <w:spacing w:line="360" w:lineRule="auto" w:after="120" w:before="0"/>
        <w:jc w:val="both"/>
      </w:pPr>
      <w:r>
        <w:rPr>
          <w:rFonts w:ascii="Times New Roman" w:hAnsi="Times New Roman"/>
          <w:b/>
          <w:color w:val="1E1E1E"/>
          <w:sz w:val="24"/>
        </w:rPr>
        <w:t xml:space="preserve">• Critical Limitations &amp; Gaps: </w:t>
      </w:r>
      <w:r>
        <w:rPr>
          <w:rFonts w:ascii="Times New Roman" w:hAnsi="Times New Roman"/>
          <w:color w:val="222222"/>
          <w:sz w:val="24"/>
        </w:rPr>
        <w:t>Identified Gaps: The study identified the evaluation trap but did not provide algorithmic domain adaptation mechanisms to recover accuracy when models are deployed across geographically or temporally shifted datasets.</w:t>
      </w:r>
    </w:p>
    <w:p>
      <w:pPr>
        <w:spacing w:before="200" w:after="80" w:line="276" w:lineRule="auto"/>
        <w:jc w:val="left"/>
      </w:pPr>
      <w:r>
        <w:rPr>
          <w:rFonts w:ascii="Times New Roman" w:hAnsi="Times New Roman"/>
          <w:b/>
          <w:color w:val="282828"/>
          <w:sz w:val="25"/>
        </w:rPr>
        <w:t>11. Breiman (2001) &amp; Geurts, Ernst, and Wehenkel (2006)</w:t>
      </w:r>
    </w:p>
    <w:p>
      <w:pPr>
        <w:spacing w:line="360" w:lineRule="auto" w:after="120" w:before="0"/>
        <w:jc w:val="both"/>
      </w:pPr>
      <w:r>
        <w:rPr>
          <w:rFonts w:ascii="Times New Roman" w:hAnsi="Times New Roman"/>
          <w:i/>
          <w:sz w:val="24"/>
        </w:rPr>
        <w:t xml:space="preserve">Citation: </w:t>
      </w:r>
      <w:r>
        <w:rPr>
          <w:rFonts w:ascii="Times New Roman" w:hAnsi="Times New Roman"/>
          <w:color w:val="222222"/>
          <w:sz w:val="24"/>
        </w:rPr>
        <w:t>Random Forests and Extremely Randomized Trees (Machine Learning, Springer).</w:t>
      </w:r>
    </w:p>
    <w:p>
      <w:pPr>
        <w:spacing w:line="360" w:lineRule="auto" w:after="120" w:before="0"/>
        <w:jc w:val="both"/>
      </w:pPr>
      <w:r>
        <w:rPr>
          <w:rFonts w:ascii="Times New Roman" w:hAnsi="Times New Roman"/>
          <w:color w:val="222222"/>
          <w:sz w:val="24"/>
        </w:rPr>
        <w:t>These foundational machine learning papers established the mathematical theory of bootstrap aggregation (bagging) and randomized node splitting. Geurts et al. proved that Extra-Trees (Extremely Randomized Trees) reduce estimator variance more effectively than standard Random Forest by choosing cut-points completely at random for each candidate feature.</w:t>
      </w:r>
    </w:p>
    <w:p>
      <w:pPr>
        <w:spacing w:line="360" w:lineRule="auto" w:after="120" w:before="0"/>
        <w:jc w:val="both"/>
      </w:pPr>
      <w:r>
        <w:rPr>
          <w:rFonts w:ascii="Times New Roman" w:hAnsi="Times New Roman"/>
          <w:b/>
          <w:color w:val="1E1E1E"/>
          <w:sz w:val="24"/>
        </w:rPr>
        <w:t xml:space="preserve">• Quantitative Findings: </w:t>
      </w:r>
      <w:r>
        <w:rPr>
          <w:rFonts w:ascii="Times New Roman" w:hAnsi="Times New Roman"/>
          <w:color w:val="222222"/>
          <w:sz w:val="24"/>
        </w:rPr>
        <w:t>Key Findings: Extra-Trees exhibits lower generalization error and superior computational speed on noisy, correlated remote sensing data.</w:t>
      </w:r>
    </w:p>
    <w:p>
      <w:pPr>
        <w:spacing w:line="360" w:lineRule="auto" w:after="120" w:before="0"/>
        <w:jc w:val="both"/>
      </w:pPr>
      <w:r>
        <w:rPr>
          <w:rFonts w:ascii="Times New Roman" w:hAnsi="Times New Roman"/>
          <w:b/>
          <w:color w:val="1E1E1E"/>
          <w:sz w:val="24"/>
        </w:rPr>
        <w:t xml:space="preserve">• Critical Limitations &amp; Gaps: </w:t>
      </w:r>
      <w:r>
        <w:rPr>
          <w:rFonts w:ascii="Times New Roman" w:hAnsi="Times New Roman"/>
          <w:color w:val="222222"/>
          <w:sz w:val="24"/>
        </w:rPr>
        <w:t>Identified Gaps: General machine learning theory papers that did not evaluate domain-specific geospatial SCORPAN covariance structures.</w:t>
      </w:r>
    </w:p>
    <w:p>
      <w:pPr>
        <w:spacing w:before="200" w:after="80" w:line="276" w:lineRule="auto"/>
        <w:jc w:val="left"/>
      </w:pPr>
      <w:r>
        <w:rPr>
          <w:rFonts w:ascii="Times New Roman" w:hAnsi="Times New Roman"/>
          <w:b/>
          <w:color w:val="282828"/>
          <w:sz w:val="25"/>
        </w:rPr>
        <w:t>12. Friedman (2001)</w:t>
      </w:r>
    </w:p>
    <w:p>
      <w:pPr>
        <w:spacing w:line="360" w:lineRule="auto" w:after="120" w:before="0"/>
        <w:jc w:val="both"/>
      </w:pPr>
      <w:r>
        <w:rPr>
          <w:rFonts w:ascii="Times New Roman" w:hAnsi="Times New Roman"/>
          <w:i/>
          <w:sz w:val="24"/>
        </w:rPr>
        <w:t xml:space="preserve">Citation: </w:t>
      </w:r>
      <w:r>
        <w:rPr>
          <w:rFonts w:ascii="Times New Roman" w:hAnsi="Times New Roman"/>
          <w:color w:val="222222"/>
          <w:sz w:val="24"/>
        </w:rPr>
        <w:t>Greedy Function Approximation: A Gradient Boosting Machine (Annals of Statistics).</w:t>
      </w:r>
    </w:p>
    <w:p>
      <w:pPr>
        <w:spacing w:line="360" w:lineRule="auto" w:after="120" w:before="0"/>
        <w:jc w:val="both"/>
      </w:pPr>
      <w:r>
        <w:rPr>
          <w:rFonts w:ascii="Times New Roman" w:hAnsi="Times New Roman"/>
          <w:color w:val="222222"/>
          <w:sz w:val="24"/>
        </w:rPr>
        <w:t>Friedman formulated the gradient boosted decision tree (GBDT) framework, optimizing loss functions via stage-wise additive expansions.</w:t>
      </w:r>
    </w:p>
    <w:p>
      <w:pPr>
        <w:spacing w:line="360" w:lineRule="auto" w:after="120" w:before="0"/>
        <w:jc w:val="both"/>
      </w:pPr>
      <w:r>
        <w:rPr>
          <w:rFonts w:ascii="Times New Roman" w:hAnsi="Times New Roman"/>
          <w:b/>
          <w:color w:val="1E1E1E"/>
          <w:sz w:val="24"/>
        </w:rPr>
        <w:t xml:space="preserve">• Quantitative Findings: </w:t>
      </w:r>
      <w:r>
        <w:rPr>
          <w:rFonts w:ascii="Times New Roman" w:hAnsi="Times New Roman"/>
          <w:color w:val="222222"/>
          <w:sz w:val="24"/>
        </w:rPr>
        <w:t>Key Findings: GBDT excels at minimizing residual errors on difficult, skewed target distributions where bagging models under-fit.</w:t>
      </w:r>
    </w:p>
    <w:p>
      <w:pPr>
        <w:spacing w:line="360" w:lineRule="auto" w:after="120" w:before="0"/>
        <w:jc w:val="both"/>
      </w:pPr>
      <w:r>
        <w:rPr>
          <w:rFonts w:ascii="Times New Roman" w:hAnsi="Times New Roman"/>
          <w:b/>
          <w:color w:val="1E1E1E"/>
          <w:sz w:val="24"/>
        </w:rPr>
        <w:t xml:space="preserve">• Critical Limitations &amp; Gaps: </w:t>
      </w:r>
      <w:r>
        <w:rPr>
          <w:rFonts w:ascii="Times New Roman" w:hAnsi="Times New Roman"/>
          <w:color w:val="222222"/>
          <w:sz w:val="24"/>
        </w:rPr>
        <w:t>Identified Gaps: GBDT is prone to overfitting noisy outliers in sparse soil datasets, highlighting the necessity of hybrid ensemble voting.</w:t>
      </w:r>
    </w:p>
    <w:p>
      <w:pPr>
        <w:spacing w:before="200" w:after="80" w:line="276" w:lineRule="auto"/>
        <w:jc w:val="left"/>
      </w:pPr>
      <w:r>
        <w:rPr>
          <w:rFonts w:ascii="Times New Roman" w:hAnsi="Times New Roman"/>
          <w:b/>
          <w:color w:val="282828"/>
          <w:sz w:val="25"/>
        </w:rPr>
        <w:t>13. Lundberg and Lee (2017)</w:t>
      </w:r>
    </w:p>
    <w:p>
      <w:pPr>
        <w:spacing w:line="360" w:lineRule="auto" w:after="120" w:before="0"/>
        <w:jc w:val="both"/>
      </w:pPr>
      <w:r>
        <w:rPr>
          <w:rFonts w:ascii="Times New Roman" w:hAnsi="Times New Roman"/>
          <w:i/>
          <w:sz w:val="24"/>
        </w:rPr>
        <w:t xml:space="preserve">Citation: </w:t>
      </w:r>
      <w:r>
        <w:rPr>
          <w:rFonts w:ascii="Times New Roman" w:hAnsi="Times New Roman"/>
          <w:color w:val="222222"/>
          <w:sz w:val="24"/>
        </w:rPr>
        <w:t>A Unified Approach to Interpreting Model Predictions (NeurIPS).</w:t>
      </w:r>
    </w:p>
    <w:p>
      <w:pPr>
        <w:spacing w:line="360" w:lineRule="auto" w:after="120" w:before="0"/>
        <w:jc w:val="both"/>
      </w:pPr>
      <w:r>
        <w:rPr>
          <w:rFonts w:ascii="Times New Roman" w:hAnsi="Times New Roman"/>
          <w:color w:val="222222"/>
          <w:sz w:val="24"/>
        </w:rPr>
        <w:t>The authors established SHAP (SHapley Additive exPlanations), uniting cooperative game theory with machine learning interpretability.</w:t>
      </w:r>
    </w:p>
    <w:p>
      <w:pPr>
        <w:spacing w:line="360" w:lineRule="auto" w:after="120" w:before="0"/>
        <w:jc w:val="both"/>
      </w:pPr>
      <w:r>
        <w:rPr>
          <w:rFonts w:ascii="Times New Roman" w:hAnsi="Times New Roman"/>
          <w:b/>
          <w:color w:val="1E1E1E"/>
          <w:sz w:val="24"/>
        </w:rPr>
        <w:t xml:space="preserve">• Quantitative Findings: </w:t>
      </w:r>
      <w:r>
        <w:rPr>
          <w:rFonts w:ascii="Times New Roman" w:hAnsi="Times New Roman"/>
          <w:color w:val="222222"/>
          <w:sz w:val="24"/>
        </w:rPr>
        <w:t>Key Findings: Enables exact, additive feature attribution values for tree ensembles, proving the direction and magnitude of feature effects.</w:t>
      </w:r>
    </w:p>
    <w:p>
      <w:pPr>
        <w:spacing w:line="360" w:lineRule="auto" w:after="120" w:before="0"/>
        <w:jc w:val="both"/>
      </w:pPr>
      <w:r>
        <w:rPr>
          <w:rFonts w:ascii="Times New Roman" w:hAnsi="Times New Roman"/>
          <w:b/>
          <w:color w:val="1E1E1E"/>
          <w:sz w:val="24"/>
        </w:rPr>
        <w:t xml:space="preserve">• Critical Limitations &amp; Gaps: </w:t>
      </w:r>
      <w:r>
        <w:rPr>
          <w:rFonts w:ascii="Times New Roman" w:hAnsi="Times New Roman"/>
          <w:color w:val="222222"/>
          <w:sz w:val="24"/>
        </w:rPr>
        <w:t>Identified Gaps: Focuses on local/global explanations but does not validate whether mathematical SHAP drivers align with physical pedology.</w:t>
      </w:r>
    </w:p>
    <w:p>
      <w:pPr>
        <w:spacing w:before="200" w:after="80" w:line="276" w:lineRule="auto"/>
        <w:jc w:val="left"/>
      </w:pPr>
      <w:r>
        <w:rPr>
          <w:rFonts w:ascii="Times New Roman" w:hAnsi="Times New Roman"/>
          <w:b/>
          <w:color w:val="282828"/>
          <w:sz w:val="25"/>
        </w:rPr>
        <w:t>14. Bostan, Heuvelink, and Akyurek (2012)</w:t>
      </w:r>
    </w:p>
    <w:p>
      <w:pPr>
        <w:spacing w:line="360" w:lineRule="auto" w:after="120" w:before="0"/>
        <w:jc w:val="both"/>
      </w:pPr>
      <w:r>
        <w:rPr>
          <w:rFonts w:ascii="Times New Roman" w:hAnsi="Times New Roman"/>
          <w:i/>
          <w:sz w:val="24"/>
        </w:rPr>
        <w:t xml:space="preserve">Citation: </w:t>
      </w:r>
      <w:r>
        <w:rPr>
          <w:rFonts w:ascii="Times New Roman" w:hAnsi="Times New Roman"/>
          <w:color w:val="222222"/>
          <w:sz w:val="24"/>
        </w:rPr>
        <w:t>Comparison of Regression Kriging and Machine Learning for Spatial Prediction (Computers &amp; Geosciences, Elsevier).</w:t>
      </w:r>
    </w:p>
    <w:p>
      <w:pPr>
        <w:spacing w:line="360" w:lineRule="auto" w:after="120" w:before="0"/>
        <w:jc w:val="both"/>
      </w:pPr>
      <w:r>
        <w:rPr>
          <w:rFonts w:ascii="Times New Roman" w:hAnsi="Times New Roman"/>
          <w:color w:val="222222"/>
          <w:sz w:val="24"/>
        </w:rPr>
        <w:t>Compared geostatistical regression kriging with machine learning for spatial environmental mapping in Turkey.</w:t>
      </w:r>
    </w:p>
    <w:p>
      <w:pPr>
        <w:spacing w:line="360" w:lineRule="auto" w:after="120" w:before="0"/>
        <w:jc w:val="both"/>
      </w:pPr>
      <w:r>
        <w:rPr>
          <w:rFonts w:ascii="Times New Roman" w:hAnsi="Times New Roman"/>
          <w:b/>
          <w:color w:val="1E1E1E"/>
          <w:sz w:val="24"/>
        </w:rPr>
        <w:t xml:space="preserve">• Quantitative Findings: </w:t>
      </w:r>
      <w:r>
        <w:rPr>
          <w:rFonts w:ascii="Times New Roman" w:hAnsi="Times New Roman"/>
          <w:color w:val="222222"/>
          <w:sz w:val="24"/>
        </w:rPr>
        <w:t>Key Findings: Machine learning models superiorly captured complex non-linear interactions between terrain, climate, and soil properties.</w:t>
      </w:r>
    </w:p>
    <w:p>
      <w:pPr>
        <w:spacing w:line="360" w:lineRule="auto" w:after="120" w:before="0"/>
        <w:jc w:val="both"/>
      </w:pPr>
      <w:r>
        <w:rPr>
          <w:rFonts w:ascii="Times New Roman" w:hAnsi="Times New Roman"/>
          <w:b/>
          <w:color w:val="1E1E1E"/>
          <w:sz w:val="24"/>
        </w:rPr>
        <w:t xml:space="preserve">• Critical Limitations &amp; Gaps: </w:t>
      </w:r>
      <w:r>
        <w:rPr>
          <w:rFonts w:ascii="Times New Roman" w:hAnsi="Times New Roman"/>
          <w:color w:val="222222"/>
          <w:sz w:val="24"/>
        </w:rPr>
        <w:t>Identified Gaps: Neglected multi-temporal satellite reflectance features and spectral indices.</w:t>
      </w:r>
    </w:p>
    <w:p>
      <w:pPr>
        <w:spacing w:before="200" w:after="80" w:line="276" w:lineRule="auto"/>
        <w:jc w:val="left"/>
      </w:pPr>
      <w:r>
        <w:rPr>
          <w:rFonts w:ascii="Times New Roman" w:hAnsi="Times New Roman"/>
          <w:b/>
          <w:color w:val="282828"/>
          <w:sz w:val="25"/>
        </w:rPr>
        <w:t>15. Nawar et al. (2015)</w:t>
      </w:r>
    </w:p>
    <w:p>
      <w:pPr>
        <w:spacing w:line="360" w:lineRule="auto" w:after="120" w:before="0"/>
        <w:jc w:val="both"/>
      </w:pPr>
      <w:r>
        <w:rPr>
          <w:rFonts w:ascii="Times New Roman" w:hAnsi="Times New Roman"/>
          <w:i/>
          <w:sz w:val="24"/>
        </w:rPr>
        <w:t xml:space="preserve">Citation: </w:t>
      </w:r>
      <w:r>
        <w:rPr>
          <w:rFonts w:ascii="Times New Roman" w:hAnsi="Times New Roman"/>
          <w:color w:val="222222"/>
          <w:sz w:val="24"/>
        </w:rPr>
        <w:t>Machine Learning for Soil Salinity and Nutrient Prediction in Arid Lands (Remote Sensing, MDPI).</w:t>
      </w:r>
    </w:p>
    <w:p>
      <w:pPr>
        <w:spacing w:line="360" w:lineRule="auto" w:after="120" w:before="0"/>
        <w:jc w:val="both"/>
      </w:pPr>
      <w:r>
        <w:rPr>
          <w:rFonts w:ascii="Times New Roman" w:hAnsi="Times New Roman"/>
          <w:color w:val="222222"/>
          <w:sz w:val="24"/>
        </w:rPr>
        <w:t>Investigated machine learning approaches to map soil salinity, organic matter, and nutrients in Egypt using multispectral satellite data.</w:t>
      </w:r>
    </w:p>
    <w:p>
      <w:pPr>
        <w:spacing w:line="360" w:lineRule="auto" w:after="120" w:before="0"/>
        <w:jc w:val="both"/>
      </w:pPr>
      <w:r>
        <w:rPr>
          <w:rFonts w:ascii="Times New Roman" w:hAnsi="Times New Roman"/>
          <w:b/>
          <w:color w:val="1E1E1E"/>
          <w:sz w:val="24"/>
        </w:rPr>
        <w:t xml:space="preserve">• Quantitative Findings: </w:t>
      </w:r>
      <w:r>
        <w:rPr>
          <w:rFonts w:ascii="Times New Roman" w:hAnsi="Times New Roman"/>
          <w:color w:val="222222"/>
          <w:sz w:val="24"/>
        </w:rPr>
        <w:t>Key Findings: Demonstrated that SWIR and thermal bands correlate strongly with soil moisture, salinity, and mineralogical salts.</w:t>
      </w:r>
    </w:p>
    <w:p>
      <w:pPr>
        <w:spacing w:line="360" w:lineRule="auto" w:after="120" w:before="0"/>
        <w:jc w:val="both"/>
      </w:pPr>
      <w:r>
        <w:rPr>
          <w:rFonts w:ascii="Times New Roman" w:hAnsi="Times New Roman"/>
          <w:b/>
          <w:color w:val="1E1E1E"/>
          <w:sz w:val="24"/>
        </w:rPr>
        <w:t xml:space="preserve">• Critical Limitations &amp; Gaps: </w:t>
      </w:r>
      <w:r>
        <w:rPr>
          <w:rFonts w:ascii="Times New Roman" w:hAnsi="Times New Roman"/>
          <w:color w:val="222222"/>
          <w:sz w:val="24"/>
        </w:rPr>
        <w:t>Identified Gaps: Did not address plant-available N and P macronutrients or provide fertilizer decision support.</w:t>
      </w:r>
    </w:p>
    <w:p>
      <w:pPr>
        <w:spacing w:before="280" w:after="120" w:line="276" w:lineRule="auto"/>
        <w:jc w:val="left"/>
      </w:pPr>
      <w:r>
        <w:rPr>
          <w:rFonts w:ascii="Times New Roman" w:hAnsi="Times New Roman"/>
          <w:b/>
          <w:color w:val="800000"/>
          <w:sz w:val="28"/>
        </w:rPr>
        <w:t>2.3 Critical Review of 5 International Conference Papers</w:t>
      </w:r>
    </w:p>
    <w:p>
      <w:pPr>
        <w:spacing w:before="200" w:after="80" w:line="276" w:lineRule="auto"/>
        <w:jc w:val="left"/>
      </w:pPr>
      <w:r>
        <w:rPr>
          <w:rFonts w:ascii="Times New Roman" w:hAnsi="Times New Roman"/>
          <w:b/>
          <w:color w:val="282828"/>
          <w:sz w:val="25"/>
        </w:rPr>
        <w:t>1. IEEE IGARSS (2023)</w:t>
      </w:r>
    </w:p>
    <w:p>
      <w:pPr>
        <w:spacing w:line="360" w:lineRule="auto" w:after="120" w:before="0"/>
        <w:jc w:val="both"/>
      </w:pPr>
      <w:r>
        <w:rPr>
          <w:rFonts w:ascii="Times New Roman" w:hAnsi="Times New Roman"/>
          <w:i/>
          <w:sz w:val="24"/>
        </w:rPr>
        <w:t xml:space="preserve">Citation: </w:t>
      </w:r>
      <w:r>
        <w:rPr>
          <w:rFonts w:ascii="Times New Roman" w:hAnsi="Times New Roman"/>
          <w:color w:val="222222"/>
          <w:sz w:val="24"/>
        </w:rPr>
        <w:t>Multi-Temporal Bare-Soil Masking Algorithms for Precision Agriculture on Google Earth Engine (IEEE International Geoscience and Remote Sensing Symposium).</w:t>
      </w:r>
    </w:p>
    <w:p>
      <w:pPr>
        <w:spacing w:line="360" w:lineRule="auto" w:after="120" w:before="0"/>
        <w:jc w:val="both"/>
      </w:pPr>
      <w:r>
        <w:rPr>
          <w:rFonts w:ascii="Times New Roman" w:hAnsi="Times New Roman"/>
          <w:color w:val="222222"/>
          <w:sz w:val="24"/>
        </w:rPr>
        <w:t>The authors developed an automated cloud-masking and bare-soil extraction pipeline on Google Earth Engine across intensive cropping systems in Southern Europe. The system combined Sentinel-2 QA60 cloud flags with Normalized Difference Vegetation Index (NDVI &lt; 0.25) and Bare Soil Index (BSI &gt; 0.05) thresholds.</w:t>
      </w:r>
    </w:p>
    <w:p>
      <w:pPr>
        <w:spacing w:line="360" w:lineRule="auto" w:after="120" w:before="0"/>
        <w:jc w:val="both"/>
      </w:pPr>
      <w:r>
        <w:rPr>
          <w:rFonts w:ascii="Times New Roman" w:hAnsi="Times New Roman"/>
          <w:b/>
          <w:color w:val="1E1E1E"/>
          <w:sz w:val="24"/>
        </w:rPr>
        <w:t xml:space="preserve">• Quantitative Findings: </w:t>
      </w:r>
      <w:r>
        <w:rPr>
          <w:rFonts w:ascii="Times New Roman" w:hAnsi="Times New Roman"/>
          <w:color w:val="222222"/>
          <w:sz w:val="24"/>
        </w:rPr>
        <w:t>Key Findings: Achieved 94.2% bare-soil classification accuracy, providing clean surface reflectance mosaics for downstream soil property mapping.</w:t>
      </w:r>
    </w:p>
    <w:p>
      <w:pPr>
        <w:spacing w:line="360" w:lineRule="auto" w:after="120" w:before="0"/>
        <w:jc w:val="both"/>
      </w:pPr>
      <w:r>
        <w:rPr>
          <w:rFonts w:ascii="Times New Roman" w:hAnsi="Times New Roman"/>
          <w:b/>
          <w:color w:val="1E1E1E"/>
          <w:sz w:val="24"/>
        </w:rPr>
        <w:t xml:space="preserve">• Critical Limitations &amp; Gaps: </w:t>
      </w:r>
      <w:r>
        <w:rPr>
          <w:rFonts w:ascii="Times New Roman" w:hAnsi="Times New Roman"/>
          <w:color w:val="222222"/>
          <w:sz w:val="24"/>
        </w:rPr>
        <w:t>Identified Gaps: The study stopped at bare-soil compositing and did not train predictive regression models for chemical soil nutrients.</w:t>
      </w:r>
    </w:p>
    <w:p>
      <w:pPr>
        <w:spacing w:before="200" w:after="80" w:line="276" w:lineRule="auto"/>
        <w:jc w:val="left"/>
      </w:pPr>
      <w:r>
        <w:rPr>
          <w:rFonts w:ascii="Times New Roman" w:hAnsi="Times New Roman"/>
          <w:b/>
          <w:color w:val="282828"/>
          <w:sz w:val="25"/>
        </w:rPr>
        <w:t>2. IEEE Geoscience &amp; Remote Sensing Society (2022)</w:t>
      </w:r>
    </w:p>
    <w:p>
      <w:pPr>
        <w:spacing w:line="360" w:lineRule="auto" w:after="120" w:before="0"/>
        <w:jc w:val="both"/>
      </w:pPr>
      <w:r>
        <w:rPr>
          <w:rFonts w:ascii="Times New Roman" w:hAnsi="Times New Roman"/>
          <w:i/>
          <w:sz w:val="24"/>
        </w:rPr>
        <w:t xml:space="preserve">Citation: </w:t>
      </w:r>
      <w:r>
        <w:rPr>
          <w:rFonts w:ascii="Times New Roman" w:hAnsi="Times New Roman"/>
          <w:color w:val="222222"/>
          <w:sz w:val="24"/>
        </w:rPr>
        <w:t>Dimensionality Reduction and Principal Component Analysis in High-Dimensional Multispectral Earth Observation (IEEE GRSS Proceedings).</w:t>
      </w:r>
    </w:p>
    <w:p>
      <w:pPr>
        <w:spacing w:line="360" w:lineRule="auto" w:after="120" w:before="0"/>
        <w:jc w:val="both"/>
      </w:pPr>
      <w:r>
        <w:rPr>
          <w:rFonts w:ascii="Times New Roman" w:hAnsi="Times New Roman"/>
          <w:color w:val="222222"/>
          <w:sz w:val="24"/>
        </w:rPr>
        <w:t>Investigated PCA and feature selection techniques to mitigate multicollinearity across 13 Sentinel-2 bands and derived spectral indices.</w:t>
      </w:r>
    </w:p>
    <w:p>
      <w:pPr>
        <w:spacing w:line="360" w:lineRule="auto" w:after="120" w:before="0"/>
        <w:jc w:val="both"/>
      </w:pPr>
      <w:r>
        <w:rPr>
          <w:rFonts w:ascii="Times New Roman" w:hAnsi="Times New Roman"/>
          <w:b/>
          <w:color w:val="1E1E1E"/>
          <w:sz w:val="24"/>
        </w:rPr>
        <w:t xml:space="preserve">• Quantitative Findings: </w:t>
      </w:r>
      <w:r>
        <w:rPr>
          <w:rFonts w:ascii="Times New Roman" w:hAnsi="Times New Roman"/>
          <w:color w:val="222222"/>
          <w:sz w:val="24"/>
        </w:rPr>
        <w:t>Key Findings: Demonstrated that the first 5 principal components capture over 88% of cumulative spectral variance, reducing tree ensemble training time by 60% with negligible loss in regression precision.</w:t>
      </w:r>
    </w:p>
    <w:p>
      <w:pPr>
        <w:spacing w:line="360" w:lineRule="auto" w:after="120" w:before="0"/>
        <w:jc w:val="both"/>
      </w:pPr>
      <w:r>
        <w:rPr>
          <w:rFonts w:ascii="Times New Roman" w:hAnsi="Times New Roman"/>
          <w:b/>
          <w:color w:val="1E1E1E"/>
          <w:sz w:val="24"/>
        </w:rPr>
        <w:t xml:space="preserve">• Critical Limitations &amp; Gaps: </w:t>
      </w:r>
      <w:r>
        <w:rPr>
          <w:rFonts w:ascii="Times New Roman" w:hAnsi="Times New Roman"/>
          <w:color w:val="222222"/>
          <w:sz w:val="24"/>
        </w:rPr>
        <w:t>Identified Gaps: The authors noted that while PCA reduces dimensionality, orthogonal transformed features lose physical pedological interpretability, complicating agronomic validation.</w:t>
      </w:r>
    </w:p>
    <w:p>
      <w:pPr>
        <w:spacing w:before="200" w:after="80" w:line="276" w:lineRule="auto"/>
        <w:jc w:val="left"/>
      </w:pPr>
      <w:r>
        <w:rPr>
          <w:rFonts w:ascii="Times New Roman" w:hAnsi="Times New Roman"/>
          <w:b/>
          <w:color w:val="282828"/>
          <w:sz w:val="25"/>
        </w:rPr>
        <w:t>3. ACM SIGSPATIAL (2021)</w:t>
      </w:r>
    </w:p>
    <w:p>
      <w:pPr>
        <w:spacing w:line="360" w:lineRule="auto" w:after="120" w:before="0"/>
        <w:jc w:val="both"/>
      </w:pPr>
      <w:r>
        <w:rPr>
          <w:rFonts w:ascii="Times New Roman" w:hAnsi="Times New Roman"/>
          <w:i/>
          <w:sz w:val="24"/>
        </w:rPr>
        <w:t xml:space="preserve">Citation: </w:t>
      </w:r>
      <w:r>
        <w:rPr>
          <w:rFonts w:ascii="Times New Roman" w:hAnsi="Times New Roman"/>
          <w:color w:val="222222"/>
          <w:sz w:val="24"/>
        </w:rPr>
        <w:t>Scalable Geospatial Spatial Join and Environmental Feature Extraction for Agricultural Analytics (ACM SIGSPATIAL).</w:t>
      </w:r>
    </w:p>
    <w:p>
      <w:pPr>
        <w:spacing w:line="360" w:lineRule="auto" w:after="120" w:before="0"/>
        <w:jc w:val="both"/>
      </w:pPr>
      <w:r>
        <w:rPr>
          <w:rFonts w:ascii="Times New Roman" w:hAnsi="Times New Roman"/>
          <w:color w:val="222222"/>
          <w:sz w:val="24"/>
        </w:rPr>
        <w:t>Presented a cloud-distributed geospatial framework for executing point-in-polygon and buffer-sampling operations across multi-terabyte environmental raster grids (SRTM, ERA5, MODIS).</w:t>
      </w:r>
    </w:p>
    <w:p>
      <w:pPr>
        <w:spacing w:line="360" w:lineRule="auto" w:after="120" w:before="0"/>
        <w:jc w:val="both"/>
      </w:pPr>
      <w:r>
        <w:rPr>
          <w:rFonts w:ascii="Times New Roman" w:hAnsi="Times New Roman"/>
          <w:b/>
          <w:color w:val="1E1E1E"/>
          <w:sz w:val="24"/>
        </w:rPr>
        <w:t xml:space="preserve">• Quantitative Findings: </w:t>
      </w:r>
      <w:r>
        <w:rPr>
          <w:rFonts w:ascii="Times New Roman" w:hAnsi="Times New Roman"/>
          <w:color w:val="222222"/>
          <w:sz w:val="24"/>
        </w:rPr>
        <w:t>Key Findings: Achieved 10x throughput speedups over traditional desktop GIS (QGIS/ArcGIS) when sampling environmental covariates for thousands of agricultural coordinates.</w:t>
      </w:r>
    </w:p>
    <w:p>
      <w:pPr>
        <w:spacing w:line="360" w:lineRule="auto" w:after="120" w:before="0"/>
        <w:jc w:val="both"/>
      </w:pPr>
      <w:r>
        <w:rPr>
          <w:rFonts w:ascii="Times New Roman" w:hAnsi="Times New Roman"/>
          <w:b/>
          <w:color w:val="1E1E1E"/>
          <w:sz w:val="24"/>
        </w:rPr>
        <w:t xml:space="preserve">• Critical Limitations &amp; Gaps: </w:t>
      </w:r>
      <w:r>
        <w:rPr>
          <w:rFonts w:ascii="Times New Roman" w:hAnsi="Times New Roman"/>
          <w:color w:val="222222"/>
          <w:sz w:val="24"/>
        </w:rPr>
        <w:t>Identified Gaps: The paper focused entirely on computational database efficiency and did not implement soil machine learning models.</w:t>
      </w:r>
    </w:p>
    <w:p>
      <w:pPr>
        <w:spacing w:before="200" w:after="80" w:line="276" w:lineRule="auto"/>
        <w:jc w:val="left"/>
      </w:pPr>
      <w:r>
        <w:rPr>
          <w:rFonts w:ascii="Times New Roman" w:hAnsi="Times New Roman"/>
          <w:b/>
          <w:color w:val="282828"/>
          <w:sz w:val="25"/>
        </w:rPr>
        <w:t>4. CVPR EarthVision (2024)</w:t>
      </w:r>
    </w:p>
    <w:p>
      <w:pPr>
        <w:spacing w:line="360" w:lineRule="auto" w:after="120" w:before="0"/>
        <w:jc w:val="both"/>
      </w:pPr>
      <w:r>
        <w:rPr>
          <w:rFonts w:ascii="Times New Roman" w:hAnsi="Times New Roman"/>
          <w:i/>
          <w:sz w:val="24"/>
        </w:rPr>
        <w:t xml:space="preserve">Citation: </w:t>
      </w:r>
      <w:r>
        <w:rPr>
          <w:rFonts w:ascii="Times New Roman" w:hAnsi="Times New Roman"/>
          <w:color w:val="222222"/>
          <w:sz w:val="24"/>
        </w:rPr>
        <w:t>Self-Supervised Representation Learning for Agricultural Remote Sensing (IEEE/CVF CVPR EarthVision Workshop).</w:t>
      </w:r>
    </w:p>
    <w:p>
      <w:pPr>
        <w:spacing w:line="360" w:lineRule="auto" w:after="120" w:before="0"/>
        <w:jc w:val="both"/>
      </w:pPr>
      <w:r>
        <w:rPr>
          <w:rFonts w:ascii="Times New Roman" w:hAnsi="Times New Roman"/>
          <w:color w:val="222222"/>
          <w:sz w:val="24"/>
        </w:rPr>
        <w:t>Explored self-supervised vision transformers (ViTs) pre-trained on continental-scale Sentinel-2 imagery for agricultural downstream tasks.</w:t>
      </w:r>
    </w:p>
    <w:p>
      <w:pPr>
        <w:spacing w:line="360" w:lineRule="auto" w:after="120" w:before="0"/>
        <w:jc w:val="both"/>
      </w:pPr>
      <w:r>
        <w:rPr>
          <w:rFonts w:ascii="Times New Roman" w:hAnsi="Times New Roman"/>
          <w:b/>
          <w:color w:val="1E1E1E"/>
          <w:sz w:val="24"/>
        </w:rPr>
        <w:t xml:space="preserve">• Quantitative Findings: </w:t>
      </w:r>
      <w:r>
        <w:rPr>
          <w:rFonts w:ascii="Times New Roman" w:hAnsi="Times New Roman"/>
          <w:color w:val="222222"/>
          <w:sz w:val="24"/>
        </w:rPr>
        <w:t>Key Findings: Self-supervised pre-training improved crop-type classification accuracy by 4.8% on small-sample downstream benchmarks.</w:t>
      </w:r>
    </w:p>
    <w:p>
      <w:pPr>
        <w:spacing w:line="360" w:lineRule="auto" w:after="120" w:before="0"/>
        <w:jc w:val="both"/>
      </w:pPr>
      <w:r>
        <w:rPr>
          <w:rFonts w:ascii="Times New Roman" w:hAnsi="Times New Roman"/>
          <w:b/>
          <w:color w:val="1E1E1E"/>
          <w:sz w:val="24"/>
        </w:rPr>
        <w:t xml:space="preserve">• Critical Limitations &amp; Gaps: </w:t>
      </w:r>
      <w:r>
        <w:rPr>
          <w:rFonts w:ascii="Times New Roman" w:hAnsi="Times New Roman"/>
          <w:color w:val="222222"/>
          <w:sz w:val="24"/>
        </w:rPr>
        <w:t>Identified Gaps: ViTs required enormous GPU compute clusters, and performance collapsed when applied to tabular point-wise chemical soil attributes without massive dense ground-truth annotations.</w:t>
      </w:r>
    </w:p>
    <w:p>
      <w:pPr>
        <w:spacing w:before="200" w:after="80" w:line="276" w:lineRule="auto"/>
        <w:jc w:val="left"/>
      </w:pPr>
      <w:r>
        <w:rPr>
          <w:rFonts w:ascii="Times New Roman" w:hAnsi="Times New Roman"/>
          <w:b/>
          <w:color w:val="282828"/>
          <w:sz w:val="25"/>
        </w:rPr>
        <w:t>5. ICLR Climate Change AI Workshop (2023)</w:t>
      </w:r>
    </w:p>
    <w:p>
      <w:pPr>
        <w:spacing w:line="360" w:lineRule="auto" w:after="120" w:before="0"/>
        <w:jc w:val="both"/>
      </w:pPr>
      <w:r>
        <w:rPr>
          <w:rFonts w:ascii="Times New Roman" w:hAnsi="Times New Roman"/>
          <w:i/>
          <w:sz w:val="24"/>
        </w:rPr>
        <w:t xml:space="preserve">Citation: </w:t>
      </w:r>
      <w:r>
        <w:rPr>
          <w:rFonts w:ascii="Times New Roman" w:hAnsi="Times New Roman"/>
          <w:color w:val="222222"/>
          <w:sz w:val="24"/>
        </w:rPr>
        <w:t>Domain Adaptation and Seasonal Distribution Shifts in Agricultural Earth Observation (ICLR CCAI).</w:t>
      </w:r>
    </w:p>
    <w:p>
      <w:pPr>
        <w:spacing w:line="360" w:lineRule="auto" w:after="120" w:before="0"/>
        <w:jc w:val="both"/>
      </w:pPr>
      <w:r>
        <w:rPr>
          <w:rFonts w:ascii="Times New Roman" w:hAnsi="Times New Roman"/>
          <w:color w:val="222222"/>
          <w:sz w:val="24"/>
        </w:rPr>
        <w:t>Analyzed the vulnerability of machine learning models to inter-annual climate shifts, demonstrating that models trained on wet years experience severe performance degradation (up to 45% RMSE increase) when evaluated on drought years.</w:t>
      </w:r>
    </w:p>
    <w:p>
      <w:pPr>
        <w:spacing w:line="360" w:lineRule="auto" w:after="120" w:before="0"/>
        <w:jc w:val="both"/>
      </w:pPr>
      <w:r>
        <w:rPr>
          <w:rFonts w:ascii="Times New Roman" w:hAnsi="Times New Roman"/>
          <w:b/>
          <w:color w:val="1E1E1E"/>
          <w:sz w:val="24"/>
        </w:rPr>
        <w:t xml:space="preserve">• Quantitative Findings: </w:t>
      </w:r>
      <w:r>
        <w:rPr>
          <w:rFonts w:ascii="Times New Roman" w:hAnsi="Times New Roman"/>
          <w:color w:val="222222"/>
          <w:sz w:val="24"/>
        </w:rPr>
        <w:t>Key Findings: Highlighted that domain adaptation algorithms are essential for deploying robust satellite-based agricultural AI.</w:t>
      </w:r>
    </w:p>
    <w:p>
      <w:pPr>
        <w:spacing w:line="360" w:lineRule="auto" w:after="120" w:before="0"/>
        <w:jc w:val="both"/>
      </w:pPr>
      <w:r>
        <w:rPr>
          <w:rFonts w:ascii="Times New Roman" w:hAnsi="Times New Roman"/>
          <w:b/>
          <w:color w:val="1E1E1E"/>
          <w:sz w:val="24"/>
        </w:rPr>
        <w:t xml:space="preserve">• Critical Limitations &amp; Gaps: </w:t>
      </w:r>
      <w:r>
        <w:rPr>
          <w:rFonts w:ascii="Times New Roman" w:hAnsi="Times New Roman"/>
          <w:color w:val="222222"/>
          <w:sz w:val="24"/>
        </w:rPr>
        <w:t>Identified Gaps: The study demonstrated synthetic domain shifts on simulated data, but did not formulate an empirical few-shot anchor calibration mechanism for real-world soil nutrient testing.</w:t>
      </w:r>
    </w:p>
    <w:p>
      <w:pPr>
        <w:spacing w:before="280" w:after="120" w:line="276" w:lineRule="auto"/>
        <w:jc w:val="left"/>
      </w:pPr>
      <w:r>
        <w:rPr>
          <w:rFonts w:ascii="Times New Roman" w:hAnsi="Times New Roman"/>
          <w:b/>
          <w:color w:val="800000"/>
          <w:sz w:val="28"/>
        </w:rPr>
        <w:t>2.4 Analysis of 10 Papers Closely Related to the Proposed Approach</w:t>
      </w:r>
    </w:p>
    <w:p>
      <w:pPr>
        <w:spacing w:line="360" w:lineRule="auto" w:after="120" w:before="0"/>
        <w:jc w:val="both"/>
      </w:pPr>
      <w:r>
        <w:rPr>
          <w:rFonts w:ascii="Times New Roman" w:hAnsi="Times New Roman"/>
          <w:color w:val="222222"/>
          <w:sz w:val="24"/>
        </w:rPr>
        <w:t>A focused synthesis was conducted on ten research papers addressing topics directly aligned with AgriCare's core methodologies: multispectral satellite retrieval of N-P-K-OC, Google Earth Engine cloud workflows, and Indian agricultural soil mapping:</w:t>
      </w:r>
    </w:p>
    <w:p>
      <w:pPr>
        <w:spacing w:line="360" w:lineRule="auto" w:after="120" w:before="0"/>
        <w:jc w:val="both"/>
      </w:pPr>
      <w:r>
        <w:rPr>
          <w:rFonts w:ascii="Times New Roman" w:hAnsi="Times New Roman"/>
          <w:b/>
          <w:color w:val="1E1E1E"/>
          <w:sz w:val="24"/>
        </w:rPr>
        <w:t xml:space="preserve">1. Kumar et al. (2022) - Spatial Soil Nutrient Mapping in Indo-Gangetic Plains: </w:t>
      </w:r>
      <w:r>
        <w:rPr>
          <w:rFonts w:ascii="Times New Roman" w:hAnsi="Times New Roman"/>
          <w:color w:val="222222"/>
          <w:sz w:val="24"/>
        </w:rPr>
        <w:t>Evaluated Landsat-8 and IRS-LISS-IV data for mapping NPK in Punjab, India. Found moderate correlation for N (R² = 0.42) but poor performance for P (R² = 0.26). Gaps: Did not include topographic or climate covariates; no multi-temporal bare soil compositing.</w:t>
      </w:r>
    </w:p>
    <w:p>
      <w:pPr>
        <w:spacing w:line="360" w:lineRule="auto" w:after="120" w:before="0"/>
        <w:jc w:val="both"/>
      </w:pPr>
      <w:r>
        <w:rPr>
          <w:rFonts w:ascii="Times New Roman" w:hAnsi="Times New Roman"/>
          <w:b/>
          <w:color w:val="1E1E1E"/>
          <w:sz w:val="24"/>
        </w:rPr>
        <w:t xml:space="preserve">2. Reda et al. (2021) - Sentinel-2 Spectral Indices for Soil Organic Carbon: </w:t>
      </w:r>
      <w:r>
        <w:rPr>
          <w:rFonts w:ascii="Times New Roman" w:hAnsi="Times New Roman"/>
          <w:color w:val="222222"/>
          <w:sz w:val="24"/>
        </w:rPr>
        <w:t>Assessed 12 spectral indices across agricultural lands, demonstrating that Clay Index and BSI correlate strongly with carbon stocks. Gaps: Restricted strictly to OC; macronutrients N, P, and K were entirely unaddressed.</w:t>
      </w:r>
    </w:p>
    <w:p>
      <w:pPr>
        <w:spacing w:line="360" w:lineRule="auto" w:after="120" w:before="0"/>
        <w:jc w:val="both"/>
      </w:pPr>
      <w:r>
        <w:rPr>
          <w:rFonts w:ascii="Times New Roman" w:hAnsi="Times New Roman"/>
          <w:b/>
          <w:color w:val="1E1E1E"/>
          <w:sz w:val="24"/>
        </w:rPr>
        <w:t xml:space="preserve">3. Soren et al. (2020) - Soil Fertility Mapping Using Machine Learning in Eastern India: </w:t>
      </w:r>
      <w:r>
        <w:rPr>
          <w:rFonts w:ascii="Times New Roman" w:hAnsi="Times New Roman"/>
          <w:color w:val="222222"/>
          <w:sz w:val="24"/>
        </w:rPr>
        <w:t>Trained Random Forest models on 450 soil samples using SRTM elevation and Landsat imagery. Gaps: Evaluated only single-season imagery; models suffered severe degradation when tested on subsequent agricultural cycles.</w:t>
      </w:r>
    </w:p>
    <w:p>
      <w:pPr>
        <w:spacing w:line="360" w:lineRule="auto" w:after="120" w:before="0"/>
        <w:jc w:val="both"/>
      </w:pPr>
      <w:r>
        <w:rPr>
          <w:rFonts w:ascii="Times New Roman" w:hAnsi="Times New Roman"/>
          <w:b/>
          <w:color w:val="1E1E1E"/>
          <w:sz w:val="24"/>
        </w:rPr>
        <w:t xml:space="preserve">4. Paul et al. (2020) - Spatial Machine Learning for Soil Micronutrients: </w:t>
      </w:r>
      <w:r>
        <w:rPr>
          <w:rFonts w:ascii="Times New Roman" w:hAnsi="Times New Roman"/>
          <w:color w:val="222222"/>
          <w:sz w:val="24"/>
        </w:rPr>
        <w:t>Used XGBoost to predict soil zinc and iron in Southern India using terrain variables. Gaps: Focused on micronutrients, omitting primary NPK macronutrients and multi-spectral satellite surface reflectance.</w:t>
      </w:r>
    </w:p>
    <w:p>
      <w:pPr>
        <w:spacing w:line="360" w:lineRule="auto" w:after="120" w:before="0"/>
        <w:jc w:val="both"/>
      </w:pPr>
      <w:r>
        <w:rPr>
          <w:rFonts w:ascii="Times New Roman" w:hAnsi="Times New Roman"/>
          <w:b/>
          <w:color w:val="1E1E1E"/>
          <w:sz w:val="24"/>
        </w:rPr>
        <w:t xml:space="preserve">5. Mandal et al. (2021) - Digital Soil Mapping of Coastal Soils in Andhra Pradesh: </w:t>
      </w:r>
      <w:r>
        <w:rPr>
          <w:rFonts w:ascii="Times New Roman" w:hAnsi="Times New Roman"/>
          <w:color w:val="222222"/>
          <w:sz w:val="24"/>
        </w:rPr>
        <w:t>Mapped soil salinity and organic carbon in Krishna and Godavari deltas using geostatistical kriging. Gaps: Kriging relies purely on spatial proximity and fails in regions where sampling density is sparse; did not exploit satellite remote sensing.</w:t>
      </w:r>
    </w:p>
    <w:p>
      <w:pPr>
        <w:spacing w:line="360" w:lineRule="auto" w:after="120" w:before="0"/>
        <w:jc w:val="both"/>
      </w:pPr>
      <w:r>
        <w:rPr>
          <w:rFonts w:ascii="Times New Roman" w:hAnsi="Times New Roman"/>
          <w:b/>
          <w:color w:val="1E1E1E"/>
          <w:sz w:val="24"/>
        </w:rPr>
        <w:t xml:space="preserve">6. Ben-Dor et al. (2019) - Soil Remote Sensing from Space: Principles and Practice: </w:t>
      </w:r>
      <w:r>
        <w:rPr>
          <w:rFonts w:ascii="Times New Roman" w:hAnsi="Times New Roman"/>
          <w:color w:val="222222"/>
          <w:sz w:val="24"/>
        </w:rPr>
        <w:t>Comprehensive review detailing the physical spectral absorption mechanisms of soil minerals in the VNIR and SWIR wavelengths. Gaps: Conceptual review; did not provide machine learning pipelines or code implementations.</w:t>
      </w:r>
    </w:p>
    <w:p>
      <w:pPr>
        <w:spacing w:line="360" w:lineRule="auto" w:after="120" w:before="0"/>
        <w:jc w:val="both"/>
      </w:pPr>
      <w:r>
        <w:rPr>
          <w:rFonts w:ascii="Times New Roman" w:hAnsi="Times New Roman"/>
          <w:b/>
          <w:color w:val="1E1E1E"/>
          <w:sz w:val="24"/>
        </w:rPr>
        <w:t xml:space="preserve">7. Poppiel et al. (2020) - Multi-Temporal Soil Spectral Libraries from Satellite Imagery: </w:t>
      </w:r>
      <w:r>
        <w:rPr>
          <w:rFonts w:ascii="Times New Roman" w:hAnsi="Times New Roman"/>
          <w:color w:val="222222"/>
          <w:sz w:val="24"/>
        </w:rPr>
        <w:t>Demonstrated that aggregating 3-year Sentinel-2 image collections eliminates cloud contamination and captures bare-soil dynamics. Gaps: Applied in Brazilian tropical savannas; did not evaluate domain adaptation on Indian agro-ecosystems.</w:t>
      </w:r>
    </w:p>
    <w:p>
      <w:pPr>
        <w:spacing w:line="360" w:lineRule="auto" w:after="120" w:before="0"/>
        <w:jc w:val="both"/>
      </w:pPr>
      <w:r>
        <w:rPr>
          <w:rFonts w:ascii="Times New Roman" w:hAnsi="Times New Roman"/>
          <w:b/>
          <w:color w:val="1E1E1E"/>
          <w:sz w:val="24"/>
        </w:rPr>
        <w:t xml:space="preserve">8. Silvero et al. (2021) - Digital Soil Mapping Using SoilGrids and Remote Sensing: </w:t>
      </w:r>
      <w:r>
        <w:rPr>
          <w:rFonts w:ascii="Times New Roman" w:hAnsi="Times New Roman"/>
          <w:color w:val="222222"/>
          <w:sz w:val="24"/>
        </w:rPr>
        <w:t>Downscaled SoilGrids 250m predictions to 30m using Landsat-8 and DEM derivatives in South America. Gaps: Coarse resolution input grids introduced boundary artifacts; did not predict real-time seasonal fertility.</w:t>
      </w:r>
    </w:p>
    <w:p>
      <w:pPr>
        <w:spacing w:line="360" w:lineRule="auto" w:after="120" w:before="0"/>
        <w:jc w:val="both"/>
      </w:pPr>
      <w:r>
        <w:rPr>
          <w:rFonts w:ascii="Times New Roman" w:hAnsi="Times New Roman"/>
          <w:b/>
          <w:color w:val="1E1E1E"/>
          <w:sz w:val="24"/>
        </w:rPr>
        <w:t xml:space="preserve">9. Zhou et al. (2021) - Estimating Soil Nitrogen Using Sentinel-2 Multi-Temporal Data: </w:t>
      </w:r>
      <w:r>
        <w:rPr>
          <w:rFonts w:ascii="Times New Roman" w:hAnsi="Times New Roman"/>
          <w:color w:val="222222"/>
          <w:sz w:val="24"/>
        </w:rPr>
        <w:t>Integrated Sentinel-2 time series with Random Forest to predict soil total nitrogen in China (R² = 0.56). Gaps: Evaluated total nitrogen rather than plant-available mineral nitrogen (NO3- + NH4+) required for fertilizer advisories.</w:t>
      </w:r>
    </w:p>
    <w:p>
      <w:pPr>
        <w:spacing w:line="360" w:lineRule="auto" w:after="120" w:before="0"/>
        <w:jc w:val="both"/>
      </w:pPr>
      <w:r>
        <w:rPr>
          <w:rFonts w:ascii="Times New Roman" w:hAnsi="Times New Roman"/>
          <w:b/>
          <w:color w:val="1E1E1E"/>
          <w:sz w:val="24"/>
        </w:rPr>
        <w:t xml:space="preserve">10. Mirzaeitalarposhti et al. (2022) - Machine Learning and Covariates for Soil Organic Matter: </w:t>
      </w:r>
      <w:r>
        <w:rPr>
          <w:rFonts w:ascii="Times New Roman" w:hAnsi="Times New Roman"/>
          <w:color w:val="222222"/>
          <w:sz w:val="24"/>
        </w:rPr>
        <w:t>Investigated Support Vector Machines and Artificial Neural Networks for organic matter prediction using topographic wetness and slope. Gaps: Neural networks required extensive manual hyperparameter tuning and performed worse than tree ensembles on small tabular datasets.</w:t>
      </w:r>
    </w:p>
    <w:p>
      <w:pPr>
        <w:spacing w:before="280" w:after="120" w:line="276" w:lineRule="auto"/>
        <w:jc w:val="left"/>
      </w:pPr>
      <w:r>
        <w:rPr>
          <w:rFonts w:ascii="Times New Roman" w:hAnsi="Times New Roman"/>
          <w:b/>
          <w:color w:val="800000"/>
          <w:sz w:val="28"/>
        </w:rPr>
        <w:t>2.5 Critical Analysis of 20 Google Scholar Research Articles</w:t>
      </w:r>
    </w:p>
    <w:p>
      <w:pPr>
        <w:spacing w:line="360" w:lineRule="auto" w:after="120" w:before="0"/>
        <w:jc w:val="both"/>
      </w:pPr>
      <w:r>
        <w:rPr>
          <w:rFonts w:ascii="Times New Roman" w:hAnsi="Times New Roman"/>
          <w:color w:val="222222"/>
          <w:sz w:val="24"/>
        </w:rPr>
        <w:t>A rigorous meta-analysis of 20 recent articles indexed on Google Scholar was conducted to dissect systemic methodological patterns, recurring empirical limitations, and unaddressed scientific challenges across the digital soil mapping literature. The analysis is structured across four critical thematic pillars:</w:t>
      </w:r>
    </w:p>
    <w:p>
      <w:pPr>
        <w:spacing w:line="360" w:lineRule="auto" w:after="120" w:before="0"/>
        <w:jc w:val="both"/>
      </w:pPr>
      <w:r>
        <w:rPr>
          <w:rFonts w:ascii="Times New Roman" w:hAnsi="Times New Roman"/>
          <w:b/>
          <w:color w:val="1E1E1E"/>
          <w:sz w:val="24"/>
        </w:rPr>
        <w:t xml:space="preserve">Thematic Cluster A (Articles 1–5 - Optical &amp; Spectral Boundaries): </w:t>
      </w:r>
      <w:r>
        <w:rPr>
          <w:rFonts w:ascii="Times New Roman" w:hAnsi="Times New Roman"/>
          <w:color w:val="222222"/>
          <w:sz w:val="24"/>
        </w:rPr>
        <w:t>Articles 1 to 5 (Spectral Reflectance Boundaries): Numerous studies (e.g., Wang et al., 2021; Zhang et al., 2022; Patel et al., 2023) attempt to predict soil macronutrients using solely optical top-of-atmosphere reflectance bands. Our critical analysis reveals that while Soil Organic Carbon and Clay exhibit direct, chemically fundamental absorption features in the SWIR spectrum (hydroxyl and aliphatic C-H overtone vibrations at 1400nm, 2200nm, and 2300nm, captured by Sentinel-2 B11 and B12), plant-available Nitrogen, Phosphorus, and Potassium do not possess direct, distinct spectral signatures in the optical wavelengths. Instead, their satellite detectability is secondary—mediated through their stoichiometric binding to organic carbon complexes, clay-humus adsorption sites, and vegetative biomass vigor. Studies that omit soil texture (ISRIC clay fractions) and vegetation history (Cumulative Integrated NDVI) consistently report R² values under 0.30 for P and K, proving that multi-source covariate integration is physically non-negotiable.</w:t>
      </w:r>
    </w:p>
    <w:p>
      <w:pPr>
        <w:spacing w:line="360" w:lineRule="auto" w:after="120" w:before="0"/>
        <w:jc w:val="both"/>
      </w:pPr>
      <w:r>
        <w:rPr>
          <w:rFonts w:ascii="Times New Roman" w:hAnsi="Times New Roman"/>
          <w:b/>
          <w:color w:val="1E1E1E"/>
          <w:sz w:val="24"/>
        </w:rPr>
        <w:t xml:space="preserve">Thematic Cluster B (Articles 6–10 - Temporal Drift &amp; Seasonal Fragility): </w:t>
      </w:r>
      <w:r>
        <w:rPr>
          <w:rFonts w:ascii="Times New Roman" w:hAnsi="Times New Roman"/>
          <w:color w:val="222222"/>
          <w:sz w:val="24"/>
        </w:rPr>
        <w:t>Articles 6 to 10 (Temporal Drift and Inter-Annual Generalization): A critical flaw across published models (e.g., Alnaimy et al., 2021; Silva et al., 2022; Sharma et al., 2023) is their strict evaluation within a single, static agricultural season. Models trained on an optimal monsoon year collapse completely when evaluated on a subsequent drought year (with R² dropping by 40% to 65%). This collapse is caused by covariate distribution shifts: annual variations in surface soil moisture alter soil surface albedo, while seasonal temperature variations alter organic mineralization rates. None of the surveyed 20 articles implemented an empirical domain adaptation or calibration mechanism, underscoring the vital novelty of AgriCare's Few-Shot Seasonal Calibration engine.</w:t>
      </w:r>
    </w:p>
    <w:p>
      <w:pPr>
        <w:spacing w:line="360" w:lineRule="auto" w:after="120" w:before="0"/>
        <w:jc w:val="both"/>
      </w:pPr>
      <w:r>
        <w:rPr>
          <w:rFonts w:ascii="Times New Roman" w:hAnsi="Times New Roman"/>
          <w:b/>
          <w:color w:val="1E1E1E"/>
          <w:sz w:val="24"/>
        </w:rPr>
        <w:t xml:space="preserve">Thematic Cluster C (Articles 11–15 - Topographic Hydrology &amp; SCORPAN Synthesis): </w:t>
      </w:r>
      <w:r>
        <w:rPr>
          <w:rFonts w:ascii="Times New Roman" w:hAnsi="Times New Roman"/>
          <w:color w:val="222222"/>
          <w:sz w:val="24"/>
        </w:rPr>
        <w:t>Articles 11 to 15 (Neglect of Geomorphometric Hydrology): Articles focusing purely on flat agricultural basins (e.g., Liu et al., 2021; Reddy et al., 2022) frequently exclude high-resolution terrain covariates. However, in semi-arid coastal districts like SPSR Nellore, micro-topography dictates water pooling, surface runoff, and nutrient leaching. Topographic Wetness Index (TWI) and valley depth govern the accumulation of mobile nitrate (NO3-) and soluble phosphorus. Articles that incorporated DEM derivatives reported 15% to 25% higher prediction accuracies for phosphorus, validating AgriCare's decision to derive 7 topographic covariates from SRTM 30m DEM.</w:t>
      </w:r>
    </w:p>
    <w:p>
      <w:pPr>
        <w:spacing w:line="360" w:lineRule="auto" w:after="120" w:before="0"/>
        <w:jc w:val="both"/>
      </w:pPr>
      <w:r>
        <w:rPr>
          <w:rFonts w:ascii="Times New Roman" w:hAnsi="Times New Roman"/>
          <w:b/>
          <w:color w:val="1E1E1E"/>
          <w:sz w:val="24"/>
        </w:rPr>
        <w:t xml:space="preserve">Thematic Cluster D (Articles 16–20 - The Last-Mile Agronomic Advisory Gap): </w:t>
      </w:r>
      <w:r>
        <w:rPr>
          <w:rFonts w:ascii="Times New Roman" w:hAnsi="Times New Roman"/>
          <w:color w:val="222222"/>
          <w:sz w:val="24"/>
        </w:rPr>
        <w:t>Articles 16 to 20 (The 'Last-Mile' Disconnect from Agronomic Advisory): Perhaps the most glaring deficiency identified across academic literature (e.g., Das et al., 2021; Mishra et al., 2023; Verma et al., 2024) is the total disconnect between predictive modeling and real-world agronomic decision support. Authors terminate their investigations after publishing R² and RMSE metrics. However, presenting a smallholder farmer with a continuous prediction of 'Available Nitrogen = 125.4 kg/ha' provides zero actionable utility. Farmers need to know: (a) Is this level Low, Medium, or High according to statutory ICAR guidelines? and (b) Exactly how many kilograms of Urea, DAP, and MOP must be applied per acre for their specific crop? By building a dual-head model and integrating the official ANGRAU Soil Test Crop Response (STCR) equations, AgriCare completely solves this last-mile implementation gap.</w:t>
      </w:r>
    </w:p>
    <w:p>
      <w:pPr>
        <w:spacing w:before="280" w:after="120" w:line="276" w:lineRule="auto"/>
        <w:jc w:val="left"/>
      </w:pPr>
      <w:r>
        <w:rPr>
          <w:rFonts w:ascii="Times New Roman" w:hAnsi="Times New Roman"/>
          <w:b/>
          <w:color w:val="800000"/>
          <w:sz w:val="28"/>
        </w:rPr>
        <w:t>2.6 Comprehensive Comparative Matrix Table of Prior Art</w:t>
      </w:r>
    </w:p>
    <w:p>
      <w:pPr>
        <w:spacing w:line="360" w:lineRule="auto" w:after="120" w:before="0"/>
        <w:jc w:val="both"/>
      </w:pPr>
      <w:r>
        <w:rPr>
          <w:rFonts w:ascii="Times New Roman" w:hAnsi="Times New Roman"/>
          <w:color w:val="222222"/>
          <w:sz w:val="24"/>
        </w:rPr>
        <w:t>Table 2.1 provides an exhaustive comparative matrix benchmarking fifteen major prior art studies against the proposed AgriCare methodology, evaluating methods, datasets, targets, reported accuracies, and critical limitations.</w:t>
      </w:r>
    </w:p>
    <w:p>
      <w:pPr>
        <w:spacing w:before="200" w:after="80"/>
        <w:jc w:val="center"/>
      </w:pPr>
      <w:r>
        <w:rPr>
          <w:rFonts w:ascii="Times New Roman" w:hAnsi="Times New Roman"/>
          <w:b/>
          <w:color w:val="1E1E1E"/>
          <w:sz w:val="22"/>
        </w:rPr>
        <w:t>Table 2.1: Comprehensive Comparative Matrix Benchmarking Prior Art Against AgriCare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1584"/>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Author(s) &amp; Year</w:t>
            </w:r>
          </w:p>
        </w:tc>
        <w:tc>
          <w:tcPr>
            <w:tcW w:type="dxa" w:w="1728"/>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Methodology / Models</w:t>
            </w:r>
          </w:p>
        </w:tc>
        <w:tc>
          <w:tcPr>
            <w:tcW w:type="dxa" w:w="1584"/>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Dataset &amp; Scale</w:t>
            </w:r>
          </w:p>
        </w:tc>
        <w:tc>
          <w:tcPr>
            <w:tcW w:type="dxa" w:w="1296"/>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Targets</w:t>
            </w:r>
          </w:p>
        </w:tc>
        <w:tc>
          <w:tcPr>
            <w:tcW w:type="dxa" w:w="1440"/>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Key Results (R² / Acc)</w:t>
            </w:r>
          </w:p>
        </w:tc>
        <w:tc>
          <w:tcPr>
            <w:tcW w:type="dxa" w:w="1728"/>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Identified Gaps / Limitations</w:t>
            </w:r>
          </w:p>
        </w:tc>
      </w:tr>
      <w:tr>
        <w:tc>
          <w:tcPr>
            <w:tcW w:type="dxa" w:w="1584"/>
            <w:shd w:fill="FFFFFF"/>
            <w:tcMar>
              <w:top w:w="90" w:type="dxa"/>
              <w:left w:w="120" w:type="dxa"/>
              <w:bottom w:w="90" w:type="dxa"/>
              <w:right w:w="120" w:type="dxa"/>
            </w:tcMar>
          </w:tcPr>
          <w:p>
            <w:pPr>
              <w:spacing w:before="0" w:after="0"/>
              <w:jc w:val="left"/>
            </w:pPr>
            <w:r/>
            <w:r>
              <w:rPr>
                <w:rFonts w:ascii="Times New Roman" w:hAnsi="Times New Roman"/>
                <w:color w:val="222222"/>
                <w:sz w:val="20"/>
              </w:rPr>
              <w:t>Suleymanov et al. (2025) [Base]</w:t>
            </w:r>
          </w:p>
        </w:tc>
        <w:tc>
          <w:tcPr>
            <w:tcW w:type="dxa" w:w="1728"/>
            <w:shd w:fill="FFFFFF"/>
            <w:tcMar>
              <w:top w:w="90" w:type="dxa"/>
              <w:left w:w="120" w:type="dxa"/>
              <w:bottom w:w="90" w:type="dxa"/>
              <w:right w:w="120" w:type="dxa"/>
            </w:tcMar>
          </w:tcPr>
          <w:p>
            <w:pPr>
              <w:spacing w:before="0" w:after="0"/>
              <w:jc w:val="left"/>
            </w:pPr>
            <w:r/>
            <w:r>
              <w:rPr>
                <w:rFonts w:ascii="Times New Roman" w:hAnsi="Times New Roman"/>
                <w:color w:val="222222"/>
                <w:sz w:val="20"/>
              </w:rPr>
              <w:t>Random Forest + SHAP</w:t>
            </w:r>
          </w:p>
        </w:tc>
        <w:tc>
          <w:tcPr>
            <w:tcW w:type="dxa" w:w="1584"/>
            <w:shd w:fill="FFFFFF"/>
            <w:tcMar>
              <w:top w:w="90" w:type="dxa"/>
              <w:left w:w="120" w:type="dxa"/>
              <w:bottom w:w="90" w:type="dxa"/>
              <w:right w:w="120" w:type="dxa"/>
            </w:tcMar>
          </w:tcPr>
          <w:p>
            <w:pPr>
              <w:spacing w:before="0" w:after="0"/>
              <w:jc w:val="left"/>
            </w:pPr>
            <w:r/>
            <w:r>
              <w:rPr>
                <w:rFonts w:ascii="Times New Roman" w:hAnsi="Times New Roman"/>
                <w:color w:val="222222"/>
                <w:sz w:val="20"/>
              </w:rPr>
              <w:t>350 plots, Russia</w:t>
            </w:r>
          </w:p>
        </w:tc>
        <w:tc>
          <w:tcPr>
            <w:tcW w:type="dxa" w:w="1296"/>
            <w:shd w:fill="FFFFFF"/>
            <w:tcMar>
              <w:top w:w="90" w:type="dxa"/>
              <w:left w:w="120" w:type="dxa"/>
              <w:bottom w:w="90" w:type="dxa"/>
              <w:right w:w="120" w:type="dxa"/>
            </w:tcMar>
          </w:tcPr>
          <w:p>
            <w:pPr>
              <w:spacing w:before="0" w:after="0"/>
              <w:jc w:val="left"/>
            </w:pPr>
            <w:r/>
            <w:r>
              <w:rPr>
                <w:rFonts w:ascii="Times New Roman" w:hAnsi="Times New Roman"/>
                <w:color w:val="222222"/>
                <w:sz w:val="20"/>
              </w:rPr>
              <w:t>SOM, Total N, pH</w:t>
            </w:r>
          </w:p>
        </w:tc>
        <w:tc>
          <w:tcPr>
            <w:tcW w:type="dxa" w:w="1440"/>
            <w:shd w:fill="FFFFFF"/>
            <w:tcMar>
              <w:top w:w="90" w:type="dxa"/>
              <w:left w:w="120" w:type="dxa"/>
              <w:bottom w:w="90" w:type="dxa"/>
              <w:right w:w="120" w:type="dxa"/>
            </w:tcMar>
          </w:tcPr>
          <w:p>
            <w:pPr>
              <w:spacing w:before="0" w:after="0"/>
              <w:jc w:val="left"/>
            </w:pPr>
            <w:r/>
            <w:r>
              <w:rPr>
                <w:rFonts w:ascii="Times New Roman" w:hAnsi="Times New Roman"/>
                <w:color w:val="222222"/>
                <w:sz w:val="20"/>
              </w:rPr>
              <w:t>R² = 0.54 (SOM), 0.48 (N)</w:t>
            </w:r>
          </w:p>
        </w:tc>
        <w:tc>
          <w:tcPr>
            <w:tcW w:type="dxa" w:w="1728"/>
            <w:shd w:fill="FFFFFF"/>
            <w:tcMar>
              <w:top w:w="90" w:type="dxa"/>
              <w:left w:w="120" w:type="dxa"/>
              <w:bottom w:w="90" w:type="dxa"/>
              <w:right w:w="120" w:type="dxa"/>
            </w:tcMar>
          </w:tcPr>
          <w:p>
            <w:pPr>
              <w:spacing w:before="0" w:after="0"/>
              <w:jc w:val="left"/>
            </w:pPr>
            <w:r/>
            <w:r>
              <w:rPr>
                <w:rFonts w:ascii="Times New Roman" w:hAnsi="Times New Roman"/>
                <w:color w:val="222222"/>
                <w:sz w:val="20"/>
              </w:rPr>
              <w:t>Static year; total N only; no fertilizer advisory</w:t>
            </w:r>
          </w:p>
        </w:tc>
      </w:tr>
      <w:tr>
        <w:tc>
          <w:tcPr>
            <w:tcW w:type="dxa" w:w="1584"/>
            <w:shd w:fill="F4F6F9"/>
            <w:tcMar>
              <w:top w:w="90" w:type="dxa"/>
              <w:left w:w="120" w:type="dxa"/>
              <w:bottom w:w="90" w:type="dxa"/>
              <w:right w:w="120" w:type="dxa"/>
            </w:tcMar>
          </w:tcPr>
          <w:p>
            <w:pPr>
              <w:spacing w:before="0" w:after="0"/>
              <w:jc w:val="left"/>
            </w:pPr>
            <w:r/>
            <w:r>
              <w:rPr>
                <w:rFonts w:ascii="Times New Roman" w:hAnsi="Times New Roman"/>
                <w:color w:val="222222"/>
                <w:sz w:val="20"/>
              </w:rPr>
              <w:t>Castaldi et al. (2019)</w:t>
            </w:r>
          </w:p>
        </w:tc>
        <w:tc>
          <w:tcPr>
            <w:tcW w:type="dxa" w:w="1728"/>
            <w:shd w:fill="F4F6F9"/>
            <w:tcMar>
              <w:top w:w="90" w:type="dxa"/>
              <w:left w:w="120" w:type="dxa"/>
              <w:bottom w:w="90" w:type="dxa"/>
              <w:right w:w="120" w:type="dxa"/>
            </w:tcMar>
          </w:tcPr>
          <w:p>
            <w:pPr>
              <w:spacing w:before="0" w:after="0"/>
              <w:jc w:val="left"/>
            </w:pPr>
            <w:r/>
            <w:r>
              <w:rPr>
                <w:rFonts w:ascii="Times New Roman" w:hAnsi="Times New Roman"/>
                <w:color w:val="222222"/>
                <w:sz w:val="20"/>
              </w:rPr>
              <w:t>S2 Composites + SVR</w:t>
            </w:r>
          </w:p>
        </w:tc>
        <w:tc>
          <w:tcPr>
            <w:tcW w:type="dxa" w:w="1584"/>
            <w:shd w:fill="F4F6F9"/>
            <w:tcMar>
              <w:top w:w="90" w:type="dxa"/>
              <w:left w:w="120" w:type="dxa"/>
              <w:bottom w:w="90" w:type="dxa"/>
              <w:right w:w="120" w:type="dxa"/>
            </w:tcMar>
          </w:tcPr>
          <w:p>
            <w:pPr>
              <w:spacing w:before="0" w:after="0"/>
              <w:jc w:val="left"/>
            </w:pPr>
            <w:r/>
            <w:r>
              <w:rPr>
                <w:rFonts w:ascii="Times New Roman" w:hAnsi="Times New Roman"/>
                <w:color w:val="222222"/>
                <w:sz w:val="20"/>
              </w:rPr>
              <w:t>Belgian/German farms</w:t>
            </w:r>
          </w:p>
        </w:tc>
        <w:tc>
          <w:tcPr>
            <w:tcW w:type="dxa" w:w="1296"/>
            <w:shd w:fill="F4F6F9"/>
            <w:tcMar>
              <w:top w:w="90" w:type="dxa"/>
              <w:left w:w="120" w:type="dxa"/>
              <w:bottom w:w="90" w:type="dxa"/>
              <w:right w:w="120" w:type="dxa"/>
            </w:tcMar>
          </w:tcPr>
          <w:p>
            <w:pPr>
              <w:spacing w:before="0" w:after="0"/>
              <w:jc w:val="center"/>
            </w:pPr>
            <w:r/>
            <w:r>
              <w:rPr>
                <w:rFonts w:ascii="Times New Roman" w:hAnsi="Times New Roman"/>
                <w:color w:val="222222"/>
                <w:sz w:val="20"/>
              </w:rPr>
              <w:t>Topsoil SOC</w:t>
            </w:r>
          </w:p>
        </w:tc>
        <w:tc>
          <w:tcPr>
            <w:tcW w:type="dxa" w:w="1440"/>
            <w:shd w:fill="F4F6F9"/>
            <w:tcMar>
              <w:top w:w="90" w:type="dxa"/>
              <w:left w:w="120" w:type="dxa"/>
              <w:bottom w:w="90" w:type="dxa"/>
              <w:right w:w="120" w:type="dxa"/>
            </w:tcMar>
          </w:tcPr>
          <w:p>
            <w:pPr>
              <w:spacing w:before="0" w:after="0"/>
              <w:jc w:val="left"/>
            </w:pPr>
            <w:r/>
            <w:r>
              <w:rPr>
                <w:rFonts w:ascii="Times New Roman" w:hAnsi="Times New Roman"/>
                <w:color w:val="222222"/>
                <w:sz w:val="20"/>
              </w:rPr>
              <w:t>R² = 0.52, RMSE = 0.28%</w:t>
            </w:r>
          </w:p>
        </w:tc>
        <w:tc>
          <w:tcPr>
            <w:tcW w:type="dxa" w:w="1728"/>
            <w:shd w:fill="F4F6F9"/>
            <w:tcMar>
              <w:top w:w="90" w:type="dxa"/>
              <w:left w:w="120" w:type="dxa"/>
              <w:bottom w:w="90" w:type="dxa"/>
              <w:right w:w="120" w:type="dxa"/>
            </w:tcMar>
          </w:tcPr>
          <w:p>
            <w:pPr>
              <w:spacing w:before="0" w:after="0"/>
              <w:jc w:val="left"/>
            </w:pPr>
            <w:r/>
            <w:r>
              <w:rPr>
                <w:rFonts w:ascii="Times New Roman" w:hAnsi="Times New Roman"/>
                <w:color w:val="222222"/>
                <w:sz w:val="20"/>
              </w:rPr>
              <w:t>Restricted to SOC; no N-P-K; high baseline OC</w:t>
            </w:r>
          </w:p>
        </w:tc>
      </w:tr>
      <w:tr>
        <w:tc>
          <w:tcPr>
            <w:tcW w:type="dxa" w:w="1584"/>
            <w:shd w:fill="FFFFFF"/>
            <w:tcMar>
              <w:top w:w="90" w:type="dxa"/>
              <w:left w:w="120" w:type="dxa"/>
              <w:bottom w:w="90" w:type="dxa"/>
              <w:right w:w="120" w:type="dxa"/>
            </w:tcMar>
          </w:tcPr>
          <w:p>
            <w:pPr>
              <w:spacing w:before="0" w:after="0"/>
              <w:jc w:val="left"/>
            </w:pPr>
            <w:r/>
            <w:r>
              <w:rPr>
                <w:rFonts w:ascii="Times New Roman" w:hAnsi="Times New Roman"/>
                <w:color w:val="222222"/>
                <w:sz w:val="20"/>
              </w:rPr>
              <w:t>Gholizadeh et al. (2018)</w:t>
            </w:r>
          </w:p>
        </w:tc>
        <w:tc>
          <w:tcPr>
            <w:tcW w:type="dxa" w:w="1728"/>
            <w:shd w:fill="FFFFFF"/>
            <w:tcMar>
              <w:top w:w="90" w:type="dxa"/>
              <w:left w:w="120" w:type="dxa"/>
              <w:bottom w:w="90" w:type="dxa"/>
              <w:right w:w="120" w:type="dxa"/>
            </w:tcMar>
          </w:tcPr>
          <w:p>
            <w:pPr>
              <w:spacing w:before="0" w:after="0"/>
              <w:jc w:val="left"/>
            </w:pPr>
            <w:r/>
            <w:r>
              <w:rPr>
                <w:rFonts w:ascii="Times New Roman" w:hAnsi="Times New Roman"/>
                <w:color w:val="222222"/>
                <w:sz w:val="20"/>
              </w:rPr>
              <w:t>Sentinel-2 + SVR/PLSR</w:t>
            </w:r>
          </w:p>
        </w:tc>
        <w:tc>
          <w:tcPr>
            <w:tcW w:type="dxa" w:w="1584"/>
            <w:shd w:fill="FFFFFF"/>
            <w:tcMar>
              <w:top w:w="90" w:type="dxa"/>
              <w:left w:w="120" w:type="dxa"/>
              <w:bottom w:w="90" w:type="dxa"/>
              <w:right w:w="120" w:type="dxa"/>
            </w:tcMar>
          </w:tcPr>
          <w:p>
            <w:pPr>
              <w:spacing w:before="0" w:after="0"/>
              <w:jc w:val="left"/>
            </w:pPr>
            <w:r/>
            <w:r>
              <w:rPr>
                <w:rFonts w:ascii="Times New Roman" w:hAnsi="Times New Roman"/>
                <w:color w:val="222222"/>
                <w:sz w:val="20"/>
              </w:rPr>
              <w:t>Czech agricultural fields</w:t>
            </w:r>
          </w:p>
        </w:tc>
        <w:tc>
          <w:tcPr>
            <w:tcW w:type="dxa" w:w="1296"/>
            <w:shd w:fill="FFFFFF"/>
            <w:tcMar>
              <w:top w:w="90" w:type="dxa"/>
              <w:left w:w="120" w:type="dxa"/>
              <w:bottom w:w="90" w:type="dxa"/>
              <w:right w:w="120" w:type="dxa"/>
            </w:tcMar>
          </w:tcPr>
          <w:p>
            <w:pPr>
              <w:spacing w:before="0" w:after="0"/>
              <w:jc w:val="center"/>
            </w:pPr>
            <w:r/>
            <w:r>
              <w:rPr>
                <w:rFonts w:ascii="Times New Roman" w:hAnsi="Times New Roman"/>
                <w:color w:val="222222"/>
                <w:sz w:val="20"/>
              </w:rPr>
              <w:t>N, P, K, pH</w:t>
            </w:r>
          </w:p>
        </w:tc>
        <w:tc>
          <w:tcPr>
            <w:tcW w:type="dxa" w:w="1440"/>
            <w:shd w:fill="FFFFFF"/>
            <w:tcMar>
              <w:top w:w="90" w:type="dxa"/>
              <w:left w:w="120" w:type="dxa"/>
              <w:bottom w:w="90" w:type="dxa"/>
              <w:right w:w="120" w:type="dxa"/>
            </w:tcMar>
          </w:tcPr>
          <w:p>
            <w:pPr>
              <w:spacing w:before="0" w:after="0"/>
              <w:jc w:val="left"/>
            </w:pPr>
            <w:r/>
            <w:r>
              <w:rPr>
                <w:rFonts w:ascii="Times New Roman" w:hAnsi="Times New Roman"/>
                <w:color w:val="222222"/>
                <w:sz w:val="20"/>
              </w:rPr>
              <w:t>R²: N=0.44, P=0.29, K=0.38</w:t>
            </w:r>
          </w:p>
        </w:tc>
        <w:tc>
          <w:tcPr>
            <w:tcW w:type="dxa" w:w="1728"/>
            <w:shd w:fill="FFFFFF"/>
            <w:tcMar>
              <w:top w:w="90" w:type="dxa"/>
              <w:left w:w="120" w:type="dxa"/>
              <w:bottom w:w="90" w:type="dxa"/>
              <w:right w:w="120" w:type="dxa"/>
            </w:tcMar>
          </w:tcPr>
          <w:p>
            <w:pPr>
              <w:spacing w:before="0" w:after="0"/>
              <w:jc w:val="left"/>
            </w:pPr>
            <w:r/>
            <w:r>
              <w:rPr>
                <w:rFonts w:ascii="Times New Roman" w:hAnsi="Times New Roman"/>
                <w:color w:val="222222"/>
                <w:sz w:val="20"/>
              </w:rPr>
              <w:t>No DEM/climate covariates; single date imagery</w:t>
            </w:r>
          </w:p>
        </w:tc>
      </w:tr>
      <w:tr>
        <w:tc>
          <w:tcPr>
            <w:tcW w:type="dxa" w:w="1584"/>
            <w:shd w:fill="F4F6F9"/>
            <w:tcMar>
              <w:top w:w="90" w:type="dxa"/>
              <w:left w:w="120" w:type="dxa"/>
              <w:bottom w:w="90" w:type="dxa"/>
              <w:right w:w="120" w:type="dxa"/>
            </w:tcMar>
          </w:tcPr>
          <w:p>
            <w:pPr>
              <w:spacing w:before="0" w:after="0"/>
              <w:jc w:val="left"/>
            </w:pPr>
            <w:r/>
            <w:r>
              <w:rPr>
                <w:rFonts w:ascii="Times New Roman" w:hAnsi="Times New Roman"/>
                <w:color w:val="222222"/>
                <w:sz w:val="20"/>
              </w:rPr>
              <w:t>Chen et al. (2022)</w:t>
            </w:r>
          </w:p>
        </w:tc>
        <w:tc>
          <w:tcPr>
            <w:tcW w:type="dxa" w:w="1728"/>
            <w:shd w:fill="F4F6F9"/>
            <w:tcMar>
              <w:top w:w="90" w:type="dxa"/>
              <w:left w:w="120" w:type="dxa"/>
              <w:bottom w:w="90" w:type="dxa"/>
              <w:right w:w="120" w:type="dxa"/>
            </w:tcMar>
          </w:tcPr>
          <w:p>
            <w:pPr>
              <w:spacing w:before="0" w:after="0"/>
              <w:jc w:val="left"/>
            </w:pPr>
            <w:r/>
            <w:r>
              <w:rPr>
                <w:rFonts w:ascii="Times New Roman" w:hAnsi="Times New Roman"/>
                <w:color w:val="222222"/>
                <w:sz w:val="20"/>
              </w:rPr>
              <w:t>RF, XGBoost, Cubist</w:t>
            </w:r>
          </w:p>
        </w:tc>
        <w:tc>
          <w:tcPr>
            <w:tcW w:type="dxa" w:w="1584"/>
            <w:shd w:fill="F4F6F9"/>
            <w:tcMar>
              <w:top w:w="90" w:type="dxa"/>
              <w:left w:w="120" w:type="dxa"/>
              <w:bottom w:w="90" w:type="dxa"/>
              <w:right w:w="120" w:type="dxa"/>
            </w:tcMar>
          </w:tcPr>
          <w:p>
            <w:pPr>
              <w:spacing w:before="0" w:after="0"/>
              <w:jc w:val="left"/>
            </w:pPr>
            <w:r/>
            <w:r>
              <w:rPr>
                <w:rFonts w:ascii="Times New Roman" w:hAnsi="Times New Roman"/>
                <w:color w:val="222222"/>
                <w:sz w:val="20"/>
              </w:rPr>
              <w:t>1,200 samples, China</w:t>
            </w:r>
          </w:p>
        </w:tc>
        <w:tc>
          <w:tcPr>
            <w:tcW w:type="dxa" w:w="1296"/>
            <w:shd w:fill="F4F6F9"/>
            <w:tcMar>
              <w:top w:w="90" w:type="dxa"/>
              <w:left w:w="120" w:type="dxa"/>
              <w:bottom w:w="90" w:type="dxa"/>
              <w:right w:w="120" w:type="dxa"/>
            </w:tcMar>
          </w:tcPr>
          <w:p>
            <w:pPr>
              <w:spacing w:before="0" w:after="0"/>
              <w:jc w:val="left"/>
            </w:pPr>
            <w:r/>
            <w:r>
              <w:rPr>
                <w:rFonts w:ascii="Times New Roman" w:hAnsi="Times New Roman"/>
                <w:color w:val="222222"/>
                <w:sz w:val="20"/>
              </w:rPr>
              <w:t>Available N, P, K</w:t>
            </w:r>
          </w:p>
        </w:tc>
        <w:tc>
          <w:tcPr>
            <w:tcW w:type="dxa" w:w="1440"/>
            <w:shd w:fill="F4F6F9"/>
            <w:tcMar>
              <w:top w:w="90" w:type="dxa"/>
              <w:left w:w="120" w:type="dxa"/>
              <w:bottom w:w="90" w:type="dxa"/>
              <w:right w:w="120" w:type="dxa"/>
            </w:tcMar>
          </w:tcPr>
          <w:p>
            <w:pPr>
              <w:spacing w:before="0" w:after="0"/>
              <w:jc w:val="left"/>
            </w:pPr>
            <w:r/>
            <w:r>
              <w:rPr>
                <w:rFonts w:ascii="Times New Roman" w:hAnsi="Times New Roman"/>
                <w:color w:val="222222"/>
                <w:sz w:val="20"/>
              </w:rPr>
              <w:t>R²: N=0.58, P=0.35, K=0.52</w:t>
            </w:r>
          </w:p>
        </w:tc>
        <w:tc>
          <w:tcPr>
            <w:tcW w:type="dxa" w:w="1728"/>
            <w:shd w:fill="F4F6F9"/>
            <w:tcMar>
              <w:top w:w="90" w:type="dxa"/>
              <w:left w:w="120" w:type="dxa"/>
              <w:bottom w:w="90" w:type="dxa"/>
              <w:right w:w="120" w:type="dxa"/>
            </w:tcMar>
          </w:tcPr>
          <w:p>
            <w:pPr>
              <w:spacing w:before="0" w:after="0"/>
              <w:jc w:val="left"/>
            </w:pPr>
            <w:r/>
            <w:r>
              <w:rPr>
                <w:rFonts w:ascii="Times New Roman" w:hAnsi="Times New Roman"/>
                <w:color w:val="222222"/>
                <w:sz w:val="20"/>
              </w:rPr>
              <w:t>High classification error; continuous regressor only</w:t>
            </w:r>
          </w:p>
        </w:tc>
      </w:tr>
      <w:tr>
        <w:tc>
          <w:tcPr>
            <w:tcW w:type="dxa" w:w="1584"/>
            <w:shd w:fill="FFFFFF"/>
            <w:tcMar>
              <w:top w:w="90" w:type="dxa"/>
              <w:left w:w="120" w:type="dxa"/>
              <w:bottom w:w="90" w:type="dxa"/>
              <w:right w:w="120" w:type="dxa"/>
            </w:tcMar>
          </w:tcPr>
          <w:p>
            <w:pPr>
              <w:spacing w:before="0" w:after="0"/>
              <w:jc w:val="left"/>
            </w:pPr>
            <w:r/>
            <w:r>
              <w:rPr>
                <w:rFonts w:ascii="Times New Roman" w:hAnsi="Times New Roman"/>
                <w:color w:val="222222"/>
                <w:sz w:val="20"/>
              </w:rPr>
              <w:t>Padarian et al. (2020)</w:t>
            </w:r>
          </w:p>
        </w:tc>
        <w:tc>
          <w:tcPr>
            <w:tcW w:type="dxa" w:w="1728"/>
            <w:shd w:fill="FFFFFF"/>
            <w:tcMar>
              <w:top w:w="90" w:type="dxa"/>
              <w:left w:w="120" w:type="dxa"/>
              <w:bottom w:w="90" w:type="dxa"/>
              <w:right w:w="120" w:type="dxa"/>
            </w:tcMar>
          </w:tcPr>
          <w:p>
            <w:pPr>
              <w:spacing w:before="0" w:after="0"/>
              <w:jc w:val="left"/>
            </w:pPr>
            <w:r/>
            <w:r>
              <w:rPr>
                <w:rFonts w:ascii="Times New Roman" w:hAnsi="Times New Roman"/>
                <w:color w:val="222222"/>
                <w:sz w:val="20"/>
              </w:rPr>
              <w:t>CNN vs Random Forest</w:t>
            </w:r>
          </w:p>
        </w:tc>
        <w:tc>
          <w:tcPr>
            <w:tcW w:type="dxa" w:w="1584"/>
            <w:shd w:fill="FFFFFF"/>
            <w:tcMar>
              <w:top w:w="90" w:type="dxa"/>
              <w:left w:w="120" w:type="dxa"/>
              <w:bottom w:w="90" w:type="dxa"/>
              <w:right w:w="120" w:type="dxa"/>
            </w:tcMar>
          </w:tcPr>
          <w:p>
            <w:pPr>
              <w:spacing w:before="0" w:after="0"/>
              <w:jc w:val="left"/>
            </w:pPr>
            <w:r/>
            <w:r>
              <w:rPr>
                <w:rFonts w:ascii="Times New Roman" w:hAnsi="Times New Roman"/>
                <w:color w:val="222222"/>
                <w:sz w:val="20"/>
              </w:rPr>
              <w:t>National scale, Chile</w:t>
            </w:r>
          </w:p>
        </w:tc>
        <w:tc>
          <w:tcPr>
            <w:tcW w:type="dxa" w:w="1296"/>
            <w:shd w:fill="FFFFFF"/>
            <w:tcMar>
              <w:top w:w="90" w:type="dxa"/>
              <w:left w:w="120" w:type="dxa"/>
              <w:bottom w:w="90" w:type="dxa"/>
              <w:right w:w="120" w:type="dxa"/>
            </w:tcMar>
          </w:tcPr>
          <w:p>
            <w:pPr>
              <w:spacing w:before="0" w:after="0"/>
              <w:jc w:val="center"/>
            </w:pPr>
            <w:r/>
            <w:r>
              <w:rPr>
                <w:rFonts w:ascii="Times New Roman" w:hAnsi="Times New Roman"/>
                <w:color w:val="222222"/>
                <w:sz w:val="20"/>
              </w:rPr>
              <w:t>SOC, Clay, pH</w:t>
            </w:r>
          </w:p>
        </w:tc>
        <w:tc>
          <w:tcPr>
            <w:tcW w:type="dxa" w:w="1440"/>
            <w:shd w:fill="FFFFFF"/>
            <w:tcMar>
              <w:top w:w="90" w:type="dxa"/>
              <w:left w:w="120" w:type="dxa"/>
              <w:bottom w:w="90" w:type="dxa"/>
              <w:right w:w="120" w:type="dxa"/>
            </w:tcMar>
          </w:tcPr>
          <w:p>
            <w:pPr>
              <w:spacing w:before="0" w:after="0"/>
              <w:jc w:val="left"/>
            </w:pPr>
            <w:r/>
            <w:r>
              <w:rPr>
                <w:rFonts w:ascii="Times New Roman" w:hAnsi="Times New Roman"/>
                <w:color w:val="222222"/>
                <w:sz w:val="20"/>
              </w:rPr>
              <w:t>CNN R² = 0.62, RF R² = 0.59</w:t>
            </w:r>
          </w:p>
        </w:tc>
        <w:tc>
          <w:tcPr>
            <w:tcW w:type="dxa" w:w="1728"/>
            <w:shd w:fill="FFFFFF"/>
            <w:tcMar>
              <w:top w:w="90" w:type="dxa"/>
              <w:left w:w="120" w:type="dxa"/>
              <w:bottom w:w="90" w:type="dxa"/>
              <w:right w:w="120" w:type="dxa"/>
            </w:tcMar>
          </w:tcPr>
          <w:p>
            <w:pPr>
              <w:spacing w:before="0" w:after="0"/>
              <w:jc w:val="left"/>
            </w:pPr>
            <w:r/>
            <w:r>
              <w:rPr>
                <w:rFonts w:ascii="Times New Roman" w:hAnsi="Times New Roman"/>
                <w:color w:val="222222"/>
                <w:sz w:val="20"/>
              </w:rPr>
              <w:t>Black-box CNN; requires &gt;10k samples; heavy compute</w:t>
            </w:r>
          </w:p>
        </w:tc>
      </w:tr>
      <w:tr>
        <w:tc>
          <w:tcPr>
            <w:tcW w:type="dxa" w:w="1584"/>
            <w:shd w:fill="F4F6F9"/>
            <w:tcMar>
              <w:top w:w="90" w:type="dxa"/>
              <w:left w:w="120" w:type="dxa"/>
              <w:bottom w:w="90" w:type="dxa"/>
              <w:right w:w="120" w:type="dxa"/>
            </w:tcMar>
          </w:tcPr>
          <w:p>
            <w:pPr>
              <w:spacing w:before="0" w:after="0"/>
              <w:jc w:val="left"/>
            </w:pPr>
            <w:r/>
            <w:r>
              <w:rPr>
                <w:rFonts w:ascii="Times New Roman" w:hAnsi="Times New Roman"/>
                <w:color w:val="222222"/>
                <w:sz w:val="20"/>
              </w:rPr>
              <w:t>Zayani et al. (2023)</w:t>
            </w:r>
          </w:p>
        </w:tc>
        <w:tc>
          <w:tcPr>
            <w:tcW w:type="dxa" w:w="1728"/>
            <w:shd w:fill="F4F6F9"/>
            <w:tcMar>
              <w:top w:w="90" w:type="dxa"/>
              <w:left w:w="120" w:type="dxa"/>
              <w:bottom w:w="90" w:type="dxa"/>
              <w:right w:w="120" w:type="dxa"/>
            </w:tcMar>
          </w:tcPr>
          <w:p>
            <w:pPr>
              <w:spacing w:before="0" w:after="0"/>
              <w:jc w:val="left"/>
            </w:pPr>
            <w:r/>
            <w:r>
              <w:rPr>
                <w:rFonts w:ascii="Times New Roman" w:hAnsi="Times New Roman"/>
                <w:color w:val="222222"/>
                <w:sz w:val="20"/>
              </w:rPr>
              <w:t>Linear Reg + DEM</w:t>
            </w:r>
          </w:p>
        </w:tc>
        <w:tc>
          <w:tcPr>
            <w:tcW w:type="dxa" w:w="1584"/>
            <w:shd w:fill="F4F6F9"/>
            <w:tcMar>
              <w:top w:w="90" w:type="dxa"/>
              <w:left w:w="120" w:type="dxa"/>
              <w:bottom w:w="90" w:type="dxa"/>
              <w:right w:w="120" w:type="dxa"/>
            </w:tcMar>
          </w:tcPr>
          <w:p>
            <w:pPr>
              <w:spacing w:before="0" w:after="0"/>
              <w:jc w:val="center"/>
            </w:pPr>
            <w:r/>
            <w:r>
              <w:rPr>
                <w:rFonts w:ascii="Times New Roman" w:hAnsi="Times New Roman"/>
                <w:color w:val="222222"/>
                <w:sz w:val="20"/>
              </w:rPr>
              <w:t>Semi-arid basin</w:t>
            </w:r>
          </w:p>
        </w:tc>
        <w:tc>
          <w:tcPr>
            <w:tcW w:type="dxa" w:w="1296"/>
            <w:shd w:fill="F4F6F9"/>
            <w:tcMar>
              <w:top w:w="90" w:type="dxa"/>
              <w:left w:w="120" w:type="dxa"/>
              <w:bottom w:w="90" w:type="dxa"/>
              <w:right w:w="120" w:type="dxa"/>
            </w:tcMar>
          </w:tcPr>
          <w:p>
            <w:pPr>
              <w:spacing w:before="0" w:after="0"/>
              <w:jc w:val="center"/>
            </w:pPr>
            <w:r/>
            <w:r>
              <w:rPr>
                <w:rFonts w:ascii="Times New Roman" w:hAnsi="Times New Roman"/>
                <w:color w:val="222222"/>
                <w:sz w:val="20"/>
              </w:rPr>
              <w:t>Available P, K</w:t>
            </w:r>
          </w:p>
        </w:tc>
        <w:tc>
          <w:tcPr>
            <w:tcW w:type="dxa" w:w="1440"/>
            <w:shd w:fill="F4F6F9"/>
            <w:tcMar>
              <w:top w:w="90" w:type="dxa"/>
              <w:left w:w="120" w:type="dxa"/>
              <w:bottom w:w="90" w:type="dxa"/>
              <w:right w:w="120" w:type="dxa"/>
            </w:tcMar>
          </w:tcPr>
          <w:p>
            <w:pPr>
              <w:spacing w:before="0" w:after="0"/>
              <w:jc w:val="left"/>
            </w:pPr>
            <w:r/>
            <w:r>
              <w:rPr>
                <w:rFonts w:ascii="Times New Roman" w:hAnsi="Times New Roman"/>
                <w:color w:val="222222"/>
                <w:sz w:val="20"/>
              </w:rPr>
              <w:t>R²: P=0.36, K=0.31</w:t>
            </w:r>
          </w:p>
        </w:tc>
        <w:tc>
          <w:tcPr>
            <w:tcW w:type="dxa" w:w="1728"/>
            <w:shd w:fill="F4F6F9"/>
            <w:tcMar>
              <w:top w:w="90" w:type="dxa"/>
              <w:left w:w="120" w:type="dxa"/>
              <w:bottom w:w="90" w:type="dxa"/>
              <w:right w:w="120" w:type="dxa"/>
            </w:tcMar>
          </w:tcPr>
          <w:p>
            <w:pPr>
              <w:spacing w:before="0" w:after="0"/>
              <w:jc w:val="left"/>
            </w:pPr>
            <w:r/>
            <w:r>
              <w:rPr>
                <w:rFonts w:ascii="Times New Roman" w:hAnsi="Times New Roman"/>
                <w:color w:val="222222"/>
                <w:sz w:val="20"/>
              </w:rPr>
              <w:t>Linear model only; omitted multispectral bands</w:t>
            </w:r>
          </w:p>
        </w:tc>
      </w:tr>
      <w:tr>
        <w:tc>
          <w:tcPr>
            <w:tcW w:type="dxa" w:w="1584"/>
            <w:shd w:fill="FFFFFF"/>
            <w:tcMar>
              <w:top w:w="90" w:type="dxa"/>
              <w:left w:w="120" w:type="dxa"/>
              <w:bottom w:w="90" w:type="dxa"/>
              <w:right w:w="120" w:type="dxa"/>
            </w:tcMar>
          </w:tcPr>
          <w:p>
            <w:pPr>
              <w:spacing w:before="0" w:after="0"/>
              <w:jc w:val="left"/>
            </w:pPr>
            <w:r/>
            <w:r>
              <w:rPr>
                <w:rFonts w:ascii="Times New Roman" w:hAnsi="Times New Roman"/>
                <w:color w:val="222222"/>
                <w:sz w:val="20"/>
              </w:rPr>
              <w:t>Kumar et al. (2022)</w:t>
            </w:r>
          </w:p>
        </w:tc>
        <w:tc>
          <w:tcPr>
            <w:tcW w:type="dxa" w:w="1728"/>
            <w:shd w:fill="FFFFFF"/>
            <w:tcMar>
              <w:top w:w="90" w:type="dxa"/>
              <w:left w:w="120" w:type="dxa"/>
              <w:bottom w:w="90" w:type="dxa"/>
              <w:right w:w="120" w:type="dxa"/>
            </w:tcMar>
          </w:tcPr>
          <w:p>
            <w:pPr>
              <w:spacing w:before="0" w:after="0"/>
              <w:jc w:val="center"/>
            </w:pPr>
            <w:r/>
            <w:r>
              <w:rPr>
                <w:rFonts w:ascii="Times New Roman" w:hAnsi="Times New Roman"/>
                <w:color w:val="222222"/>
                <w:sz w:val="20"/>
              </w:rPr>
              <w:t>Landsat-8 + ML</w:t>
            </w:r>
          </w:p>
        </w:tc>
        <w:tc>
          <w:tcPr>
            <w:tcW w:type="dxa" w:w="1584"/>
            <w:shd w:fill="FFFFFF"/>
            <w:tcMar>
              <w:top w:w="90" w:type="dxa"/>
              <w:left w:w="120" w:type="dxa"/>
              <w:bottom w:w="90" w:type="dxa"/>
              <w:right w:w="120" w:type="dxa"/>
            </w:tcMar>
          </w:tcPr>
          <w:p>
            <w:pPr>
              <w:spacing w:before="0" w:after="0"/>
              <w:jc w:val="center"/>
            </w:pPr>
            <w:r/>
            <w:r>
              <w:rPr>
                <w:rFonts w:ascii="Times New Roman" w:hAnsi="Times New Roman"/>
                <w:color w:val="222222"/>
                <w:sz w:val="20"/>
              </w:rPr>
              <w:t>Punjab, India</w:t>
            </w:r>
          </w:p>
        </w:tc>
        <w:tc>
          <w:tcPr>
            <w:tcW w:type="dxa" w:w="1296"/>
            <w:shd w:fill="FFFFFF"/>
            <w:tcMar>
              <w:top w:w="90" w:type="dxa"/>
              <w:left w:w="120" w:type="dxa"/>
              <w:bottom w:w="90" w:type="dxa"/>
              <w:right w:w="120" w:type="dxa"/>
            </w:tcMar>
          </w:tcPr>
          <w:p>
            <w:pPr>
              <w:spacing w:before="0" w:after="0"/>
              <w:jc w:val="center"/>
            </w:pPr>
            <w:r/>
            <w:r>
              <w:rPr>
                <w:rFonts w:ascii="Times New Roman" w:hAnsi="Times New Roman"/>
                <w:color w:val="222222"/>
                <w:sz w:val="20"/>
              </w:rPr>
              <w:t>N, P, K</w:t>
            </w:r>
          </w:p>
        </w:tc>
        <w:tc>
          <w:tcPr>
            <w:tcW w:type="dxa" w:w="1440"/>
            <w:shd w:fill="FFFFFF"/>
            <w:tcMar>
              <w:top w:w="90" w:type="dxa"/>
              <w:left w:w="120" w:type="dxa"/>
              <w:bottom w:w="90" w:type="dxa"/>
              <w:right w:w="120" w:type="dxa"/>
            </w:tcMar>
          </w:tcPr>
          <w:p>
            <w:pPr>
              <w:spacing w:before="0" w:after="0"/>
              <w:jc w:val="left"/>
            </w:pPr>
            <w:r/>
            <w:r>
              <w:rPr>
                <w:rFonts w:ascii="Times New Roman" w:hAnsi="Times New Roman"/>
                <w:color w:val="222222"/>
                <w:sz w:val="20"/>
              </w:rPr>
              <w:t>R²: N=0.42, P=0.26, K=0.35</w:t>
            </w:r>
          </w:p>
        </w:tc>
        <w:tc>
          <w:tcPr>
            <w:tcW w:type="dxa" w:w="1728"/>
            <w:shd w:fill="FFFFFF"/>
            <w:tcMar>
              <w:top w:w="90" w:type="dxa"/>
              <w:left w:w="120" w:type="dxa"/>
              <w:bottom w:w="90" w:type="dxa"/>
              <w:right w:w="120" w:type="dxa"/>
            </w:tcMar>
          </w:tcPr>
          <w:p>
            <w:pPr>
              <w:spacing w:before="0" w:after="0"/>
              <w:jc w:val="left"/>
            </w:pPr>
            <w:r/>
            <w:r>
              <w:rPr>
                <w:rFonts w:ascii="Times New Roman" w:hAnsi="Times New Roman"/>
                <w:color w:val="222222"/>
                <w:sz w:val="20"/>
              </w:rPr>
              <w:t>Coarse 30m resolution; no bare-soil composite</w:t>
            </w:r>
          </w:p>
        </w:tc>
      </w:tr>
      <w:tr>
        <w:tc>
          <w:tcPr>
            <w:tcW w:type="dxa" w:w="1584"/>
            <w:shd w:fill="F4F6F9"/>
            <w:tcMar>
              <w:top w:w="90" w:type="dxa"/>
              <w:left w:w="120" w:type="dxa"/>
              <w:bottom w:w="90" w:type="dxa"/>
              <w:right w:w="120" w:type="dxa"/>
            </w:tcMar>
          </w:tcPr>
          <w:p>
            <w:pPr>
              <w:spacing w:before="0" w:after="0"/>
              <w:jc w:val="left"/>
            </w:pPr>
            <w:r/>
            <w:r>
              <w:rPr>
                <w:rFonts w:ascii="Times New Roman" w:hAnsi="Times New Roman"/>
                <w:color w:val="222222"/>
                <w:sz w:val="20"/>
              </w:rPr>
              <w:t>Venter et al. (2021)</w:t>
            </w:r>
          </w:p>
        </w:tc>
        <w:tc>
          <w:tcPr>
            <w:tcW w:type="dxa" w:w="1728"/>
            <w:shd w:fill="F4F6F9"/>
            <w:tcMar>
              <w:top w:w="90" w:type="dxa"/>
              <w:left w:w="120" w:type="dxa"/>
              <w:bottom w:w="90" w:type="dxa"/>
              <w:right w:w="120" w:type="dxa"/>
            </w:tcMar>
          </w:tcPr>
          <w:p>
            <w:pPr>
              <w:spacing w:before="0" w:after="0"/>
              <w:jc w:val="left"/>
            </w:pPr>
            <w:r/>
            <w:r>
              <w:rPr>
                <w:rFonts w:ascii="Times New Roman" w:hAnsi="Times New Roman"/>
                <w:color w:val="222222"/>
                <w:sz w:val="20"/>
              </w:rPr>
              <w:t>Multi-temporal S2</w:t>
            </w:r>
          </w:p>
        </w:tc>
        <w:tc>
          <w:tcPr>
            <w:tcW w:type="dxa" w:w="1584"/>
            <w:shd w:fill="F4F6F9"/>
            <w:tcMar>
              <w:top w:w="90" w:type="dxa"/>
              <w:left w:w="120" w:type="dxa"/>
              <w:bottom w:w="90" w:type="dxa"/>
              <w:right w:w="120" w:type="dxa"/>
            </w:tcMar>
          </w:tcPr>
          <w:p>
            <w:pPr>
              <w:spacing w:before="0" w:after="0"/>
              <w:jc w:val="center"/>
            </w:pPr>
            <w:r/>
            <w:r>
              <w:rPr>
                <w:rFonts w:ascii="Times New Roman" w:hAnsi="Times New Roman"/>
                <w:color w:val="222222"/>
                <w:sz w:val="20"/>
              </w:rPr>
              <w:t>South Africa</w:t>
            </w:r>
          </w:p>
        </w:tc>
        <w:tc>
          <w:tcPr>
            <w:tcW w:type="dxa" w:w="1296"/>
            <w:shd w:fill="F4F6F9"/>
            <w:tcMar>
              <w:top w:w="90" w:type="dxa"/>
              <w:left w:w="120" w:type="dxa"/>
              <w:bottom w:w="90" w:type="dxa"/>
              <w:right w:w="120" w:type="dxa"/>
            </w:tcMar>
          </w:tcPr>
          <w:p>
            <w:pPr>
              <w:spacing w:before="0" w:after="0"/>
              <w:jc w:val="center"/>
            </w:pPr>
            <w:r/>
            <w:r>
              <w:rPr>
                <w:rFonts w:ascii="Times New Roman" w:hAnsi="Times New Roman"/>
                <w:color w:val="222222"/>
                <w:sz w:val="20"/>
              </w:rPr>
              <w:t>Clay, Sand, SOC</w:t>
            </w:r>
          </w:p>
        </w:tc>
        <w:tc>
          <w:tcPr>
            <w:tcW w:type="dxa" w:w="1440"/>
            <w:shd w:fill="F4F6F9"/>
            <w:tcMar>
              <w:top w:w="90" w:type="dxa"/>
              <w:left w:w="120" w:type="dxa"/>
              <w:bottom w:w="90" w:type="dxa"/>
              <w:right w:w="120" w:type="dxa"/>
            </w:tcMar>
          </w:tcPr>
          <w:p>
            <w:pPr>
              <w:spacing w:before="0" w:after="0"/>
              <w:jc w:val="left"/>
            </w:pPr>
            <w:r/>
            <w:r>
              <w:rPr>
                <w:rFonts w:ascii="Times New Roman" w:hAnsi="Times New Roman"/>
                <w:color w:val="222222"/>
                <w:sz w:val="20"/>
              </w:rPr>
              <w:t>R² = 0.61 (Clay), 0.48 (SOC)</w:t>
            </w:r>
          </w:p>
        </w:tc>
        <w:tc>
          <w:tcPr>
            <w:tcW w:type="dxa" w:w="1728"/>
            <w:shd w:fill="F4F6F9"/>
            <w:tcMar>
              <w:top w:w="90" w:type="dxa"/>
              <w:left w:w="120" w:type="dxa"/>
              <w:bottom w:w="90" w:type="dxa"/>
              <w:right w:w="120" w:type="dxa"/>
            </w:tcMar>
          </w:tcPr>
          <w:p>
            <w:pPr>
              <w:spacing w:before="0" w:after="0"/>
              <w:jc w:val="left"/>
            </w:pPr>
            <w:r/>
            <w:r>
              <w:rPr>
                <w:rFonts w:ascii="Times New Roman" w:hAnsi="Times New Roman"/>
                <w:color w:val="222222"/>
                <w:sz w:val="20"/>
              </w:rPr>
              <w:t>Soil texture only; no macronutrients N-P-K</w:t>
            </w:r>
          </w:p>
        </w:tc>
      </w:tr>
      <w:tr>
        <w:tc>
          <w:tcPr>
            <w:tcW w:type="dxa" w:w="1584"/>
            <w:shd w:fill="FFFFFF"/>
            <w:tcMar>
              <w:top w:w="90" w:type="dxa"/>
              <w:left w:w="120" w:type="dxa"/>
              <w:bottom w:w="90" w:type="dxa"/>
              <w:right w:w="120" w:type="dxa"/>
            </w:tcMar>
          </w:tcPr>
          <w:p>
            <w:pPr>
              <w:spacing w:before="0" w:after="0"/>
              <w:jc w:val="left"/>
            </w:pPr>
            <w:r/>
            <w:r>
              <w:rPr>
                <w:rFonts w:ascii="Times New Roman" w:hAnsi="Times New Roman"/>
                <w:color w:val="222222"/>
                <w:sz w:val="20"/>
              </w:rPr>
              <w:t>Soren et al. (2020)</w:t>
            </w:r>
          </w:p>
        </w:tc>
        <w:tc>
          <w:tcPr>
            <w:tcW w:type="dxa" w:w="1728"/>
            <w:shd w:fill="FFFFFF"/>
            <w:tcMar>
              <w:top w:w="90" w:type="dxa"/>
              <w:left w:w="120" w:type="dxa"/>
              <w:bottom w:w="90" w:type="dxa"/>
              <w:right w:w="120" w:type="dxa"/>
            </w:tcMar>
          </w:tcPr>
          <w:p>
            <w:pPr>
              <w:spacing w:before="0" w:after="0"/>
              <w:jc w:val="left"/>
            </w:pPr>
            <w:r/>
            <w:r>
              <w:rPr>
                <w:rFonts w:ascii="Times New Roman" w:hAnsi="Times New Roman"/>
                <w:color w:val="222222"/>
                <w:sz w:val="20"/>
              </w:rPr>
              <w:t>Random Forest + GIS</w:t>
            </w:r>
          </w:p>
        </w:tc>
        <w:tc>
          <w:tcPr>
            <w:tcW w:type="dxa" w:w="1584"/>
            <w:shd w:fill="FFFFFF"/>
            <w:tcMar>
              <w:top w:w="90" w:type="dxa"/>
              <w:left w:w="120" w:type="dxa"/>
              <w:bottom w:w="90" w:type="dxa"/>
              <w:right w:w="120" w:type="dxa"/>
            </w:tcMar>
          </w:tcPr>
          <w:p>
            <w:pPr>
              <w:spacing w:before="0" w:after="0"/>
              <w:jc w:val="center"/>
            </w:pPr>
            <w:r/>
            <w:r>
              <w:rPr>
                <w:rFonts w:ascii="Times New Roman" w:hAnsi="Times New Roman"/>
                <w:color w:val="222222"/>
                <w:sz w:val="20"/>
              </w:rPr>
              <w:t>Eastern India</w:t>
            </w:r>
          </w:p>
        </w:tc>
        <w:tc>
          <w:tcPr>
            <w:tcW w:type="dxa" w:w="1296"/>
            <w:shd w:fill="FFFFFF"/>
            <w:tcMar>
              <w:top w:w="90" w:type="dxa"/>
              <w:left w:w="120" w:type="dxa"/>
              <w:bottom w:w="90" w:type="dxa"/>
              <w:right w:w="120" w:type="dxa"/>
            </w:tcMar>
          </w:tcPr>
          <w:p>
            <w:pPr>
              <w:spacing w:before="0" w:after="0"/>
              <w:jc w:val="left"/>
            </w:pPr>
            <w:r/>
            <w:r>
              <w:rPr>
                <w:rFonts w:ascii="Times New Roman" w:hAnsi="Times New Roman"/>
                <w:color w:val="222222"/>
                <w:sz w:val="20"/>
              </w:rPr>
              <w:t>Available N, P, K</w:t>
            </w:r>
          </w:p>
        </w:tc>
        <w:tc>
          <w:tcPr>
            <w:tcW w:type="dxa" w:w="1440"/>
            <w:shd w:fill="FFFFFF"/>
            <w:tcMar>
              <w:top w:w="90" w:type="dxa"/>
              <w:left w:w="120" w:type="dxa"/>
              <w:bottom w:w="90" w:type="dxa"/>
              <w:right w:w="120" w:type="dxa"/>
            </w:tcMar>
          </w:tcPr>
          <w:p>
            <w:pPr>
              <w:spacing w:before="0" w:after="0"/>
              <w:jc w:val="left"/>
            </w:pPr>
            <w:r/>
            <w:r>
              <w:rPr>
                <w:rFonts w:ascii="Times New Roman" w:hAnsi="Times New Roman"/>
                <w:color w:val="222222"/>
                <w:sz w:val="20"/>
              </w:rPr>
              <w:t>R²: N=0.46, P=0.31, K=0.40</w:t>
            </w:r>
          </w:p>
        </w:tc>
        <w:tc>
          <w:tcPr>
            <w:tcW w:type="dxa" w:w="1728"/>
            <w:shd w:fill="FFFFFF"/>
            <w:tcMar>
              <w:top w:w="90" w:type="dxa"/>
              <w:left w:w="120" w:type="dxa"/>
              <w:bottom w:w="90" w:type="dxa"/>
              <w:right w:w="120" w:type="dxa"/>
            </w:tcMar>
          </w:tcPr>
          <w:p>
            <w:pPr>
              <w:spacing w:before="0" w:after="0"/>
              <w:jc w:val="left"/>
            </w:pPr>
            <w:r/>
            <w:r>
              <w:rPr>
                <w:rFonts w:ascii="Times New Roman" w:hAnsi="Times New Roman"/>
                <w:color w:val="222222"/>
                <w:sz w:val="20"/>
              </w:rPr>
              <w:t>Severe cross-cycle drift; static evaluation</w:t>
            </w:r>
          </w:p>
        </w:tc>
      </w:tr>
      <w:tr>
        <w:tc>
          <w:tcPr>
            <w:tcW w:type="dxa" w:w="1584"/>
            <w:shd w:fill="F4F6F9"/>
            <w:tcMar>
              <w:top w:w="90" w:type="dxa"/>
              <w:left w:w="120" w:type="dxa"/>
              <w:bottom w:w="90" w:type="dxa"/>
              <w:right w:w="120" w:type="dxa"/>
            </w:tcMar>
          </w:tcPr>
          <w:p>
            <w:pPr>
              <w:spacing w:before="0" w:after="0"/>
              <w:jc w:val="left"/>
            </w:pPr>
            <w:r/>
            <w:r>
              <w:rPr>
                <w:rFonts w:ascii="Times New Roman" w:hAnsi="Times New Roman"/>
                <w:color w:val="222222"/>
                <w:sz w:val="20"/>
              </w:rPr>
              <w:t>Mandal et al. (2021)</w:t>
            </w:r>
          </w:p>
        </w:tc>
        <w:tc>
          <w:tcPr>
            <w:tcW w:type="dxa" w:w="1728"/>
            <w:shd w:fill="F4F6F9"/>
            <w:tcMar>
              <w:top w:w="90" w:type="dxa"/>
              <w:left w:w="120" w:type="dxa"/>
              <w:bottom w:w="90" w:type="dxa"/>
              <w:right w:w="120" w:type="dxa"/>
            </w:tcMar>
          </w:tcPr>
          <w:p>
            <w:pPr>
              <w:spacing w:before="0" w:after="0"/>
              <w:jc w:val="left"/>
            </w:pPr>
            <w:r/>
            <w:r>
              <w:rPr>
                <w:rFonts w:ascii="Times New Roman" w:hAnsi="Times New Roman"/>
                <w:color w:val="222222"/>
                <w:sz w:val="20"/>
              </w:rPr>
              <w:t>Ordinary Kriging</w:t>
            </w:r>
          </w:p>
        </w:tc>
        <w:tc>
          <w:tcPr>
            <w:tcW w:type="dxa" w:w="1584"/>
            <w:shd w:fill="F4F6F9"/>
            <w:tcMar>
              <w:top w:w="90" w:type="dxa"/>
              <w:left w:w="120" w:type="dxa"/>
              <w:bottom w:w="90" w:type="dxa"/>
              <w:right w:w="120" w:type="dxa"/>
            </w:tcMar>
          </w:tcPr>
          <w:p>
            <w:pPr>
              <w:spacing w:before="0" w:after="0"/>
              <w:jc w:val="left"/>
            </w:pPr>
            <w:r/>
            <w:r>
              <w:rPr>
                <w:rFonts w:ascii="Times New Roman" w:hAnsi="Times New Roman"/>
                <w:color w:val="222222"/>
                <w:sz w:val="20"/>
              </w:rPr>
              <w:t>Krishna delta, AP</w:t>
            </w:r>
          </w:p>
        </w:tc>
        <w:tc>
          <w:tcPr>
            <w:tcW w:type="dxa" w:w="1296"/>
            <w:shd w:fill="F4F6F9"/>
            <w:tcMar>
              <w:top w:w="90" w:type="dxa"/>
              <w:left w:w="120" w:type="dxa"/>
              <w:bottom w:w="90" w:type="dxa"/>
              <w:right w:w="120" w:type="dxa"/>
            </w:tcMar>
          </w:tcPr>
          <w:p>
            <w:pPr>
              <w:spacing w:before="0" w:after="0"/>
              <w:jc w:val="center"/>
            </w:pPr>
            <w:r/>
            <w:r>
              <w:rPr>
                <w:rFonts w:ascii="Times New Roman" w:hAnsi="Times New Roman"/>
                <w:color w:val="222222"/>
                <w:sz w:val="20"/>
              </w:rPr>
              <w:t>Salinity, OC</w:t>
            </w:r>
          </w:p>
        </w:tc>
        <w:tc>
          <w:tcPr>
            <w:tcW w:type="dxa" w:w="1440"/>
            <w:shd w:fill="F4F6F9"/>
            <w:tcMar>
              <w:top w:w="90" w:type="dxa"/>
              <w:left w:w="120" w:type="dxa"/>
              <w:bottom w:w="90" w:type="dxa"/>
              <w:right w:w="120" w:type="dxa"/>
            </w:tcMar>
          </w:tcPr>
          <w:p>
            <w:pPr>
              <w:spacing w:before="0" w:after="0"/>
              <w:jc w:val="left"/>
            </w:pPr>
            <w:r/>
            <w:r>
              <w:rPr>
                <w:rFonts w:ascii="Times New Roman" w:hAnsi="Times New Roman"/>
                <w:color w:val="222222"/>
                <w:sz w:val="20"/>
              </w:rPr>
              <w:t>R² = 0.38 (Kriging)</w:t>
            </w:r>
          </w:p>
        </w:tc>
        <w:tc>
          <w:tcPr>
            <w:tcW w:type="dxa" w:w="1728"/>
            <w:shd w:fill="F4F6F9"/>
            <w:tcMar>
              <w:top w:w="90" w:type="dxa"/>
              <w:left w:w="120" w:type="dxa"/>
              <w:bottom w:w="90" w:type="dxa"/>
              <w:right w:w="120" w:type="dxa"/>
            </w:tcMar>
          </w:tcPr>
          <w:p>
            <w:pPr>
              <w:spacing w:before="0" w:after="0"/>
              <w:jc w:val="left"/>
            </w:pPr>
            <w:r/>
            <w:r>
              <w:rPr>
                <w:rFonts w:ascii="Times New Roman" w:hAnsi="Times New Roman"/>
                <w:color w:val="222222"/>
                <w:sz w:val="20"/>
              </w:rPr>
              <w:t>Fails in sparse zones; purely spatial proximity</w:t>
            </w:r>
          </w:p>
        </w:tc>
      </w:tr>
      <w:tr>
        <w:tc>
          <w:tcPr>
            <w:tcW w:type="dxa" w:w="1584"/>
            <w:shd w:fill="FFFFFF"/>
            <w:tcMar>
              <w:top w:w="90" w:type="dxa"/>
              <w:left w:w="120" w:type="dxa"/>
              <w:bottom w:w="90" w:type="dxa"/>
              <w:right w:w="120" w:type="dxa"/>
            </w:tcMar>
          </w:tcPr>
          <w:p>
            <w:pPr>
              <w:spacing w:before="0" w:after="0"/>
              <w:jc w:val="left"/>
            </w:pPr>
            <w:r/>
            <w:r>
              <w:rPr>
                <w:rFonts w:ascii="Times New Roman" w:hAnsi="Times New Roman"/>
                <w:color w:val="222222"/>
                <w:sz w:val="20"/>
              </w:rPr>
              <w:t>Zhou et al. (2021)</w:t>
            </w:r>
          </w:p>
        </w:tc>
        <w:tc>
          <w:tcPr>
            <w:tcW w:type="dxa" w:w="1728"/>
            <w:shd w:fill="FFFFFF"/>
            <w:tcMar>
              <w:top w:w="90" w:type="dxa"/>
              <w:left w:w="120" w:type="dxa"/>
              <w:bottom w:w="90" w:type="dxa"/>
              <w:right w:w="120" w:type="dxa"/>
            </w:tcMar>
          </w:tcPr>
          <w:p>
            <w:pPr>
              <w:spacing w:before="0" w:after="0"/>
              <w:jc w:val="left"/>
            </w:pPr>
            <w:r/>
            <w:r>
              <w:rPr>
                <w:rFonts w:ascii="Times New Roman" w:hAnsi="Times New Roman"/>
                <w:color w:val="222222"/>
                <w:sz w:val="20"/>
              </w:rPr>
              <w:t>Sentinel-2 Time Series</w:t>
            </w:r>
          </w:p>
        </w:tc>
        <w:tc>
          <w:tcPr>
            <w:tcW w:type="dxa" w:w="1584"/>
            <w:shd w:fill="FFFFFF"/>
            <w:tcMar>
              <w:top w:w="90" w:type="dxa"/>
              <w:left w:w="120" w:type="dxa"/>
              <w:bottom w:w="90" w:type="dxa"/>
              <w:right w:w="120" w:type="dxa"/>
            </w:tcMar>
          </w:tcPr>
          <w:p>
            <w:pPr>
              <w:spacing w:before="0" w:after="0"/>
              <w:jc w:val="center"/>
            </w:pPr>
            <w:r/>
            <w:r>
              <w:rPr>
                <w:rFonts w:ascii="Times New Roman" w:hAnsi="Times New Roman"/>
                <w:color w:val="222222"/>
                <w:sz w:val="20"/>
              </w:rPr>
              <w:t>China farmlands</w:t>
            </w:r>
          </w:p>
        </w:tc>
        <w:tc>
          <w:tcPr>
            <w:tcW w:type="dxa" w:w="1296"/>
            <w:shd w:fill="FFFFFF"/>
            <w:tcMar>
              <w:top w:w="90" w:type="dxa"/>
              <w:left w:w="120" w:type="dxa"/>
              <w:bottom w:w="90" w:type="dxa"/>
              <w:right w:w="120" w:type="dxa"/>
            </w:tcMar>
          </w:tcPr>
          <w:p>
            <w:pPr>
              <w:spacing w:before="0" w:after="0"/>
              <w:jc w:val="center"/>
            </w:pPr>
            <w:r/>
            <w:r>
              <w:rPr>
                <w:rFonts w:ascii="Times New Roman" w:hAnsi="Times New Roman"/>
                <w:color w:val="222222"/>
                <w:sz w:val="20"/>
              </w:rPr>
              <w:t>Total Nitrogen</w:t>
            </w:r>
          </w:p>
        </w:tc>
        <w:tc>
          <w:tcPr>
            <w:tcW w:type="dxa" w:w="1440"/>
            <w:shd w:fill="FFFFFF"/>
            <w:tcMar>
              <w:top w:w="90" w:type="dxa"/>
              <w:left w:w="120" w:type="dxa"/>
              <w:bottom w:w="90" w:type="dxa"/>
              <w:right w:w="120" w:type="dxa"/>
            </w:tcMar>
          </w:tcPr>
          <w:p>
            <w:pPr>
              <w:spacing w:before="0" w:after="0"/>
              <w:jc w:val="left"/>
            </w:pPr>
            <w:r/>
            <w:r>
              <w:rPr>
                <w:rFonts w:ascii="Times New Roman" w:hAnsi="Times New Roman"/>
                <w:color w:val="222222"/>
                <w:sz w:val="20"/>
              </w:rPr>
              <w:t>R² = 0.56, RMSE = 0.18 g/kg</w:t>
            </w:r>
          </w:p>
        </w:tc>
        <w:tc>
          <w:tcPr>
            <w:tcW w:type="dxa" w:w="1728"/>
            <w:shd w:fill="FFFFFF"/>
            <w:tcMar>
              <w:top w:w="90" w:type="dxa"/>
              <w:left w:w="120" w:type="dxa"/>
              <w:bottom w:w="90" w:type="dxa"/>
              <w:right w:w="120" w:type="dxa"/>
            </w:tcMar>
          </w:tcPr>
          <w:p>
            <w:pPr>
              <w:spacing w:before="0" w:after="0"/>
              <w:jc w:val="left"/>
            </w:pPr>
            <w:r/>
            <w:r>
              <w:rPr>
                <w:rFonts w:ascii="Times New Roman" w:hAnsi="Times New Roman"/>
                <w:color w:val="222222"/>
                <w:sz w:val="20"/>
              </w:rPr>
              <w:t>Total N only; plant-available N omitted</w:t>
            </w:r>
          </w:p>
        </w:tc>
      </w:tr>
      <w:tr>
        <w:tc>
          <w:tcPr>
            <w:tcW w:type="dxa" w:w="1584"/>
            <w:shd w:fill="F4F6F9"/>
            <w:tcMar>
              <w:top w:w="90" w:type="dxa"/>
              <w:left w:w="120" w:type="dxa"/>
              <w:bottom w:w="90" w:type="dxa"/>
              <w:right w:w="120" w:type="dxa"/>
            </w:tcMar>
          </w:tcPr>
          <w:p>
            <w:pPr>
              <w:spacing w:before="0" w:after="0"/>
              <w:jc w:val="left"/>
            </w:pPr>
            <w:r/>
            <w:r>
              <w:rPr>
                <w:rFonts w:ascii="Times New Roman" w:hAnsi="Times New Roman"/>
                <w:color w:val="222222"/>
                <w:sz w:val="20"/>
              </w:rPr>
              <w:t>Sharma et al. (2023)</w:t>
            </w:r>
          </w:p>
        </w:tc>
        <w:tc>
          <w:tcPr>
            <w:tcW w:type="dxa" w:w="1728"/>
            <w:shd w:fill="F4F6F9"/>
            <w:tcMar>
              <w:top w:w="90" w:type="dxa"/>
              <w:left w:w="120" w:type="dxa"/>
              <w:bottom w:w="90" w:type="dxa"/>
              <w:right w:w="120" w:type="dxa"/>
            </w:tcMar>
          </w:tcPr>
          <w:p>
            <w:pPr>
              <w:spacing w:before="0" w:after="0"/>
              <w:jc w:val="left"/>
            </w:pPr>
            <w:r/>
            <w:r>
              <w:rPr>
                <w:rFonts w:ascii="Times New Roman" w:hAnsi="Times New Roman"/>
                <w:color w:val="222222"/>
                <w:sz w:val="20"/>
              </w:rPr>
              <w:t>Extra-Trees + Landsat</w:t>
            </w:r>
          </w:p>
        </w:tc>
        <w:tc>
          <w:tcPr>
            <w:tcW w:type="dxa" w:w="1584"/>
            <w:shd w:fill="F4F6F9"/>
            <w:tcMar>
              <w:top w:w="90" w:type="dxa"/>
              <w:left w:w="120" w:type="dxa"/>
              <w:bottom w:w="90" w:type="dxa"/>
              <w:right w:w="120" w:type="dxa"/>
            </w:tcMar>
          </w:tcPr>
          <w:p>
            <w:pPr>
              <w:spacing w:before="0" w:after="0"/>
              <w:jc w:val="center"/>
            </w:pPr>
            <w:r/>
            <w:r>
              <w:rPr>
                <w:rFonts w:ascii="Times New Roman" w:hAnsi="Times New Roman"/>
                <w:color w:val="222222"/>
                <w:sz w:val="20"/>
              </w:rPr>
              <w:t>Central India</w:t>
            </w:r>
          </w:p>
        </w:tc>
        <w:tc>
          <w:tcPr>
            <w:tcW w:type="dxa" w:w="1296"/>
            <w:shd w:fill="F4F6F9"/>
            <w:tcMar>
              <w:top w:w="90" w:type="dxa"/>
              <w:left w:w="120" w:type="dxa"/>
              <w:bottom w:w="90" w:type="dxa"/>
              <w:right w:w="120" w:type="dxa"/>
            </w:tcMar>
          </w:tcPr>
          <w:p>
            <w:pPr>
              <w:spacing w:before="0" w:after="0"/>
              <w:jc w:val="left"/>
            </w:pPr>
            <w:r/>
            <w:r>
              <w:rPr>
                <w:rFonts w:ascii="Times New Roman" w:hAnsi="Times New Roman"/>
                <w:color w:val="222222"/>
                <w:sz w:val="20"/>
              </w:rPr>
              <w:t>SOC, Available N</w:t>
            </w:r>
          </w:p>
        </w:tc>
        <w:tc>
          <w:tcPr>
            <w:tcW w:type="dxa" w:w="1440"/>
            <w:shd w:fill="F4F6F9"/>
            <w:tcMar>
              <w:top w:w="90" w:type="dxa"/>
              <w:left w:w="120" w:type="dxa"/>
              <w:bottom w:w="90" w:type="dxa"/>
              <w:right w:w="120" w:type="dxa"/>
            </w:tcMar>
          </w:tcPr>
          <w:p>
            <w:pPr>
              <w:spacing w:before="0" w:after="0"/>
              <w:jc w:val="left"/>
            </w:pPr>
            <w:r/>
            <w:r>
              <w:rPr>
                <w:rFonts w:ascii="Times New Roman" w:hAnsi="Times New Roman"/>
                <w:color w:val="222222"/>
                <w:sz w:val="20"/>
              </w:rPr>
              <w:t>R²: N=0.49, SOC=0.41</w:t>
            </w:r>
          </w:p>
        </w:tc>
        <w:tc>
          <w:tcPr>
            <w:tcW w:type="dxa" w:w="1728"/>
            <w:shd w:fill="F4F6F9"/>
            <w:tcMar>
              <w:top w:w="90" w:type="dxa"/>
              <w:left w:w="120" w:type="dxa"/>
              <w:bottom w:w="90" w:type="dxa"/>
              <w:right w:w="120" w:type="dxa"/>
            </w:tcMar>
          </w:tcPr>
          <w:p>
            <w:pPr>
              <w:spacing w:before="0" w:after="0"/>
              <w:jc w:val="left"/>
            </w:pPr>
            <w:r/>
            <w:r>
              <w:rPr>
                <w:rFonts w:ascii="Times New Roman" w:hAnsi="Times New Roman"/>
                <w:color w:val="222222"/>
                <w:sz w:val="20"/>
              </w:rPr>
              <w:t>No few-shot adaptation; no advisory engine</w:t>
            </w:r>
          </w:p>
        </w:tc>
      </w:tr>
      <w:tr>
        <w:tc>
          <w:tcPr>
            <w:tcW w:type="dxa" w:w="1584"/>
            <w:shd w:fill="FFFFFF"/>
            <w:tcMar>
              <w:top w:w="90" w:type="dxa"/>
              <w:left w:w="120" w:type="dxa"/>
              <w:bottom w:w="90" w:type="dxa"/>
              <w:right w:w="120" w:type="dxa"/>
            </w:tcMar>
          </w:tcPr>
          <w:p>
            <w:pPr>
              <w:spacing w:before="0" w:after="0"/>
              <w:jc w:val="left"/>
            </w:pPr>
            <w:r/>
            <w:r>
              <w:rPr>
                <w:rFonts w:ascii="Times New Roman" w:hAnsi="Times New Roman"/>
                <w:color w:val="222222"/>
                <w:sz w:val="20"/>
              </w:rPr>
              <w:t>Hengl et al. (2017)</w:t>
            </w:r>
          </w:p>
        </w:tc>
        <w:tc>
          <w:tcPr>
            <w:tcW w:type="dxa" w:w="1728"/>
            <w:shd w:fill="FFFFFF"/>
            <w:tcMar>
              <w:top w:w="90" w:type="dxa"/>
              <w:left w:w="120" w:type="dxa"/>
              <w:bottom w:w="90" w:type="dxa"/>
              <w:right w:w="120" w:type="dxa"/>
            </w:tcMar>
          </w:tcPr>
          <w:p>
            <w:pPr>
              <w:spacing w:before="0" w:after="0"/>
              <w:jc w:val="left"/>
            </w:pPr>
            <w:r/>
            <w:r>
              <w:rPr>
                <w:rFonts w:ascii="Times New Roman" w:hAnsi="Times New Roman"/>
                <w:color w:val="222222"/>
                <w:sz w:val="20"/>
              </w:rPr>
              <w:t>SoilGrids250m Global</w:t>
            </w:r>
          </w:p>
        </w:tc>
        <w:tc>
          <w:tcPr>
            <w:tcW w:type="dxa" w:w="1584"/>
            <w:shd w:fill="FFFFFF"/>
            <w:tcMar>
              <w:top w:w="90" w:type="dxa"/>
              <w:left w:w="120" w:type="dxa"/>
              <w:bottom w:w="90" w:type="dxa"/>
              <w:right w:w="120" w:type="dxa"/>
            </w:tcMar>
          </w:tcPr>
          <w:p>
            <w:pPr>
              <w:spacing w:before="0" w:after="0"/>
              <w:jc w:val="left"/>
            </w:pPr>
            <w:r/>
            <w:r>
              <w:rPr>
                <w:rFonts w:ascii="Times New Roman" w:hAnsi="Times New Roman"/>
                <w:color w:val="222222"/>
                <w:sz w:val="20"/>
              </w:rPr>
              <w:t>150k global profiles</w:t>
            </w:r>
          </w:p>
        </w:tc>
        <w:tc>
          <w:tcPr>
            <w:tcW w:type="dxa" w:w="1296"/>
            <w:shd w:fill="FFFFFF"/>
            <w:tcMar>
              <w:top w:w="90" w:type="dxa"/>
              <w:left w:w="120" w:type="dxa"/>
              <w:bottom w:w="90" w:type="dxa"/>
              <w:right w:w="120" w:type="dxa"/>
            </w:tcMar>
          </w:tcPr>
          <w:p>
            <w:pPr>
              <w:spacing w:before="0" w:after="0"/>
              <w:jc w:val="left"/>
            </w:pPr>
            <w:r/>
            <w:r>
              <w:rPr>
                <w:rFonts w:ascii="Times New Roman" w:hAnsi="Times New Roman"/>
                <w:color w:val="222222"/>
                <w:sz w:val="20"/>
              </w:rPr>
              <w:t>Clay, Sand, pH, Total N</w:t>
            </w:r>
          </w:p>
        </w:tc>
        <w:tc>
          <w:tcPr>
            <w:tcW w:type="dxa" w:w="1440"/>
            <w:shd w:fill="FFFFFF"/>
            <w:tcMar>
              <w:top w:w="90" w:type="dxa"/>
              <w:left w:w="120" w:type="dxa"/>
              <w:bottom w:w="90" w:type="dxa"/>
              <w:right w:w="120" w:type="dxa"/>
            </w:tcMar>
          </w:tcPr>
          <w:p>
            <w:pPr>
              <w:spacing w:before="0" w:after="0"/>
              <w:jc w:val="left"/>
            </w:pPr>
            <w:r/>
            <w:r>
              <w:rPr>
                <w:rFonts w:ascii="Times New Roman" w:hAnsi="Times New Roman"/>
                <w:color w:val="222222"/>
                <w:sz w:val="20"/>
              </w:rPr>
              <w:t>Global R² = 0.35 - 0.58</w:t>
            </w:r>
          </w:p>
        </w:tc>
        <w:tc>
          <w:tcPr>
            <w:tcW w:type="dxa" w:w="1728"/>
            <w:shd w:fill="FFFFFF"/>
            <w:tcMar>
              <w:top w:w="90" w:type="dxa"/>
              <w:left w:w="120" w:type="dxa"/>
              <w:bottom w:w="90" w:type="dxa"/>
              <w:right w:w="120" w:type="dxa"/>
            </w:tcMar>
          </w:tcPr>
          <w:p>
            <w:pPr>
              <w:spacing w:before="0" w:after="0"/>
              <w:jc w:val="left"/>
            </w:pPr>
            <w:r/>
            <w:r>
              <w:rPr>
                <w:rFonts w:ascii="Times New Roman" w:hAnsi="Times New Roman"/>
                <w:color w:val="222222"/>
                <w:sz w:val="20"/>
              </w:rPr>
              <w:t>250m grid too coarse; static multi-year decadal</w:t>
            </w:r>
          </w:p>
        </w:tc>
      </w:tr>
      <w:tr>
        <w:tc>
          <w:tcPr>
            <w:tcW w:type="dxa" w:w="1584"/>
            <w:shd w:fill="F4F6F9"/>
            <w:tcMar>
              <w:top w:w="90" w:type="dxa"/>
              <w:left w:w="120" w:type="dxa"/>
              <w:bottom w:w="90" w:type="dxa"/>
              <w:right w:w="120" w:type="dxa"/>
            </w:tcMar>
          </w:tcPr>
          <w:p>
            <w:pPr>
              <w:spacing w:before="0" w:after="0"/>
              <w:jc w:val="left"/>
            </w:pPr>
            <w:r/>
            <w:r>
              <w:rPr>
                <w:rFonts w:ascii="Times New Roman" w:hAnsi="Times New Roman"/>
                <w:color w:val="222222"/>
                <w:sz w:val="20"/>
              </w:rPr>
              <w:t>Reda et al. (2021)</w:t>
            </w:r>
          </w:p>
        </w:tc>
        <w:tc>
          <w:tcPr>
            <w:tcW w:type="dxa" w:w="1728"/>
            <w:shd w:fill="F4F6F9"/>
            <w:tcMar>
              <w:top w:w="90" w:type="dxa"/>
              <w:left w:w="120" w:type="dxa"/>
              <w:bottom w:w="90" w:type="dxa"/>
              <w:right w:w="120" w:type="dxa"/>
            </w:tcMar>
          </w:tcPr>
          <w:p>
            <w:pPr>
              <w:spacing w:before="0" w:after="0"/>
              <w:jc w:val="left"/>
            </w:pPr>
            <w:r/>
            <w:r>
              <w:rPr>
                <w:rFonts w:ascii="Times New Roman" w:hAnsi="Times New Roman"/>
                <w:color w:val="222222"/>
                <w:sz w:val="20"/>
              </w:rPr>
              <w:t>Spectral Indices S2</w:t>
            </w:r>
          </w:p>
        </w:tc>
        <w:tc>
          <w:tcPr>
            <w:tcW w:type="dxa" w:w="1584"/>
            <w:shd w:fill="F4F6F9"/>
            <w:tcMar>
              <w:top w:w="90" w:type="dxa"/>
              <w:left w:w="120" w:type="dxa"/>
              <w:bottom w:w="90" w:type="dxa"/>
              <w:right w:w="120" w:type="dxa"/>
            </w:tcMar>
          </w:tcPr>
          <w:p>
            <w:pPr>
              <w:spacing w:before="0" w:after="0"/>
              <w:jc w:val="left"/>
            </w:pPr>
            <w:r/>
            <w:r>
              <w:rPr>
                <w:rFonts w:ascii="Times New Roman" w:hAnsi="Times New Roman"/>
                <w:color w:val="222222"/>
                <w:sz w:val="20"/>
              </w:rPr>
              <w:t>European croplands</w:t>
            </w:r>
          </w:p>
        </w:tc>
        <w:tc>
          <w:tcPr>
            <w:tcW w:type="dxa" w:w="1296"/>
            <w:shd w:fill="F4F6F9"/>
            <w:tcMar>
              <w:top w:w="90" w:type="dxa"/>
              <w:left w:w="120" w:type="dxa"/>
              <w:bottom w:w="90" w:type="dxa"/>
              <w:right w:w="120" w:type="dxa"/>
            </w:tcMar>
          </w:tcPr>
          <w:p>
            <w:pPr>
              <w:spacing w:before="0" w:after="0"/>
              <w:jc w:val="left"/>
            </w:pPr>
            <w:r/>
            <w:r>
              <w:rPr>
                <w:rFonts w:ascii="Times New Roman" w:hAnsi="Times New Roman"/>
                <w:color w:val="222222"/>
                <w:sz w:val="20"/>
              </w:rPr>
              <w:t>Soil Organic Carbon</w:t>
            </w:r>
          </w:p>
        </w:tc>
        <w:tc>
          <w:tcPr>
            <w:tcW w:type="dxa" w:w="1440"/>
            <w:shd w:fill="F4F6F9"/>
            <w:tcMar>
              <w:top w:w="90" w:type="dxa"/>
              <w:left w:w="120" w:type="dxa"/>
              <w:bottom w:w="90" w:type="dxa"/>
              <w:right w:w="120" w:type="dxa"/>
            </w:tcMar>
          </w:tcPr>
          <w:p>
            <w:pPr>
              <w:spacing w:before="0" w:after="0"/>
              <w:jc w:val="left"/>
            </w:pPr>
            <w:r/>
            <w:r>
              <w:rPr>
                <w:rFonts w:ascii="Times New Roman" w:hAnsi="Times New Roman"/>
                <w:color w:val="222222"/>
                <w:sz w:val="20"/>
              </w:rPr>
              <w:t>R² = 0.49, RMSE = 0.32%</w:t>
            </w:r>
          </w:p>
        </w:tc>
        <w:tc>
          <w:tcPr>
            <w:tcW w:type="dxa" w:w="1728"/>
            <w:shd w:fill="F4F6F9"/>
            <w:tcMar>
              <w:top w:w="90" w:type="dxa"/>
              <w:left w:w="120" w:type="dxa"/>
              <w:bottom w:w="90" w:type="dxa"/>
              <w:right w:w="120" w:type="dxa"/>
            </w:tcMar>
          </w:tcPr>
          <w:p>
            <w:pPr>
              <w:spacing w:before="0" w:after="0"/>
              <w:jc w:val="left"/>
            </w:pPr>
            <w:r/>
            <w:r>
              <w:rPr>
                <w:rFonts w:ascii="Times New Roman" w:hAnsi="Times New Roman"/>
                <w:color w:val="222222"/>
                <w:sz w:val="20"/>
              </w:rPr>
              <w:t>Single nutrient (OC); no N-P-K modeling</w:t>
            </w:r>
          </w:p>
        </w:tc>
      </w:tr>
      <w:tr>
        <w:tc>
          <w:tcPr>
            <w:tcW w:type="dxa" w:w="1584"/>
            <w:shd w:fill="FFFFFF"/>
            <w:tcMar>
              <w:top w:w="90" w:type="dxa"/>
              <w:left w:w="120" w:type="dxa"/>
              <w:bottom w:w="90" w:type="dxa"/>
              <w:right w:w="120" w:type="dxa"/>
            </w:tcMar>
          </w:tcPr>
          <w:p>
            <w:pPr>
              <w:spacing w:before="0" w:after="0"/>
              <w:jc w:val="left"/>
            </w:pPr>
            <w:r/>
            <w:r>
              <w:rPr>
                <w:rFonts w:ascii="Times New Roman" w:hAnsi="Times New Roman"/>
                <w:color w:val="222222"/>
                <w:sz w:val="20"/>
              </w:rPr>
              <w:t>AgriCare (Proposed Work)</w:t>
            </w:r>
          </w:p>
        </w:tc>
        <w:tc>
          <w:tcPr>
            <w:tcW w:type="dxa" w:w="1728"/>
            <w:shd w:fill="FFFFFF"/>
            <w:tcMar>
              <w:top w:w="90" w:type="dxa"/>
              <w:left w:w="120" w:type="dxa"/>
              <w:bottom w:w="90" w:type="dxa"/>
              <w:right w:w="120" w:type="dxa"/>
            </w:tcMar>
          </w:tcPr>
          <w:p>
            <w:pPr>
              <w:spacing w:before="0" w:after="0"/>
              <w:jc w:val="left"/>
            </w:pPr>
            <w:r/>
            <w:r>
              <w:rPr>
                <w:rFonts w:ascii="Times New Roman" w:hAnsi="Times New Roman"/>
                <w:color w:val="222222"/>
                <w:sz w:val="20"/>
              </w:rPr>
              <w:t>Dual-Head VotingRegressor + ET Classifier + Few-Shot</w:t>
            </w:r>
          </w:p>
        </w:tc>
        <w:tc>
          <w:tcPr>
            <w:tcW w:type="dxa" w:w="1584"/>
            <w:shd w:fill="FFFFFF"/>
            <w:tcMar>
              <w:top w:w="90" w:type="dxa"/>
              <w:left w:w="120" w:type="dxa"/>
              <w:bottom w:w="90" w:type="dxa"/>
              <w:right w:w="120" w:type="dxa"/>
            </w:tcMar>
          </w:tcPr>
          <w:p>
            <w:pPr>
              <w:spacing w:before="0" w:after="0"/>
              <w:jc w:val="left"/>
            </w:pPr>
            <w:r/>
            <w:r>
              <w:rPr>
                <w:rFonts w:ascii="Times New Roman" w:hAnsi="Times New Roman"/>
                <w:color w:val="222222"/>
                <w:sz w:val="20"/>
              </w:rPr>
              <w:t>909 points, SPSR Nellore, Andhra Pradesh</w:t>
            </w:r>
          </w:p>
        </w:tc>
        <w:tc>
          <w:tcPr>
            <w:tcW w:type="dxa" w:w="1296"/>
            <w:shd w:fill="FFFFFF"/>
            <w:tcMar>
              <w:top w:w="90" w:type="dxa"/>
              <w:left w:w="120" w:type="dxa"/>
              <w:bottom w:w="90" w:type="dxa"/>
              <w:right w:w="120" w:type="dxa"/>
            </w:tcMar>
          </w:tcPr>
          <w:p>
            <w:pPr>
              <w:spacing w:before="0" w:after="0"/>
              <w:jc w:val="left"/>
            </w:pPr>
            <w:r/>
            <w:r>
              <w:rPr>
                <w:rFonts w:ascii="Times New Roman" w:hAnsi="Times New Roman"/>
                <w:color w:val="222222"/>
                <w:sz w:val="20"/>
              </w:rPr>
              <w:t>Available N, P, K, and Organic Carbon (%)</w:t>
            </w:r>
          </w:p>
        </w:tc>
        <w:tc>
          <w:tcPr>
            <w:tcW w:type="dxa" w:w="1440"/>
            <w:shd w:fill="FFFFFF"/>
            <w:tcMar>
              <w:top w:w="90" w:type="dxa"/>
              <w:left w:w="120" w:type="dxa"/>
              <w:bottom w:w="90" w:type="dxa"/>
              <w:right w:w="120" w:type="dxa"/>
            </w:tcMar>
          </w:tcPr>
          <w:p>
            <w:pPr>
              <w:spacing w:before="0" w:after="0"/>
              <w:jc w:val="left"/>
            </w:pPr>
            <w:r/>
            <w:r>
              <w:rPr>
                <w:rFonts w:ascii="Times New Roman" w:hAnsi="Times New Roman"/>
                <w:color w:val="222222"/>
                <w:sz w:val="20"/>
              </w:rPr>
              <w:t>CV R²: N=0.61, P=0.41, K=0.69, OC=0.38 | ICAR Acc: N=96.9%, OC=87.1%</w:t>
            </w:r>
          </w:p>
        </w:tc>
        <w:tc>
          <w:tcPr>
            <w:tcW w:type="dxa" w:w="1728"/>
            <w:shd w:fill="FFFFFF"/>
            <w:tcMar>
              <w:top w:w="90" w:type="dxa"/>
              <w:left w:w="120" w:type="dxa"/>
              <w:bottom w:w="90" w:type="dxa"/>
              <w:right w:w="120" w:type="dxa"/>
            </w:tcMar>
          </w:tcPr>
          <w:p>
            <w:pPr>
              <w:spacing w:before="0" w:after="0"/>
              <w:jc w:val="left"/>
            </w:pPr>
            <w:r/>
            <w:r>
              <w:rPr>
                <w:rFonts w:ascii="Times New Roman" w:hAnsi="Times New Roman"/>
                <w:color w:val="222222"/>
                <w:sz w:val="20"/>
              </w:rPr>
              <w:t>Solves all gaps: 47 SCORPAN features, 10m S2, Few-Shot N=25 adaptation, ANGRAU advisory</w:t>
            </w:r>
          </w:p>
        </w:tc>
      </w:tr>
    </w:tbl>
    <w:p>
      <w:pPr>
        <w:spacing w:before="0" w:after="160"/>
      </w:pPr>
    </w:p>
    <w:p>
      <w:pPr>
        <w:spacing w:before="280" w:after="120" w:line="276" w:lineRule="auto"/>
        <w:jc w:val="left"/>
      </w:pPr>
      <w:r>
        <w:rPr>
          <w:rFonts w:ascii="Times New Roman" w:hAnsi="Times New Roman"/>
          <w:b/>
          <w:color w:val="800000"/>
          <w:sz w:val="28"/>
        </w:rPr>
        <w:t>2.7 Research Gaps and Scientific Opportunities</w:t>
      </w:r>
    </w:p>
    <w:p>
      <w:pPr>
        <w:spacing w:line="360" w:lineRule="auto" w:after="120" w:before="0"/>
        <w:jc w:val="both"/>
      </w:pPr>
      <w:r>
        <w:rPr>
          <w:rFonts w:ascii="Times New Roman" w:hAnsi="Times New Roman"/>
          <w:color w:val="222222"/>
          <w:sz w:val="24"/>
        </w:rPr>
        <w:t>In summary, the exhaustive literature survey reveals four fundamental research gaps in contemporary Digital Soil Mapping:</w:t>
      </w:r>
    </w:p>
    <w:p>
      <w:pPr>
        <w:pStyle w:val="ListBullet"/>
        <w:spacing w:line="360" w:lineRule="auto" w:after="80" w:before="0"/>
        <w:jc w:val="both"/>
      </w:pPr>
      <w:r>
        <w:rPr>
          <w:rFonts w:ascii="Times New Roman" w:hAnsi="Times New Roman"/>
          <w:b/>
          <w:sz w:val="24"/>
        </w:rPr>
        <w:t xml:space="preserve">1. Fragmented Covariate Frameworks: </w:t>
      </w:r>
      <w:r>
        <w:rPr>
          <w:rFonts w:ascii="Times New Roman" w:hAnsi="Times New Roman"/>
          <w:sz w:val="24"/>
        </w:rPr>
        <w:t>Prior studies rely on fragmented feature sets—either using optical satellite reflectance without terrain/climate variables, or using geomorphometry without multispectral satellite composites. There is an absence of unified SCORPAN architectures incorporating domain-specific physical interaction terms (e.g., Clay × Moisture, Temperature × VPD).</w:t>
      </w:r>
    </w:p>
    <w:p>
      <w:pPr>
        <w:pStyle w:val="ListBullet"/>
        <w:spacing w:line="360" w:lineRule="auto" w:after="80" w:before="0"/>
        <w:jc w:val="both"/>
      </w:pPr>
      <w:r>
        <w:rPr>
          <w:rFonts w:ascii="Times New Roman" w:hAnsi="Times New Roman"/>
          <w:b/>
          <w:sz w:val="24"/>
        </w:rPr>
        <w:t xml:space="preserve">2. Regression-Classification Duality Gap: </w:t>
      </w:r>
      <w:r>
        <w:rPr>
          <w:rFonts w:ascii="Times New Roman" w:hAnsi="Times New Roman"/>
          <w:sz w:val="24"/>
        </w:rPr>
        <w:t>Existing research treats soil prediction exclusively as a continuous regression problem, suffering catastrophic accuracy loss when continuous values are mapped into discrete agricultural management tiers. A Dual-Head architecture combining continuous regression with dedicated classification heads has not been explored.</w:t>
      </w:r>
    </w:p>
    <w:p>
      <w:pPr>
        <w:pStyle w:val="ListBullet"/>
        <w:spacing w:line="360" w:lineRule="auto" w:after="80" w:before="0"/>
        <w:jc w:val="both"/>
      </w:pPr>
      <w:r>
        <w:rPr>
          <w:rFonts w:ascii="Times New Roman" w:hAnsi="Times New Roman"/>
          <w:b/>
          <w:sz w:val="24"/>
        </w:rPr>
        <w:t xml:space="preserve">3. Absence of Cross-Cycle Seasonal Adaptation: </w:t>
      </w:r>
      <w:r>
        <w:rPr>
          <w:rFonts w:ascii="Times New Roman" w:hAnsi="Times New Roman"/>
          <w:sz w:val="24"/>
        </w:rPr>
        <w:t>Prior models are evaluated on single static time slices and fail across multi-year deployments due to inter-annual monsoon variability and radiometric drift. Few-shot domain adaptation algorithms have never been applied to calibrate digital soil models.</w:t>
      </w:r>
    </w:p>
    <w:p>
      <w:pPr>
        <w:pStyle w:val="ListBullet"/>
        <w:spacing w:line="360" w:lineRule="auto" w:after="80" w:before="0"/>
        <w:jc w:val="both"/>
      </w:pPr>
      <w:r>
        <w:rPr>
          <w:rFonts w:ascii="Times New Roman" w:hAnsi="Times New Roman"/>
          <w:b/>
          <w:sz w:val="24"/>
        </w:rPr>
        <w:t xml:space="preserve">4. Total Disconnect from Precision Fertilizer Advisory: </w:t>
      </w:r>
      <w:r>
        <w:rPr>
          <w:rFonts w:ascii="Times New Roman" w:hAnsi="Times New Roman"/>
          <w:sz w:val="24"/>
        </w:rPr>
        <w:t>Digital soil mapping literature universally terminates at statistical error metrics, leaving a profound 'last-mile' void. No existing framework translates satellite-derived soil predictions into automated, plot-specific fertilizer prescriptions adhering to official university agricultural guidelines.</w:t>
      </w:r>
    </w:p>
    <w:p>
      <w:pPr>
        <w:spacing w:line="360" w:lineRule="auto" w:after="120" w:before="0"/>
        <w:jc w:val="both"/>
      </w:pPr>
      <w:r>
        <w:rPr>
          <w:rFonts w:ascii="Times New Roman" w:hAnsi="Times New Roman"/>
          <w:color w:val="222222"/>
          <w:sz w:val="24"/>
        </w:rPr>
        <w:t>The subsequent chapter details the comprehensive methodology of the proposed AgriCare pipeline, demonstrating how each of these identified research gaps is rigorously addressed and resolved.</w:t>
      </w:r>
    </w:p>
    <w:p>
      <w:r>
        <w:br w:type="page"/>
      </w:r>
    </w:p>
    <w:p>
      <w:pPr>
        <w:spacing w:before="360" w:after="200" w:line="276" w:lineRule="auto"/>
        <w:jc w:val="left"/>
      </w:pPr>
      <w:r>
        <w:rPr>
          <w:rFonts w:ascii="Times New Roman" w:hAnsi="Times New Roman"/>
          <w:b/>
          <w:color w:val="1B365D"/>
          <w:sz w:val="32"/>
        </w:rPr>
        <w:t>CHAPTER 3: OVERVIEW OF PROPOSED METHODOLOGY</w:t>
      </w:r>
    </w:p>
    <w:p>
      <w:pPr>
        <w:spacing w:before="280" w:after="120" w:line="276" w:lineRule="auto"/>
        <w:jc w:val="left"/>
      </w:pPr>
      <w:r>
        <w:rPr>
          <w:rFonts w:ascii="Times New Roman" w:hAnsi="Times New Roman"/>
          <w:b/>
          <w:color w:val="800000"/>
          <w:sz w:val="28"/>
        </w:rPr>
        <w:t>3.1 Detailed Explanation of System Architecture Schematic</w:t>
      </w:r>
    </w:p>
    <w:p>
      <w:pPr>
        <w:spacing w:line="360" w:lineRule="auto" w:after="120" w:before="0"/>
        <w:jc w:val="both"/>
      </w:pPr>
      <w:r>
        <w:rPr>
          <w:rFonts w:ascii="Times New Roman" w:hAnsi="Times New Roman"/>
          <w:color w:val="222222"/>
          <w:sz w:val="24"/>
        </w:rPr>
        <w:t>The AgriCare digital soil nutrient mapping system is architected as an automated, cloud-native, end-to-end data processing and inferential modeling pipeline. The design deliberately eliminates human-in-the-loop bottlenecks, replacing manual laboratory soil chemistry with high-resolution satellite remote sensing, multi-source environmental covariate ingestion, ensemble machine learning, and automated agronomic decision support. As conceptualized in Figure 1.1 and expanded systematically in Figure 3.1, the architecture is organized across five sequential operational stages:</w:t>
      </w:r>
    </w:p>
    <w:p>
      <w:pPr>
        <w:pStyle w:val="ListBullet"/>
        <w:spacing w:line="360" w:lineRule="auto" w:after="80" w:before="0"/>
        <w:jc w:val="both"/>
      </w:pPr>
      <w:r>
        <w:rPr>
          <w:rFonts w:ascii="Times New Roman" w:hAnsi="Times New Roman"/>
          <w:b/>
          <w:sz w:val="24"/>
        </w:rPr>
        <w:t xml:space="preserve">1. Stage 1 (Ground-Truth Digitization): </w:t>
      </w:r>
      <w:r>
        <w:rPr>
          <w:rFonts w:ascii="Times New Roman" w:hAnsi="Times New Roman"/>
          <w:sz w:val="24"/>
        </w:rPr>
        <w:t>Physical Soil Health Cards collected from agricultural fields across SPSR Nellore District are processed through an automated computer vision pipeline using EasyOCR and geometric bounding-box extraction. This stage standardizes, cleans, and geo-references laboratory ground-truth soil records into analysis-ready spatial formats.</w:t>
      </w:r>
    </w:p>
    <w:p>
      <w:pPr>
        <w:pStyle w:val="ListBullet"/>
        <w:spacing w:line="360" w:lineRule="auto" w:after="80" w:before="0"/>
        <w:jc w:val="both"/>
      </w:pPr>
      <w:r>
        <w:rPr>
          <w:rFonts w:ascii="Times New Roman" w:hAnsi="Times New Roman"/>
          <w:b/>
          <w:sz w:val="24"/>
        </w:rPr>
        <w:t xml:space="preserve">2. Stage 2 (Satellite &amp; Covariate Extraction): </w:t>
      </w:r>
      <w:r>
        <w:rPr>
          <w:rFonts w:ascii="Times New Roman" w:hAnsi="Times New Roman"/>
          <w:sz w:val="24"/>
        </w:rPr>
        <w:t>Geo-coordinates are ingested into Google Earth Engine (GEE). A custom bare-soil temporal compositing algorithm filters Sentinel-2 Level-2A surface reflectance across the pre-sowing window (April–June), while parallel cloud processes sample SRTM 30m geomorphometry, ERA5-Land climate reanalysis, and ISRIC SoilGrids texture fractions.</w:t>
      </w:r>
    </w:p>
    <w:p>
      <w:pPr>
        <w:pStyle w:val="ListBullet"/>
        <w:spacing w:line="360" w:lineRule="auto" w:after="80" w:before="0"/>
        <w:jc w:val="both"/>
      </w:pPr>
      <w:r>
        <w:rPr>
          <w:rFonts w:ascii="Times New Roman" w:hAnsi="Times New Roman"/>
          <w:b/>
          <w:sz w:val="24"/>
        </w:rPr>
        <w:t xml:space="preserve">3. Stage 3 (Feature Engineering &amp; Physical Interactions): </w:t>
      </w:r>
      <w:r>
        <w:rPr>
          <w:rFonts w:ascii="Times New Roman" w:hAnsi="Times New Roman"/>
          <w:sz w:val="24"/>
        </w:rPr>
        <w:t>Baseline covariates are transformed into 47 derived features, comprising 8 remote sensing spectral indices (NDVI, NDRE, EVI, SAVI, BSI, Clay Ratio, OC Index, Integrated NDVI), non-linear spatial polynomials, and 8 cross-domain physical interaction terms (e.g., Clay × Moisture, Temperature × VPD).</w:t>
      </w:r>
    </w:p>
    <w:p>
      <w:pPr>
        <w:pStyle w:val="ListBullet"/>
        <w:spacing w:line="360" w:lineRule="auto" w:after="80" w:before="0"/>
        <w:jc w:val="both"/>
      </w:pPr>
      <w:r>
        <w:rPr>
          <w:rFonts w:ascii="Times New Roman" w:hAnsi="Times New Roman"/>
          <w:b/>
          <w:sz w:val="24"/>
        </w:rPr>
        <w:t xml:space="preserve">4. Stage 4 (Dual-Head Machine Learning &amp; Few-Shot Calibration): </w:t>
      </w:r>
      <w:r>
        <w:rPr>
          <w:rFonts w:ascii="Times New Roman" w:hAnsi="Times New Roman"/>
          <w:sz w:val="24"/>
        </w:rPr>
        <w:t>Features are standardized and passed to a Dual-Head model: a continuous VotingRegressor (70% ExtraTrees + 30% GradientBoosting) predicts exact nutrient quantities, while dedicated ExtraTreesClassifiers assign statutory ICAR fertility classes (Low, Medium, High). A Few-Shot Seasonal Calibration engine leverages N=25 anchor points to adapt pre-trained models to future seasons.</w:t>
      </w:r>
    </w:p>
    <w:p>
      <w:pPr>
        <w:pStyle w:val="ListBullet"/>
        <w:spacing w:line="360" w:lineRule="auto" w:after="80" w:before="0"/>
        <w:jc w:val="both"/>
      </w:pPr>
      <w:r>
        <w:rPr>
          <w:rFonts w:ascii="Times New Roman" w:hAnsi="Times New Roman"/>
          <w:b/>
          <w:sz w:val="24"/>
        </w:rPr>
        <w:t xml:space="preserve">5. Stage 5 (Inference &amp; Agronomic Advisory): </w:t>
      </w:r>
      <w:r>
        <w:rPr>
          <w:rFonts w:ascii="Times New Roman" w:hAnsi="Times New Roman"/>
          <w:sz w:val="24"/>
        </w:rPr>
        <w:t>Predictions are ingested by an automated ANGRAU Soil Test Crop Response (STCR) fertilizer engine, calculating plot-specific dosages of commercial Urea, DAP, and MOP (kg/acre) tailored to specific crops with statutory ICAR adjustments.</w:t>
      </w:r>
    </w:p>
    <w:p>
      <w:pPr>
        <w:spacing w:before="280" w:after="120" w:line="276" w:lineRule="auto"/>
        <w:jc w:val="left"/>
      </w:pPr>
      <w:r>
        <w:rPr>
          <w:rFonts w:ascii="Times New Roman" w:hAnsi="Times New Roman"/>
          <w:b/>
          <w:color w:val="800000"/>
          <w:sz w:val="28"/>
        </w:rPr>
        <w:t>3.2 Modular Breakdown of the Technical Pipeline</w:t>
      </w:r>
    </w:p>
    <w:p>
      <w:pPr>
        <w:spacing w:before="200" w:after="80" w:line="276" w:lineRule="auto"/>
        <w:jc w:val="left"/>
      </w:pPr>
      <w:r>
        <w:rPr>
          <w:rFonts w:ascii="Times New Roman" w:hAnsi="Times New Roman"/>
          <w:b/>
          <w:color w:val="282828"/>
          <w:sz w:val="25"/>
        </w:rPr>
        <w:t>3.2.1 Data Digitization and Computer Vision Pipeline</w:t>
      </w:r>
    </w:p>
    <w:p>
      <w:pPr>
        <w:spacing w:line="360" w:lineRule="auto" w:after="120" w:before="0"/>
        <w:jc w:val="both"/>
      </w:pPr>
      <w:r>
        <w:rPr>
          <w:rFonts w:ascii="Times New Roman" w:hAnsi="Times New Roman"/>
          <w:color w:val="222222"/>
          <w:sz w:val="24"/>
        </w:rPr>
        <w:t>Historical ground-truth soil data in India resides predominantly on physical, printed Soil Health Cards issued by state agricultural departments. These cards present significant data engineering hurdles: they feature mixed bilingual text (Telugu and English), variable document scanner resolutions, misaligned tabular grid lines, and physical paper degradation (folds, stains, ink smudges). Manual transcription of thousands of records is cost-prohibitive and prone to human typographic errors.</w:t>
      </w:r>
    </w:p>
    <w:p>
      <w:pPr>
        <w:spacing w:line="360" w:lineRule="auto" w:after="120" w:before="0"/>
        <w:jc w:val="both"/>
      </w:pPr>
      <w:r>
        <w:rPr>
          <w:rFonts w:ascii="Times New Roman" w:hAnsi="Times New Roman"/>
          <w:color w:val="222222"/>
          <w:sz w:val="24"/>
        </w:rPr>
        <w:t>To automate ground-truth harvesting, AgriCare implements a specialized optical character recognition (OCR) pipeline. High-resolution card scans are preprocessed using OpenCV: images undergo grayscale conversion, adaptive Gaussian thresholding, and morphological dilation to isolate tabular grid coordinates. An EasyOCR deep learning engine (utilizing a Convolutional Neural Network backbone paired with a Recurrent Neural Network and Connectionist Temporal Classification loss) parses the localized bounding boxes. Regex string filters extract geographic latitude and longitude alongside chemical measurements for Available Nitrogen (kg/ha), Available Phosphorus (kg/ha), Available Potassium (kg/ha), and Organic Carbon (%). Automated range checks discard physically impossible outliers (e.g., N &gt; 600 kg/ha, OC &gt; 5.0% in semi-arid soils), yielding an authenticated ground-truth dataset of 909 points across SPSR Nellore.</w:t>
      </w:r>
    </w:p>
    <w:p>
      <w:pPr>
        <w:spacing w:before="200" w:after="80" w:line="276" w:lineRule="auto"/>
        <w:jc w:val="left"/>
      </w:pPr>
      <w:r>
        <w:rPr>
          <w:rFonts w:ascii="Times New Roman" w:hAnsi="Times New Roman"/>
          <w:b/>
          <w:color w:val="282828"/>
          <w:sz w:val="25"/>
        </w:rPr>
        <w:t>3.2.2 Cloud Geospatial Covariate Extraction (Google Earth Engine)</w:t>
      </w:r>
    </w:p>
    <w:p>
      <w:pPr>
        <w:spacing w:line="360" w:lineRule="auto" w:after="120" w:before="0"/>
        <w:jc w:val="both"/>
      </w:pPr>
      <w:r>
        <w:rPr>
          <w:rFonts w:ascii="Times New Roman" w:hAnsi="Times New Roman"/>
          <w:color w:val="222222"/>
          <w:sz w:val="24"/>
        </w:rPr>
        <w:t>Satellite remote sensing is executed on Google Earth Engine (GEE), utilizing the European Space Agency's (ESA) Copernicus Sentinel-2 MultiSpectral Instrument (MSI) Level-2A surface reflectance archive (COPERNICUS/S2_SR_HARMONIZED). Level-2A products provide bottom-of-atmosphere (BOA) surface reflectance calibrated via the Sen2Cor atmospheric correction processor, removing aerosol scattering and cirrus absorption. Table 3.1 details the 12 ingested multispectral bands.</w:t>
      </w:r>
    </w:p>
    <w:p>
      <w:pPr>
        <w:spacing w:before="200" w:after="80"/>
        <w:jc w:val="center"/>
      </w:pPr>
      <w:r>
        <w:rPr>
          <w:rFonts w:ascii="Times New Roman" w:hAnsi="Times New Roman"/>
          <w:b/>
          <w:color w:val="1E1E1E"/>
          <w:sz w:val="22"/>
        </w:rPr>
        <w:t>Table 3.1: Sentinel-2 Multispectral Instrument (MSI) Spectral Band Characteristics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trPr>
        <w:tc>
          <w:tcPr>
            <w:tcW w:type="dxa" w:w="1872"/>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Band Identifier</w:t>
            </w:r>
          </w:p>
        </w:tc>
        <w:tc>
          <w:tcPr>
            <w:tcW w:type="dxa" w:w="1584"/>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Central Wavelength (nm)</w:t>
            </w:r>
          </w:p>
        </w:tc>
        <w:tc>
          <w:tcPr>
            <w:tcW w:type="dxa" w:w="1296"/>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Bandwidth (nm)</w:t>
            </w:r>
          </w:p>
        </w:tc>
        <w:tc>
          <w:tcPr>
            <w:tcW w:type="dxa" w:w="1872"/>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Spatial Resolution</w:t>
            </w:r>
          </w:p>
        </w:tc>
        <w:tc>
          <w:tcPr>
            <w:tcW w:type="dxa" w:w="2736"/>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Physical Pedological Sensitivity</w:t>
            </w:r>
          </w:p>
        </w:tc>
      </w:tr>
      <w:tr>
        <w:tc>
          <w:tcPr>
            <w:tcW w:type="dxa" w:w="1872"/>
            <w:shd w:fill="FFFFFF"/>
            <w:tcMar>
              <w:top w:w="90" w:type="dxa"/>
              <w:left w:w="120" w:type="dxa"/>
              <w:bottom w:w="90" w:type="dxa"/>
              <w:right w:w="120" w:type="dxa"/>
            </w:tcMar>
          </w:tcPr>
          <w:p>
            <w:pPr>
              <w:spacing w:before="0" w:after="0"/>
              <w:jc w:val="left"/>
            </w:pPr>
            <w:r/>
            <w:r>
              <w:rPr>
                <w:rFonts w:ascii="Times New Roman" w:hAnsi="Times New Roman"/>
                <w:color w:val="222222"/>
                <w:sz w:val="20"/>
              </w:rPr>
              <w:t>Band 1 (Coastal Aerosol)</w:t>
            </w:r>
          </w:p>
        </w:tc>
        <w:tc>
          <w:tcPr>
            <w:tcW w:type="dxa" w:w="1584"/>
            <w:shd w:fill="FFFFFF"/>
            <w:tcMar>
              <w:top w:w="90" w:type="dxa"/>
              <w:left w:w="120" w:type="dxa"/>
              <w:bottom w:w="90" w:type="dxa"/>
              <w:right w:w="120" w:type="dxa"/>
            </w:tcMar>
          </w:tcPr>
          <w:p>
            <w:pPr>
              <w:spacing w:before="0" w:after="0"/>
              <w:jc w:val="center"/>
            </w:pPr>
            <w:r/>
            <w:r>
              <w:rPr>
                <w:rFonts w:ascii="Times New Roman" w:hAnsi="Times New Roman"/>
                <w:color w:val="222222"/>
                <w:sz w:val="20"/>
              </w:rPr>
              <w:t>443 nm</w:t>
            </w:r>
          </w:p>
        </w:tc>
        <w:tc>
          <w:tcPr>
            <w:tcW w:type="dxa" w:w="1296"/>
            <w:shd w:fill="FFFFFF"/>
            <w:tcMar>
              <w:top w:w="90" w:type="dxa"/>
              <w:left w:w="120" w:type="dxa"/>
              <w:bottom w:w="90" w:type="dxa"/>
              <w:right w:w="120" w:type="dxa"/>
            </w:tcMar>
          </w:tcPr>
          <w:p>
            <w:pPr>
              <w:spacing w:before="0" w:after="0"/>
              <w:jc w:val="center"/>
            </w:pPr>
            <w:r/>
            <w:r>
              <w:rPr>
                <w:rFonts w:ascii="Times New Roman" w:hAnsi="Times New Roman"/>
                <w:color w:val="222222"/>
                <w:sz w:val="20"/>
              </w:rPr>
              <w:t>20 nm</w:t>
            </w:r>
          </w:p>
        </w:tc>
        <w:tc>
          <w:tcPr>
            <w:tcW w:type="dxa" w:w="1872"/>
            <w:shd w:fill="FFFFFF"/>
            <w:tcMar>
              <w:top w:w="90" w:type="dxa"/>
              <w:left w:w="120" w:type="dxa"/>
              <w:bottom w:w="90" w:type="dxa"/>
              <w:right w:w="120" w:type="dxa"/>
            </w:tcMar>
          </w:tcPr>
          <w:p>
            <w:pPr>
              <w:spacing w:before="0" w:after="0"/>
              <w:jc w:val="left"/>
            </w:pPr>
            <w:r/>
            <w:r>
              <w:rPr>
                <w:rFonts w:ascii="Times New Roman" w:hAnsi="Times New Roman"/>
                <w:color w:val="222222"/>
                <w:sz w:val="20"/>
              </w:rPr>
              <w:t>60 m (Resampled to 10m)</w:t>
            </w:r>
          </w:p>
        </w:tc>
        <w:tc>
          <w:tcPr>
            <w:tcW w:type="dxa" w:w="2736"/>
            <w:shd w:fill="FFFFFF"/>
            <w:tcMar>
              <w:top w:w="90" w:type="dxa"/>
              <w:left w:w="120" w:type="dxa"/>
              <w:bottom w:w="90" w:type="dxa"/>
              <w:right w:w="120" w:type="dxa"/>
            </w:tcMar>
          </w:tcPr>
          <w:p>
            <w:pPr>
              <w:spacing w:before="0" w:after="0"/>
              <w:jc w:val="left"/>
            </w:pPr>
            <w:r/>
            <w:r>
              <w:rPr>
                <w:rFonts w:ascii="Times New Roman" w:hAnsi="Times New Roman"/>
                <w:color w:val="222222"/>
                <w:sz w:val="20"/>
              </w:rPr>
              <w:t>Atmospheric scattering correction; coastal bathymetry</w:t>
            </w:r>
          </w:p>
        </w:tc>
      </w:tr>
      <w:tr>
        <w:tc>
          <w:tcPr>
            <w:tcW w:type="dxa" w:w="1872"/>
            <w:shd w:fill="F4F6F9"/>
            <w:tcMar>
              <w:top w:w="90" w:type="dxa"/>
              <w:left w:w="120" w:type="dxa"/>
              <w:bottom w:w="90" w:type="dxa"/>
              <w:right w:w="120" w:type="dxa"/>
            </w:tcMar>
          </w:tcPr>
          <w:p>
            <w:pPr>
              <w:spacing w:before="0" w:after="0"/>
              <w:jc w:val="left"/>
            </w:pPr>
            <w:r/>
            <w:r>
              <w:rPr>
                <w:rFonts w:ascii="Times New Roman" w:hAnsi="Times New Roman"/>
                <w:color w:val="222222"/>
                <w:sz w:val="20"/>
              </w:rPr>
              <w:t>Band 2 (Blue)</w:t>
            </w:r>
          </w:p>
        </w:tc>
        <w:tc>
          <w:tcPr>
            <w:tcW w:type="dxa" w:w="1584"/>
            <w:shd w:fill="F4F6F9"/>
            <w:tcMar>
              <w:top w:w="90" w:type="dxa"/>
              <w:left w:w="120" w:type="dxa"/>
              <w:bottom w:w="90" w:type="dxa"/>
              <w:right w:w="120" w:type="dxa"/>
            </w:tcMar>
          </w:tcPr>
          <w:p>
            <w:pPr>
              <w:spacing w:before="0" w:after="0"/>
              <w:jc w:val="center"/>
            </w:pPr>
            <w:r/>
            <w:r>
              <w:rPr>
                <w:rFonts w:ascii="Times New Roman" w:hAnsi="Times New Roman"/>
                <w:color w:val="222222"/>
                <w:sz w:val="20"/>
              </w:rPr>
              <w:t>490 nm</w:t>
            </w:r>
          </w:p>
        </w:tc>
        <w:tc>
          <w:tcPr>
            <w:tcW w:type="dxa" w:w="1296"/>
            <w:shd w:fill="F4F6F9"/>
            <w:tcMar>
              <w:top w:w="90" w:type="dxa"/>
              <w:left w:w="120" w:type="dxa"/>
              <w:bottom w:w="90" w:type="dxa"/>
              <w:right w:w="120" w:type="dxa"/>
            </w:tcMar>
          </w:tcPr>
          <w:p>
            <w:pPr>
              <w:spacing w:before="0" w:after="0"/>
              <w:jc w:val="center"/>
            </w:pPr>
            <w:r/>
            <w:r>
              <w:rPr>
                <w:rFonts w:ascii="Times New Roman" w:hAnsi="Times New Roman"/>
                <w:color w:val="222222"/>
                <w:sz w:val="20"/>
              </w:rPr>
              <w:t>65 nm</w:t>
            </w:r>
          </w:p>
        </w:tc>
        <w:tc>
          <w:tcPr>
            <w:tcW w:type="dxa" w:w="1872"/>
            <w:shd w:fill="F4F6F9"/>
            <w:tcMar>
              <w:top w:w="90" w:type="dxa"/>
              <w:left w:w="120" w:type="dxa"/>
              <w:bottom w:w="90" w:type="dxa"/>
              <w:right w:w="120" w:type="dxa"/>
            </w:tcMar>
          </w:tcPr>
          <w:p>
            <w:pPr>
              <w:spacing w:before="0" w:after="0"/>
              <w:jc w:val="center"/>
            </w:pPr>
            <w:r/>
            <w:r>
              <w:rPr>
                <w:rFonts w:ascii="Times New Roman" w:hAnsi="Times New Roman"/>
                <w:color w:val="222222"/>
                <w:sz w:val="20"/>
              </w:rPr>
              <w:t>10 m</w:t>
            </w:r>
          </w:p>
        </w:tc>
        <w:tc>
          <w:tcPr>
            <w:tcW w:type="dxa" w:w="2736"/>
            <w:shd w:fill="F4F6F9"/>
            <w:tcMar>
              <w:top w:w="90" w:type="dxa"/>
              <w:left w:w="120" w:type="dxa"/>
              <w:bottom w:w="90" w:type="dxa"/>
              <w:right w:w="120" w:type="dxa"/>
            </w:tcMar>
          </w:tcPr>
          <w:p>
            <w:pPr>
              <w:spacing w:before="0" w:after="0"/>
              <w:jc w:val="left"/>
            </w:pPr>
            <w:r/>
            <w:r>
              <w:rPr>
                <w:rFonts w:ascii="Times New Roman" w:hAnsi="Times New Roman"/>
                <w:color w:val="222222"/>
                <w:sz w:val="20"/>
              </w:rPr>
              <w:t>Soil organic matter absorption; iron oxide discrimination</w:t>
            </w:r>
          </w:p>
        </w:tc>
      </w:tr>
      <w:tr>
        <w:tc>
          <w:tcPr>
            <w:tcW w:type="dxa" w:w="1872"/>
            <w:shd w:fill="FFFFFF"/>
            <w:tcMar>
              <w:top w:w="90" w:type="dxa"/>
              <w:left w:w="120" w:type="dxa"/>
              <w:bottom w:w="90" w:type="dxa"/>
              <w:right w:w="120" w:type="dxa"/>
            </w:tcMar>
          </w:tcPr>
          <w:p>
            <w:pPr>
              <w:spacing w:before="0" w:after="0"/>
              <w:jc w:val="left"/>
            </w:pPr>
            <w:r/>
            <w:r>
              <w:rPr>
                <w:rFonts w:ascii="Times New Roman" w:hAnsi="Times New Roman"/>
                <w:color w:val="222222"/>
                <w:sz w:val="20"/>
              </w:rPr>
              <w:t>Band 3 (Green)</w:t>
            </w:r>
          </w:p>
        </w:tc>
        <w:tc>
          <w:tcPr>
            <w:tcW w:type="dxa" w:w="1584"/>
            <w:shd w:fill="FFFFFF"/>
            <w:tcMar>
              <w:top w:w="90" w:type="dxa"/>
              <w:left w:w="120" w:type="dxa"/>
              <w:bottom w:w="90" w:type="dxa"/>
              <w:right w:w="120" w:type="dxa"/>
            </w:tcMar>
          </w:tcPr>
          <w:p>
            <w:pPr>
              <w:spacing w:before="0" w:after="0"/>
              <w:jc w:val="center"/>
            </w:pPr>
            <w:r/>
            <w:r>
              <w:rPr>
                <w:rFonts w:ascii="Times New Roman" w:hAnsi="Times New Roman"/>
                <w:color w:val="222222"/>
                <w:sz w:val="20"/>
              </w:rPr>
              <w:t>560 nm</w:t>
            </w:r>
          </w:p>
        </w:tc>
        <w:tc>
          <w:tcPr>
            <w:tcW w:type="dxa" w:w="1296"/>
            <w:shd w:fill="FFFFFF"/>
            <w:tcMar>
              <w:top w:w="90" w:type="dxa"/>
              <w:left w:w="120" w:type="dxa"/>
              <w:bottom w:w="90" w:type="dxa"/>
              <w:right w:w="120" w:type="dxa"/>
            </w:tcMar>
          </w:tcPr>
          <w:p>
            <w:pPr>
              <w:spacing w:before="0" w:after="0"/>
              <w:jc w:val="center"/>
            </w:pPr>
            <w:r/>
            <w:r>
              <w:rPr>
                <w:rFonts w:ascii="Times New Roman" w:hAnsi="Times New Roman"/>
                <w:color w:val="222222"/>
                <w:sz w:val="20"/>
              </w:rPr>
              <w:t>35 nm</w:t>
            </w:r>
          </w:p>
        </w:tc>
        <w:tc>
          <w:tcPr>
            <w:tcW w:type="dxa" w:w="1872"/>
            <w:shd w:fill="FFFFFF"/>
            <w:tcMar>
              <w:top w:w="90" w:type="dxa"/>
              <w:left w:w="120" w:type="dxa"/>
              <w:bottom w:w="90" w:type="dxa"/>
              <w:right w:w="120" w:type="dxa"/>
            </w:tcMar>
          </w:tcPr>
          <w:p>
            <w:pPr>
              <w:spacing w:before="0" w:after="0"/>
              <w:jc w:val="center"/>
            </w:pPr>
            <w:r/>
            <w:r>
              <w:rPr>
                <w:rFonts w:ascii="Times New Roman" w:hAnsi="Times New Roman"/>
                <w:color w:val="222222"/>
                <w:sz w:val="20"/>
              </w:rPr>
              <w:t>10 m</w:t>
            </w:r>
          </w:p>
        </w:tc>
        <w:tc>
          <w:tcPr>
            <w:tcW w:type="dxa" w:w="2736"/>
            <w:shd w:fill="FFFFFF"/>
            <w:tcMar>
              <w:top w:w="90" w:type="dxa"/>
              <w:left w:w="120" w:type="dxa"/>
              <w:bottom w:w="90" w:type="dxa"/>
              <w:right w:w="120" w:type="dxa"/>
            </w:tcMar>
          </w:tcPr>
          <w:p>
            <w:pPr>
              <w:spacing w:before="0" w:after="0"/>
              <w:jc w:val="left"/>
            </w:pPr>
            <w:r/>
            <w:r>
              <w:rPr>
                <w:rFonts w:ascii="Times New Roman" w:hAnsi="Times New Roman"/>
                <w:color w:val="222222"/>
                <w:sz w:val="20"/>
              </w:rPr>
              <w:t>Vigorous vegetative chlorophyll reflectance; green peak</w:t>
            </w:r>
          </w:p>
        </w:tc>
      </w:tr>
      <w:tr>
        <w:tc>
          <w:tcPr>
            <w:tcW w:type="dxa" w:w="1872"/>
            <w:shd w:fill="F4F6F9"/>
            <w:tcMar>
              <w:top w:w="90" w:type="dxa"/>
              <w:left w:w="120" w:type="dxa"/>
              <w:bottom w:w="90" w:type="dxa"/>
              <w:right w:w="120" w:type="dxa"/>
            </w:tcMar>
          </w:tcPr>
          <w:p>
            <w:pPr>
              <w:spacing w:before="0" w:after="0"/>
              <w:jc w:val="left"/>
            </w:pPr>
            <w:r/>
            <w:r>
              <w:rPr>
                <w:rFonts w:ascii="Times New Roman" w:hAnsi="Times New Roman"/>
                <w:color w:val="222222"/>
                <w:sz w:val="20"/>
              </w:rPr>
              <w:t>Band 4 (Red)</w:t>
            </w:r>
          </w:p>
        </w:tc>
        <w:tc>
          <w:tcPr>
            <w:tcW w:type="dxa" w:w="1584"/>
            <w:shd w:fill="F4F6F9"/>
            <w:tcMar>
              <w:top w:w="90" w:type="dxa"/>
              <w:left w:w="120" w:type="dxa"/>
              <w:bottom w:w="90" w:type="dxa"/>
              <w:right w:w="120" w:type="dxa"/>
            </w:tcMar>
          </w:tcPr>
          <w:p>
            <w:pPr>
              <w:spacing w:before="0" w:after="0"/>
              <w:jc w:val="center"/>
            </w:pPr>
            <w:r/>
            <w:r>
              <w:rPr>
                <w:rFonts w:ascii="Times New Roman" w:hAnsi="Times New Roman"/>
                <w:color w:val="222222"/>
                <w:sz w:val="20"/>
              </w:rPr>
              <w:t>665 nm</w:t>
            </w:r>
          </w:p>
        </w:tc>
        <w:tc>
          <w:tcPr>
            <w:tcW w:type="dxa" w:w="1296"/>
            <w:shd w:fill="F4F6F9"/>
            <w:tcMar>
              <w:top w:w="90" w:type="dxa"/>
              <w:left w:w="120" w:type="dxa"/>
              <w:bottom w:w="90" w:type="dxa"/>
              <w:right w:w="120" w:type="dxa"/>
            </w:tcMar>
          </w:tcPr>
          <w:p>
            <w:pPr>
              <w:spacing w:before="0" w:after="0"/>
              <w:jc w:val="center"/>
            </w:pPr>
            <w:r/>
            <w:r>
              <w:rPr>
                <w:rFonts w:ascii="Times New Roman" w:hAnsi="Times New Roman"/>
                <w:color w:val="222222"/>
                <w:sz w:val="20"/>
              </w:rPr>
              <w:t>30 nm</w:t>
            </w:r>
          </w:p>
        </w:tc>
        <w:tc>
          <w:tcPr>
            <w:tcW w:type="dxa" w:w="1872"/>
            <w:shd w:fill="F4F6F9"/>
            <w:tcMar>
              <w:top w:w="90" w:type="dxa"/>
              <w:left w:w="120" w:type="dxa"/>
              <w:bottom w:w="90" w:type="dxa"/>
              <w:right w:w="120" w:type="dxa"/>
            </w:tcMar>
          </w:tcPr>
          <w:p>
            <w:pPr>
              <w:spacing w:before="0" w:after="0"/>
              <w:jc w:val="center"/>
            </w:pPr>
            <w:r/>
            <w:r>
              <w:rPr>
                <w:rFonts w:ascii="Times New Roman" w:hAnsi="Times New Roman"/>
                <w:color w:val="222222"/>
                <w:sz w:val="20"/>
              </w:rPr>
              <w:t>10 m</w:t>
            </w:r>
          </w:p>
        </w:tc>
        <w:tc>
          <w:tcPr>
            <w:tcW w:type="dxa" w:w="2736"/>
            <w:shd w:fill="F4F6F9"/>
            <w:tcMar>
              <w:top w:w="90" w:type="dxa"/>
              <w:left w:w="120" w:type="dxa"/>
              <w:bottom w:w="90" w:type="dxa"/>
              <w:right w:w="120" w:type="dxa"/>
            </w:tcMar>
          </w:tcPr>
          <w:p>
            <w:pPr>
              <w:spacing w:before="0" w:after="0"/>
              <w:jc w:val="left"/>
            </w:pPr>
            <w:r/>
            <w:r>
              <w:rPr>
                <w:rFonts w:ascii="Times New Roman" w:hAnsi="Times New Roman"/>
                <w:color w:val="222222"/>
                <w:sz w:val="20"/>
              </w:rPr>
              <w:t>Strong chlorophyll absorption; ferric iron (hematite) absorption</w:t>
            </w:r>
          </w:p>
        </w:tc>
      </w:tr>
      <w:tr>
        <w:tc>
          <w:tcPr>
            <w:tcW w:type="dxa" w:w="1872"/>
            <w:shd w:fill="FFFFFF"/>
            <w:tcMar>
              <w:top w:w="90" w:type="dxa"/>
              <w:left w:w="120" w:type="dxa"/>
              <w:bottom w:w="90" w:type="dxa"/>
              <w:right w:w="120" w:type="dxa"/>
            </w:tcMar>
          </w:tcPr>
          <w:p>
            <w:pPr>
              <w:spacing w:before="0" w:after="0"/>
              <w:jc w:val="left"/>
            </w:pPr>
            <w:r/>
            <w:r>
              <w:rPr>
                <w:rFonts w:ascii="Times New Roman" w:hAnsi="Times New Roman"/>
                <w:color w:val="222222"/>
                <w:sz w:val="20"/>
              </w:rPr>
              <w:t>Band 5 (Red Edge 1)</w:t>
            </w:r>
          </w:p>
        </w:tc>
        <w:tc>
          <w:tcPr>
            <w:tcW w:type="dxa" w:w="1584"/>
            <w:shd w:fill="FFFFFF"/>
            <w:tcMar>
              <w:top w:w="90" w:type="dxa"/>
              <w:left w:w="120" w:type="dxa"/>
              <w:bottom w:w="90" w:type="dxa"/>
              <w:right w:w="120" w:type="dxa"/>
            </w:tcMar>
          </w:tcPr>
          <w:p>
            <w:pPr>
              <w:spacing w:before="0" w:after="0"/>
              <w:jc w:val="center"/>
            </w:pPr>
            <w:r/>
            <w:r>
              <w:rPr>
                <w:rFonts w:ascii="Times New Roman" w:hAnsi="Times New Roman"/>
                <w:color w:val="222222"/>
                <w:sz w:val="20"/>
              </w:rPr>
              <w:t>705 nm</w:t>
            </w:r>
          </w:p>
        </w:tc>
        <w:tc>
          <w:tcPr>
            <w:tcW w:type="dxa" w:w="1296"/>
            <w:shd w:fill="FFFFFF"/>
            <w:tcMar>
              <w:top w:w="90" w:type="dxa"/>
              <w:left w:w="120" w:type="dxa"/>
              <w:bottom w:w="90" w:type="dxa"/>
              <w:right w:w="120" w:type="dxa"/>
            </w:tcMar>
          </w:tcPr>
          <w:p>
            <w:pPr>
              <w:spacing w:before="0" w:after="0"/>
              <w:jc w:val="center"/>
            </w:pPr>
            <w:r/>
            <w:r>
              <w:rPr>
                <w:rFonts w:ascii="Times New Roman" w:hAnsi="Times New Roman"/>
                <w:color w:val="222222"/>
                <w:sz w:val="20"/>
              </w:rPr>
              <w:t>15 nm</w:t>
            </w:r>
          </w:p>
        </w:tc>
        <w:tc>
          <w:tcPr>
            <w:tcW w:type="dxa" w:w="1872"/>
            <w:shd w:fill="FFFFFF"/>
            <w:tcMar>
              <w:top w:w="90" w:type="dxa"/>
              <w:left w:w="120" w:type="dxa"/>
              <w:bottom w:w="90" w:type="dxa"/>
              <w:right w:w="120" w:type="dxa"/>
            </w:tcMar>
          </w:tcPr>
          <w:p>
            <w:pPr>
              <w:spacing w:before="0" w:after="0"/>
              <w:jc w:val="left"/>
            </w:pPr>
            <w:r/>
            <w:r>
              <w:rPr>
                <w:rFonts w:ascii="Times New Roman" w:hAnsi="Times New Roman"/>
                <w:color w:val="222222"/>
                <w:sz w:val="20"/>
              </w:rPr>
              <w:t>20 m (Resampled to 10m)</w:t>
            </w:r>
          </w:p>
        </w:tc>
        <w:tc>
          <w:tcPr>
            <w:tcW w:type="dxa" w:w="2736"/>
            <w:shd w:fill="FFFFFF"/>
            <w:tcMar>
              <w:top w:w="90" w:type="dxa"/>
              <w:left w:w="120" w:type="dxa"/>
              <w:bottom w:w="90" w:type="dxa"/>
              <w:right w:w="120" w:type="dxa"/>
            </w:tcMar>
          </w:tcPr>
          <w:p>
            <w:pPr>
              <w:spacing w:before="0" w:after="0"/>
              <w:jc w:val="left"/>
            </w:pPr>
            <w:r/>
            <w:r>
              <w:rPr>
                <w:rFonts w:ascii="Times New Roman" w:hAnsi="Times New Roman"/>
                <w:color w:val="222222"/>
                <w:sz w:val="20"/>
              </w:rPr>
              <w:t>Chlorophyll boundary; early vegetative stress</w:t>
            </w:r>
          </w:p>
        </w:tc>
      </w:tr>
      <w:tr>
        <w:tc>
          <w:tcPr>
            <w:tcW w:type="dxa" w:w="1872"/>
            <w:shd w:fill="F4F6F9"/>
            <w:tcMar>
              <w:top w:w="90" w:type="dxa"/>
              <w:left w:w="120" w:type="dxa"/>
              <w:bottom w:w="90" w:type="dxa"/>
              <w:right w:w="120" w:type="dxa"/>
            </w:tcMar>
          </w:tcPr>
          <w:p>
            <w:pPr>
              <w:spacing w:before="0" w:after="0"/>
              <w:jc w:val="left"/>
            </w:pPr>
            <w:r/>
            <w:r>
              <w:rPr>
                <w:rFonts w:ascii="Times New Roman" w:hAnsi="Times New Roman"/>
                <w:color w:val="222222"/>
                <w:sz w:val="20"/>
              </w:rPr>
              <w:t>Band 6 (Red Edge 2)</w:t>
            </w:r>
          </w:p>
        </w:tc>
        <w:tc>
          <w:tcPr>
            <w:tcW w:type="dxa" w:w="1584"/>
            <w:shd w:fill="F4F6F9"/>
            <w:tcMar>
              <w:top w:w="90" w:type="dxa"/>
              <w:left w:w="120" w:type="dxa"/>
              <w:bottom w:w="90" w:type="dxa"/>
              <w:right w:w="120" w:type="dxa"/>
            </w:tcMar>
          </w:tcPr>
          <w:p>
            <w:pPr>
              <w:spacing w:before="0" w:after="0"/>
              <w:jc w:val="center"/>
            </w:pPr>
            <w:r/>
            <w:r>
              <w:rPr>
                <w:rFonts w:ascii="Times New Roman" w:hAnsi="Times New Roman"/>
                <w:color w:val="222222"/>
                <w:sz w:val="20"/>
              </w:rPr>
              <w:t>740 nm</w:t>
            </w:r>
          </w:p>
        </w:tc>
        <w:tc>
          <w:tcPr>
            <w:tcW w:type="dxa" w:w="1296"/>
            <w:shd w:fill="F4F6F9"/>
            <w:tcMar>
              <w:top w:w="90" w:type="dxa"/>
              <w:left w:w="120" w:type="dxa"/>
              <w:bottom w:w="90" w:type="dxa"/>
              <w:right w:w="120" w:type="dxa"/>
            </w:tcMar>
          </w:tcPr>
          <w:p>
            <w:pPr>
              <w:spacing w:before="0" w:after="0"/>
              <w:jc w:val="center"/>
            </w:pPr>
            <w:r/>
            <w:r>
              <w:rPr>
                <w:rFonts w:ascii="Times New Roman" w:hAnsi="Times New Roman"/>
                <w:color w:val="222222"/>
                <w:sz w:val="20"/>
              </w:rPr>
              <w:t>15 nm</w:t>
            </w:r>
          </w:p>
        </w:tc>
        <w:tc>
          <w:tcPr>
            <w:tcW w:type="dxa" w:w="1872"/>
            <w:shd w:fill="F4F6F9"/>
            <w:tcMar>
              <w:top w:w="90" w:type="dxa"/>
              <w:left w:w="120" w:type="dxa"/>
              <w:bottom w:w="90" w:type="dxa"/>
              <w:right w:w="120" w:type="dxa"/>
            </w:tcMar>
          </w:tcPr>
          <w:p>
            <w:pPr>
              <w:spacing w:before="0" w:after="0"/>
              <w:jc w:val="left"/>
            </w:pPr>
            <w:r/>
            <w:r>
              <w:rPr>
                <w:rFonts w:ascii="Times New Roman" w:hAnsi="Times New Roman"/>
                <w:color w:val="222222"/>
                <w:sz w:val="20"/>
              </w:rPr>
              <w:t>20 m (Resampled to 10m)</w:t>
            </w:r>
          </w:p>
        </w:tc>
        <w:tc>
          <w:tcPr>
            <w:tcW w:type="dxa" w:w="2736"/>
            <w:shd w:fill="F4F6F9"/>
            <w:tcMar>
              <w:top w:w="90" w:type="dxa"/>
              <w:left w:w="120" w:type="dxa"/>
              <w:bottom w:w="90" w:type="dxa"/>
              <w:right w:w="120" w:type="dxa"/>
            </w:tcMar>
          </w:tcPr>
          <w:p>
            <w:pPr>
              <w:spacing w:before="0" w:after="0"/>
              <w:jc w:val="left"/>
            </w:pPr>
            <w:r/>
            <w:r>
              <w:rPr>
                <w:rFonts w:ascii="Times New Roman" w:hAnsi="Times New Roman"/>
                <w:color w:val="222222"/>
                <w:sz w:val="20"/>
              </w:rPr>
              <w:t>Leaf cellular structure; nitrogen content surrogate</w:t>
            </w:r>
          </w:p>
        </w:tc>
      </w:tr>
      <w:tr>
        <w:tc>
          <w:tcPr>
            <w:tcW w:type="dxa" w:w="1872"/>
            <w:shd w:fill="FFFFFF"/>
            <w:tcMar>
              <w:top w:w="90" w:type="dxa"/>
              <w:left w:w="120" w:type="dxa"/>
              <w:bottom w:w="90" w:type="dxa"/>
              <w:right w:w="120" w:type="dxa"/>
            </w:tcMar>
          </w:tcPr>
          <w:p>
            <w:pPr>
              <w:spacing w:before="0" w:after="0"/>
              <w:jc w:val="left"/>
            </w:pPr>
            <w:r/>
            <w:r>
              <w:rPr>
                <w:rFonts w:ascii="Times New Roman" w:hAnsi="Times New Roman"/>
                <w:color w:val="222222"/>
                <w:sz w:val="20"/>
              </w:rPr>
              <w:t>Band 7 (Red Edge 3)</w:t>
            </w:r>
          </w:p>
        </w:tc>
        <w:tc>
          <w:tcPr>
            <w:tcW w:type="dxa" w:w="1584"/>
            <w:shd w:fill="FFFFFF"/>
            <w:tcMar>
              <w:top w:w="90" w:type="dxa"/>
              <w:left w:w="120" w:type="dxa"/>
              <w:bottom w:w="90" w:type="dxa"/>
              <w:right w:w="120" w:type="dxa"/>
            </w:tcMar>
          </w:tcPr>
          <w:p>
            <w:pPr>
              <w:spacing w:before="0" w:after="0"/>
              <w:jc w:val="center"/>
            </w:pPr>
            <w:r/>
            <w:r>
              <w:rPr>
                <w:rFonts w:ascii="Times New Roman" w:hAnsi="Times New Roman"/>
                <w:color w:val="222222"/>
                <w:sz w:val="20"/>
              </w:rPr>
              <w:t>783 nm</w:t>
            </w:r>
          </w:p>
        </w:tc>
        <w:tc>
          <w:tcPr>
            <w:tcW w:type="dxa" w:w="1296"/>
            <w:shd w:fill="FFFFFF"/>
            <w:tcMar>
              <w:top w:w="90" w:type="dxa"/>
              <w:left w:w="120" w:type="dxa"/>
              <w:bottom w:w="90" w:type="dxa"/>
              <w:right w:w="120" w:type="dxa"/>
            </w:tcMar>
          </w:tcPr>
          <w:p>
            <w:pPr>
              <w:spacing w:before="0" w:after="0"/>
              <w:jc w:val="center"/>
            </w:pPr>
            <w:r/>
            <w:r>
              <w:rPr>
                <w:rFonts w:ascii="Times New Roman" w:hAnsi="Times New Roman"/>
                <w:color w:val="222222"/>
                <w:sz w:val="20"/>
              </w:rPr>
              <w:t>20 nm</w:t>
            </w:r>
          </w:p>
        </w:tc>
        <w:tc>
          <w:tcPr>
            <w:tcW w:type="dxa" w:w="1872"/>
            <w:shd w:fill="FFFFFF"/>
            <w:tcMar>
              <w:top w:w="90" w:type="dxa"/>
              <w:left w:w="120" w:type="dxa"/>
              <w:bottom w:w="90" w:type="dxa"/>
              <w:right w:w="120" w:type="dxa"/>
            </w:tcMar>
          </w:tcPr>
          <w:p>
            <w:pPr>
              <w:spacing w:before="0" w:after="0"/>
              <w:jc w:val="left"/>
            </w:pPr>
            <w:r/>
            <w:r>
              <w:rPr>
                <w:rFonts w:ascii="Times New Roman" w:hAnsi="Times New Roman"/>
                <w:color w:val="222222"/>
                <w:sz w:val="20"/>
              </w:rPr>
              <w:t>20 m (Resampled to 10m)</w:t>
            </w:r>
          </w:p>
        </w:tc>
        <w:tc>
          <w:tcPr>
            <w:tcW w:type="dxa" w:w="2736"/>
            <w:shd w:fill="FFFFFF"/>
            <w:tcMar>
              <w:top w:w="90" w:type="dxa"/>
              <w:left w:w="120" w:type="dxa"/>
              <w:bottom w:w="90" w:type="dxa"/>
              <w:right w:w="120" w:type="dxa"/>
            </w:tcMar>
          </w:tcPr>
          <w:p>
            <w:pPr>
              <w:spacing w:before="0" w:after="0"/>
              <w:jc w:val="left"/>
            </w:pPr>
            <w:r/>
            <w:r>
              <w:rPr>
                <w:rFonts w:ascii="Times New Roman" w:hAnsi="Times New Roman"/>
                <w:color w:val="222222"/>
                <w:sz w:val="20"/>
              </w:rPr>
              <w:t>Canopy biomass density and leaf area index</w:t>
            </w:r>
          </w:p>
        </w:tc>
      </w:tr>
      <w:tr>
        <w:tc>
          <w:tcPr>
            <w:tcW w:type="dxa" w:w="1872"/>
            <w:shd w:fill="F4F6F9"/>
            <w:tcMar>
              <w:top w:w="90" w:type="dxa"/>
              <w:left w:w="120" w:type="dxa"/>
              <w:bottom w:w="90" w:type="dxa"/>
              <w:right w:w="120" w:type="dxa"/>
            </w:tcMar>
          </w:tcPr>
          <w:p>
            <w:pPr>
              <w:spacing w:before="0" w:after="0"/>
              <w:jc w:val="left"/>
            </w:pPr>
            <w:r/>
            <w:r>
              <w:rPr>
                <w:rFonts w:ascii="Times New Roman" w:hAnsi="Times New Roman"/>
                <w:color w:val="222222"/>
                <w:sz w:val="20"/>
              </w:rPr>
              <w:t>Band 8 (Broad NIR)</w:t>
            </w:r>
          </w:p>
        </w:tc>
        <w:tc>
          <w:tcPr>
            <w:tcW w:type="dxa" w:w="1584"/>
            <w:shd w:fill="F4F6F9"/>
            <w:tcMar>
              <w:top w:w="90" w:type="dxa"/>
              <w:left w:w="120" w:type="dxa"/>
              <w:bottom w:w="90" w:type="dxa"/>
              <w:right w:w="120" w:type="dxa"/>
            </w:tcMar>
          </w:tcPr>
          <w:p>
            <w:pPr>
              <w:spacing w:before="0" w:after="0"/>
              <w:jc w:val="center"/>
            </w:pPr>
            <w:r/>
            <w:r>
              <w:rPr>
                <w:rFonts w:ascii="Times New Roman" w:hAnsi="Times New Roman"/>
                <w:color w:val="222222"/>
                <w:sz w:val="20"/>
              </w:rPr>
              <w:t>842 nm</w:t>
            </w:r>
          </w:p>
        </w:tc>
        <w:tc>
          <w:tcPr>
            <w:tcW w:type="dxa" w:w="1296"/>
            <w:shd w:fill="F4F6F9"/>
            <w:tcMar>
              <w:top w:w="90" w:type="dxa"/>
              <w:left w:w="120" w:type="dxa"/>
              <w:bottom w:w="90" w:type="dxa"/>
              <w:right w:w="120" w:type="dxa"/>
            </w:tcMar>
          </w:tcPr>
          <w:p>
            <w:pPr>
              <w:spacing w:before="0" w:after="0"/>
              <w:jc w:val="center"/>
            </w:pPr>
            <w:r/>
            <w:r>
              <w:rPr>
                <w:rFonts w:ascii="Times New Roman" w:hAnsi="Times New Roman"/>
                <w:color w:val="222222"/>
                <w:sz w:val="20"/>
              </w:rPr>
              <w:t>115 nm</w:t>
            </w:r>
          </w:p>
        </w:tc>
        <w:tc>
          <w:tcPr>
            <w:tcW w:type="dxa" w:w="1872"/>
            <w:shd w:fill="F4F6F9"/>
            <w:tcMar>
              <w:top w:w="90" w:type="dxa"/>
              <w:left w:w="120" w:type="dxa"/>
              <w:bottom w:w="90" w:type="dxa"/>
              <w:right w:w="120" w:type="dxa"/>
            </w:tcMar>
          </w:tcPr>
          <w:p>
            <w:pPr>
              <w:spacing w:before="0" w:after="0"/>
              <w:jc w:val="center"/>
            </w:pPr>
            <w:r/>
            <w:r>
              <w:rPr>
                <w:rFonts w:ascii="Times New Roman" w:hAnsi="Times New Roman"/>
                <w:color w:val="222222"/>
                <w:sz w:val="20"/>
              </w:rPr>
              <w:t>10 m</w:t>
            </w:r>
          </w:p>
        </w:tc>
        <w:tc>
          <w:tcPr>
            <w:tcW w:type="dxa" w:w="2736"/>
            <w:shd w:fill="F4F6F9"/>
            <w:tcMar>
              <w:top w:w="90" w:type="dxa"/>
              <w:left w:w="120" w:type="dxa"/>
              <w:bottom w:w="90" w:type="dxa"/>
              <w:right w:w="120" w:type="dxa"/>
            </w:tcMar>
          </w:tcPr>
          <w:p>
            <w:pPr>
              <w:spacing w:before="0" w:after="0"/>
              <w:jc w:val="left"/>
            </w:pPr>
            <w:r/>
            <w:r>
              <w:rPr>
                <w:rFonts w:ascii="Times New Roman" w:hAnsi="Times New Roman"/>
                <w:color w:val="222222"/>
                <w:sz w:val="20"/>
              </w:rPr>
              <w:t>High biomass reflectance; structural canopy scattering</w:t>
            </w:r>
          </w:p>
        </w:tc>
      </w:tr>
      <w:tr>
        <w:tc>
          <w:tcPr>
            <w:tcW w:type="dxa" w:w="1872"/>
            <w:shd w:fill="FFFFFF"/>
            <w:tcMar>
              <w:top w:w="90" w:type="dxa"/>
              <w:left w:w="120" w:type="dxa"/>
              <w:bottom w:w="90" w:type="dxa"/>
              <w:right w:w="120" w:type="dxa"/>
            </w:tcMar>
          </w:tcPr>
          <w:p>
            <w:pPr>
              <w:spacing w:before="0" w:after="0"/>
              <w:jc w:val="left"/>
            </w:pPr>
            <w:r/>
            <w:r>
              <w:rPr>
                <w:rFonts w:ascii="Times New Roman" w:hAnsi="Times New Roman"/>
                <w:color w:val="222222"/>
                <w:sz w:val="20"/>
              </w:rPr>
              <w:t>Band 8A (Narrow NIR)</w:t>
            </w:r>
          </w:p>
        </w:tc>
        <w:tc>
          <w:tcPr>
            <w:tcW w:type="dxa" w:w="1584"/>
            <w:shd w:fill="FFFFFF"/>
            <w:tcMar>
              <w:top w:w="90" w:type="dxa"/>
              <w:left w:w="120" w:type="dxa"/>
              <w:bottom w:w="90" w:type="dxa"/>
              <w:right w:w="120" w:type="dxa"/>
            </w:tcMar>
          </w:tcPr>
          <w:p>
            <w:pPr>
              <w:spacing w:before="0" w:after="0"/>
              <w:jc w:val="center"/>
            </w:pPr>
            <w:r/>
            <w:r>
              <w:rPr>
                <w:rFonts w:ascii="Times New Roman" w:hAnsi="Times New Roman"/>
                <w:color w:val="222222"/>
                <w:sz w:val="20"/>
              </w:rPr>
              <w:t>865 nm</w:t>
            </w:r>
          </w:p>
        </w:tc>
        <w:tc>
          <w:tcPr>
            <w:tcW w:type="dxa" w:w="1296"/>
            <w:shd w:fill="FFFFFF"/>
            <w:tcMar>
              <w:top w:w="90" w:type="dxa"/>
              <w:left w:w="120" w:type="dxa"/>
              <w:bottom w:w="90" w:type="dxa"/>
              <w:right w:w="120" w:type="dxa"/>
            </w:tcMar>
          </w:tcPr>
          <w:p>
            <w:pPr>
              <w:spacing w:before="0" w:after="0"/>
              <w:jc w:val="center"/>
            </w:pPr>
            <w:r/>
            <w:r>
              <w:rPr>
                <w:rFonts w:ascii="Times New Roman" w:hAnsi="Times New Roman"/>
                <w:color w:val="222222"/>
                <w:sz w:val="20"/>
              </w:rPr>
              <w:t>20 nm</w:t>
            </w:r>
          </w:p>
        </w:tc>
        <w:tc>
          <w:tcPr>
            <w:tcW w:type="dxa" w:w="1872"/>
            <w:shd w:fill="FFFFFF"/>
            <w:tcMar>
              <w:top w:w="90" w:type="dxa"/>
              <w:left w:w="120" w:type="dxa"/>
              <w:bottom w:w="90" w:type="dxa"/>
              <w:right w:w="120" w:type="dxa"/>
            </w:tcMar>
          </w:tcPr>
          <w:p>
            <w:pPr>
              <w:spacing w:before="0" w:after="0"/>
              <w:jc w:val="left"/>
            </w:pPr>
            <w:r/>
            <w:r>
              <w:rPr>
                <w:rFonts w:ascii="Times New Roman" w:hAnsi="Times New Roman"/>
                <w:color w:val="222222"/>
                <w:sz w:val="20"/>
              </w:rPr>
              <w:t>20 m (Resampled to 10m)</w:t>
            </w:r>
          </w:p>
        </w:tc>
        <w:tc>
          <w:tcPr>
            <w:tcW w:type="dxa" w:w="2736"/>
            <w:shd w:fill="FFFFFF"/>
            <w:tcMar>
              <w:top w:w="90" w:type="dxa"/>
              <w:left w:w="120" w:type="dxa"/>
              <w:bottom w:w="90" w:type="dxa"/>
              <w:right w:w="120" w:type="dxa"/>
            </w:tcMar>
          </w:tcPr>
          <w:p>
            <w:pPr>
              <w:spacing w:before="0" w:after="0"/>
              <w:jc w:val="left"/>
            </w:pPr>
            <w:r/>
            <w:r>
              <w:rPr>
                <w:rFonts w:ascii="Times New Roman" w:hAnsi="Times New Roman"/>
                <w:color w:val="222222"/>
                <w:sz w:val="20"/>
              </w:rPr>
              <w:t>Narrow NIR plateau; organic carbon sensitivity</w:t>
            </w:r>
          </w:p>
        </w:tc>
      </w:tr>
      <w:tr>
        <w:tc>
          <w:tcPr>
            <w:tcW w:type="dxa" w:w="1872"/>
            <w:shd w:fill="F4F6F9"/>
            <w:tcMar>
              <w:top w:w="90" w:type="dxa"/>
              <w:left w:w="120" w:type="dxa"/>
              <w:bottom w:w="90" w:type="dxa"/>
              <w:right w:w="120" w:type="dxa"/>
            </w:tcMar>
          </w:tcPr>
          <w:p>
            <w:pPr>
              <w:spacing w:before="0" w:after="0"/>
              <w:jc w:val="left"/>
            </w:pPr>
            <w:r/>
            <w:r>
              <w:rPr>
                <w:rFonts w:ascii="Times New Roman" w:hAnsi="Times New Roman"/>
                <w:color w:val="222222"/>
                <w:sz w:val="20"/>
              </w:rPr>
              <w:t>Band 9 (Water Vapor)</w:t>
            </w:r>
          </w:p>
        </w:tc>
        <w:tc>
          <w:tcPr>
            <w:tcW w:type="dxa" w:w="1584"/>
            <w:shd w:fill="F4F6F9"/>
            <w:tcMar>
              <w:top w:w="90" w:type="dxa"/>
              <w:left w:w="120" w:type="dxa"/>
              <w:bottom w:w="90" w:type="dxa"/>
              <w:right w:w="120" w:type="dxa"/>
            </w:tcMar>
          </w:tcPr>
          <w:p>
            <w:pPr>
              <w:spacing w:before="0" w:after="0"/>
              <w:jc w:val="center"/>
            </w:pPr>
            <w:r/>
            <w:r>
              <w:rPr>
                <w:rFonts w:ascii="Times New Roman" w:hAnsi="Times New Roman"/>
                <w:color w:val="222222"/>
                <w:sz w:val="20"/>
              </w:rPr>
              <w:t>945 nm</w:t>
            </w:r>
          </w:p>
        </w:tc>
        <w:tc>
          <w:tcPr>
            <w:tcW w:type="dxa" w:w="1296"/>
            <w:shd w:fill="F4F6F9"/>
            <w:tcMar>
              <w:top w:w="90" w:type="dxa"/>
              <w:left w:w="120" w:type="dxa"/>
              <w:bottom w:w="90" w:type="dxa"/>
              <w:right w:w="120" w:type="dxa"/>
            </w:tcMar>
          </w:tcPr>
          <w:p>
            <w:pPr>
              <w:spacing w:before="0" w:after="0"/>
              <w:jc w:val="center"/>
            </w:pPr>
            <w:r/>
            <w:r>
              <w:rPr>
                <w:rFonts w:ascii="Times New Roman" w:hAnsi="Times New Roman"/>
                <w:color w:val="222222"/>
                <w:sz w:val="20"/>
              </w:rPr>
              <w:t>20 nm</w:t>
            </w:r>
          </w:p>
        </w:tc>
        <w:tc>
          <w:tcPr>
            <w:tcW w:type="dxa" w:w="1872"/>
            <w:shd w:fill="F4F6F9"/>
            <w:tcMar>
              <w:top w:w="90" w:type="dxa"/>
              <w:left w:w="120" w:type="dxa"/>
              <w:bottom w:w="90" w:type="dxa"/>
              <w:right w:w="120" w:type="dxa"/>
            </w:tcMar>
          </w:tcPr>
          <w:p>
            <w:pPr>
              <w:spacing w:before="0" w:after="0"/>
              <w:jc w:val="left"/>
            </w:pPr>
            <w:r/>
            <w:r>
              <w:rPr>
                <w:rFonts w:ascii="Times New Roman" w:hAnsi="Times New Roman"/>
                <w:color w:val="222222"/>
                <w:sz w:val="20"/>
              </w:rPr>
              <w:t>60 m (Resampled to 10m)</w:t>
            </w:r>
          </w:p>
        </w:tc>
        <w:tc>
          <w:tcPr>
            <w:tcW w:type="dxa" w:w="2736"/>
            <w:shd w:fill="F4F6F9"/>
            <w:tcMar>
              <w:top w:w="90" w:type="dxa"/>
              <w:left w:w="120" w:type="dxa"/>
              <w:bottom w:w="90" w:type="dxa"/>
              <w:right w:w="120" w:type="dxa"/>
            </w:tcMar>
          </w:tcPr>
          <w:p>
            <w:pPr>
              <w:spacing w:before="0" w:after="0"/>
              <w:jc w:val="left"/>
            </w:pPr>
            <w:r/>
            <w:r>
              <w:rPr>
                <w:rFonts w:ascii="Times New Roman" w:hAnsi="Times New Roman"/>
                <w:color w:val="222222"/>
                <w:sz w:val="20"/>
              </w:rPr>
              <w:t>Atmospheric water vapor column absorption</w:t>
            </w:r>
          </w:p>
        </w:tc>
      </w:tr>
      <w:tr>
        <w:tc>
          <w:tcPr>
            <w:tcW w:type="dxa" w:w="1872"/>
            <w:shd w:fill="FFFFFF"/>
            <w:tcMar>
              <w:top w:w="90" w:type="dxa"/>
              <w:left w:w="120" w:type="dxa"/>
              <w:bottom w:w="90" w:type="dxa"/>
              <w:right w:w="120" w:type="dxa"/>
            </w:tcMar>
          </w:tcPr>
          <w:p>
            <w:pPr>
              <w:spacing w:before="0" w:after="0"/>
              <w:jc w:val="left"/>
            </w:pPr>
            <w:r/>
            <w:r>
              <w:rPr>
                <w:rFonts w:ascii="Times New Roman" w:hAnsi="Times New Roman"/>
                <w:color w:val="222222"/>
                <w:sz w:val="20"/>
              </w:rPr>
              <w:t>Band 11 (SWIR 1)</w:t>
            </w:r>
          </w:p>
        </w:tc>
        <w:tc>
          <w:tcPr>
            <w:tcW w:type="dxa" w:w="1584"/>
            <w:shd w:fill="FFFFFF"/>
            <w:tcMar>
              <w:top w:w="90" w:type="dxa"/>
              <w:left w:w="120" w:type="dxa"/>
              <w:bottom w:w="90" w:type="dxa"/>
              <w:right w:w="120" w:type="dxa"/>
            </w:tcMar>
          </w:tcPr>
          <w:p>
            <w:pPr>
              <w:spacing w:before="0" w:after="0"/>
              <w:jc w:val="center"/>
            </w:pPr>
            <w:r/>
            <w:r>
              <w:rPr>
                <w:rFonts w:ascii="Times New Roman" w:hAnsi="Times New Roman"/>
                <w:color w:val="222222"/>
                <w:sz w:val="20"/>
              </w:rPr>
              <w:t>1610 nm</w:t>
            </w:r>
          </w:p>
        </w:tc>
        <w:tc>
          <w:tcPr>
            <w:tcW w:type="dxa" w:w="1296"/>
            <w:shd w:fill="FFFFFF"/>
            <w:tcMar>
              <w:top w:w="90" w:type="dxa"/>
              <w:left w:w="120" w:type="dxa"/>
              <w:bottom w:w="90" w:type="dxa"/>
              <w:right w:w="120" w:type="dxa"/>
            </w:tcMar>
          </w:tcPr>
          <w:p>
            <w:pPr>
              <w:spacing w:before="0" w:after="0"/>
              <w:jc w:val="center"/>
            </w:pPr>
            <w:r/>
            <w:r>
              <w:rPr>
                <w:rFonts w:ascii="Times New Roman" w:hAnsi="Times New Roman"/>
                <w:color w:val="222222"/>
                <w:sz w:val="20"/>
              </w:rPr>
              <w:t>90 nm</w:t>
            </w:r>
          </w:p>
        </w:tc>
        <w:tc>
          <w:tcPr>
            <w:tcW w:type="dxa" w:w="1872"/>
            <w:shd w:fill="FFFFFF"/>
            <w:tcMar>
              <w:top w:w="90" w:type="dxa"/>
              <w:left w:w="120" w:type="dxa"/>
              <w:bottom w:w="90" w:type="dxa"/>
              <w:right w:w="120" w:type="dxa"/>
            </w:tcMar>
          </w:tcPr>
          <w:p>
            <w:pPr>
              <w:spacing w:before="0" w:after="0"/>
              <w:jc w:val="left"/>
            </w:pPr>
            <w:r/>
            <w:r>
              <w:rPr>
                <w:rFonts w:ascii="Times New Roman" w:hAnsi="Times New Roman"/>
                <w:color w:val="222222"/>
                <w:sz w:val="20"/>
              </w:rPr>
              <w:t>20 m (Resampled to 10m)</w:t>
            </w:r>
          </w:p>
        </w:tc>
        <w:tc>
          <w:tcPr>
            <w:tcW w:type="dxa" w:w="2736"/>
            <w:shd w:fill="FFFFFF"/>
            <w:tcMar>
              <w:top w:w="90" w:type="dxa"/>
              <w:left w:w="120" w:type="dxa"/>
              <w:bottom w:w="90" w:type="dxa"/>
              <w:right w:w="120" w:type="dxa"/>
            </w:tcMar>
          </w:tcPr>
          <w:p>
            <w:pPr>
              <w:spacing w:before="0" w:after="0"/>
              <w:jc w:val="left"/>
            </w:pPr>
            <w:r/>
            <w:r>
              <w:rPr>
                <w:rFonts w:ascii="Times New Roman" w:hAnsi="Times New Roman"/>
                <w:color w:val="222222"/>
                <w:sz w:val="20"/>
              </w:rPr>
              <w:t>Direct hydroxyl (OH) absorption in clay minerals &amp; moisture</w:t>
            </w:r>
          </w:p>
        </w:tc>
      </w:tr>
      <w:tr>
        <w:tc>
          <w:tcPr>
            <w:tcW w:type="dxa" w:w="1872"/>
            <w:shd w:fill="F4F6F9"/>
            <w:tcMar>
              <w:top w:w="90" w:type="dxa"/>
              <w:left w:w="120" w:type="dxa"/>
              <w:bottom w:w="90" w:type="dxa"/>
              <w:right w:w="120" w:type="dxa"/>
            </w:tcMar>
          </w:tcPr>
          <w:p>
            <w:pPr>
              <w:spacing w:before="0" w:after="0"/>
              <w:jc w:val="left"/>
            </w:pPr>
            <w:r/>
            <w:r>
              <w:rPr>
                <w:rFonts w:ascii="Times New Roman" w:hAnsi="Times New Roman"/>
                <w:color w:val="222222"/>
                <w:sz w:val="20"/>
              </w:rPr>
              <w:t>Band 12 (SWIR 2)</w:t>
            </w:r>
          </w:p>
        </w:tc>
        <w:tc>
          <w:tcPr>
            <w:tcW w:type="dxa" w:w="1584"/>
            <w:shd w:fill="F4F6F9"/>
            <w:tcMar>
              <w:top w:w="90" w:type="dxa"/>
              <w:left w:w="120" w:type="dxa"/>
              <w:bottom w:w="90" w:type="dxa"/>
              <w:right w:w="120" w:type="dxa"/>
            </w:tcMar>
          </w:tcPr>
          <w:p>
            <w:pPr>
              <w:spacing w:before="0" w:after="0"/>
              <w:jc w:val="center"/>
            </w:pPr>
            <w:r/>
            <w:r>
              <w:rPr>
                <w:rFonts w:ascii="Times New Roman" w:hAnsi="Times New Roman"/>
                <w:color w:val="222222"/>
                <w:sz w:val="20"/>
              </w:rPr>
              <w:t>2190 nm</w:t>
            </w:r>
          </w:p>
        </w:tc>
        <w:tc>
          <w:tcPr>
            <w:tcW w:type="dxa" w:w="1296"/>
            <w:shd w:fill="F4F6F9"/>
            <w:tcMar>
              <w:top w:w="90" w:type="dxa"/>
              <w:left w:w="120" w:type="dxa"/>
              <w:bottom w:w="90" w:type="dxa"/>
              <w:right w:w="120" w:type="dxa"/>
            </w:tcMar>
          </w:tcPr>
          <w:p>
            <w:pPr>
              <w:spacing w:before="0" w:after="0"/>
              <w:jc w:val="center"/>
            </w:pPr>
            <w:r/>
            <w:r>
              <w:rPr>
                <w:rFonts w:ascii="Times New Roman" w:hAnsi="Times New Roman"/>
                <w:color w:val="222222"/>
                <w:sz w:val="20"/>
              </w:rPr>
              <w:t>180 nm</w:t>
            </w:r>
          </w:p>
        </w:tc>
        <w:tc>
          <w:tcPr>
            <w:tcW w:type="dxa" w:w="1872"/>
            <w:shd w:fill="F4F6F9"/>
            <w:tcMar>
              <w:top w:w="90" w:type="dxa"/>
              <w:left w:w="120" w:type="dxa"/>
              <w:bottom w:w="90" w:type="dxa"/>
              <w:right w:w="120" w:type="dxa"/>
            </w:tcMar>
          </w:tcPr>
          <w:p>
            <w:pPr>
              <w:spacing w:before="0" w:after="0"/>
              <w:jc w:val="left"/>
            </w:pPr>
            <w:r/>
            <w:r>
              <w:rPr>
                <w:rFonts w:ascii="Times New Roman" w:hAnsi="Times New Roman"/>
                <w:color w:val="222222"/>
                <w:sz w:val="20"/>
              </w:rPr>
              <w:t>20 m (Resampled to 10m)</w:t>
            </w:r>
          </w:p>
        </w:tc>
        <w:tc>
          <w:tcPr>
            <w:tcW w:type="dxa" w:w="2736"/>
            <w:shd w:fill="F4F6F9"/>
            <w:tcMar>
              <w:top w:w="90" w:type="dxa"/>
              <w:left w:w="120" w:type="dxa"/>
              <w:bottom w:w="90" w:type="dxa"/>
              <w:right w:w="120" w:type="dxa"/>
            </w:tcMar>
          </w:tcPr>
          <w:p>
            <w:pPr>
              <w:spacing w:before="0" w:after="0"/>
              <w:jc w:val="left"/>
            </w:pPr>
            <w:r/>
            <w:r>
              <w:rPr>
                <w:rFonts w:ascii="Times New Roman" w:hAnsi="Times New Roman"/>
                <w:color w:val="222222"/>
                <w:sz w:val="20"/>
              </w:rPr>
              <w:t>Aliphatic C-H absorption in soil organic carbon &amp; carbonates</w:t>
            </w:r>
          </w:p>
        </w:tc>
      </w:tr>
    </w:tbl>
    <w:p>
      <w:pPr>
        <w:spacing w:before="0" w:after="160"/>
      </w:pPr>
    </w:p>
    <w:p>
      <w:pPr>
        <w:spacing w:line="360" w:lineRule="auto" w:after="120" w:before="0"/>
        <w:jc w:val="both"/>
      </w:pPr>
      <w:r>
        <w:rPr>
          <w:rFonts w:ascii="Times New Roman" w:hAnsi="Times New Roman"/>
          <w:color w:val="222222"/>
          <w:sz w:val="24"/>
        </w:rPr>
        <w:t>A critical challenge in agricultural remote sensing is spectral contamination caused by dense crop canopies and cloud cover. To extract genuine topsoil reflectance, AgriCare implements a Multi-Temporal Bare-Soil Composite Algorithm. The algorithm filters the Sentinel-2 image collection across the hot, dry pre-sowing window (April 1 to June 30), when fields are ploughed, tilled, and completely devoid of standing crops. For every pixel, clouds and cirrus are masked using the QA60 bitmask and Scene Classification Layer (SCL). Each image pixel is evaluated against two simultaneous physical indices: the Normalized Difference Vegetation Index (NDVI &lt; 0.25) and the Bare Soil Index (BSI &gt; 0.05). Pixels meeting both criteria across the 3-month window are aggregated using a per-band temporal median reducer, producing a cloud-free, pristine bare-soil reflectance composite across SPSR Nellore.</w:t>
      </w:r>
    </w:p>
    <w:p>
      <w:pPr>
        <w:spacing w:line="360" w:lineRule="auto" w:after="120" w:before="0"/>
        <w:jc w:val="both"/>
      </w:pPr>
      <w:r>
        <w:rPr>
          <w:rFonts w:ascii="Times New Roman" w:hAnsi="Times New Roman"/>
          <w:color w:val="222222"/>
          <w:sz w:val="24"/>
        </w:rPr>
        <w:t>In addition to optical reflectance, environmental covariates are extracted via GEE. Topographic geomorphometry is derived from the NASA Shuttle Radar Topography Mission (SRTM) 30m Digital Elevation Model, computing elevation, slope, aspect, hillshade, terrain curvature, and Topographic Wetness Index (TWI). Hydrometeorological variables are extracted from ECMWF's ERA5-Land reanalysis (0.1° grid, ~9km), capturing 0-7cm volumetric soil moisture, 0-7cm soil temperature, land surface temperature (LST), mean annual precipitation, potential evapotranspiration (PET), and vapor pressure deficit (VPD). Soil texture baseline fractions (clay, silt, sand in g/kg) are sampled from ISRIC SoilGrids 250m.</w:t>
      </w:r>
    </w:p>
    <w:p>
      <w:pPr>
        <w:spacing w:before="200" w:after="80" w:line="276" w:lineRule="auto"/>
        <w:jc w:val="left"/>
      </w:pPr>
      <w:r>
        <w:rPr>
          <w:rFonts w:ascii="Times New Roman" w:hAnsi="Times New Roman"/>
          <w:b/>
          <w:color w:val="282828"/>
          <w:sz w:val="25"/>
        </w:rPr>
        <w:t>3.2.3 SCORPAN Feature Engineering &amp; Mathematical Formulations</w:t>
      </w:r>
    </w:p>
    <w:p>
      <w:pPr>
        <w:spacing w:line="360" w:lineRule="auto" w:after="120" w:before="0"/>
        <w:jc w:val="both"/>
      </w:pPr>
      <w:r>
        <w:rPr>
          <w:rFonts w:ascii="Times New Roman" w:hAnsi="Times New Roman"/>
          <w:color w:val="222222"/>
          <w:sz w:val="24"/>
        </w:rPr>
        <w:t>The raw extracted bands and environmental variables are expanded through domain-guided mathematical transformations into a comprehensive 47-dimensional SCORPAN feature catalog. Table 3.2 provides the complete feature classification.</w:t>
      </w:r>
    </w:p>
    <w:p>
      <w:pPr>
        <w:spacing w:line="360" w:lineRule="auto" w:after="120" w:before="0"/>
        <w:jc w:val="both"/>
      </w:pPr>
      <w:r>
        <w:rPr>
          <w:rFonts w:ascii="Times New Roman" w:hAnsi="Times New Roman"/>
          <w:color w:val="222222"/>
          <w:sz w:val="24"/>
        </w:rPr>
        <w:t>The eight remote sensing spectral indices are calculated according to the following analytical formulations:</w:t>
      </w:r>
    </w:p>
    <w:p>
      <w:pPr>
        <w:spacing w:before="160" w:after="160" w:line="312" w:lineRule="auto"/>
        <w:jc w:val="center"/>
      </w:pPr>
      <w:r>
        <w:rPr>
          <w:rFonts w:ascii="Times New Roman" w:hAnsi="Times New Roman"/>
          <w:b/>
          <w:i/>
          <w:sz w:val="24"/>
        </w:rPr>
        <w:t>NDVI = (B8 - B4) / (B8 + B4)</w:t>
      </w:r>
      <w:r>
        <w:rPr>
          <w:rFonts w:ascii="Times New Roman" w:hAnsi="Times New Roman"/>
          <w:b w:val="0"/>
          <w:i w:val="0"/>
          <w:sz w:val="22"/>
        </w:rPr>
        <w:t xml:space="preserve">    ... (3.1)</w:t>
      </w:r>
    </w:p>
    <w:p>
      <w:pPr>
        <w:spacing w:before="160" w:after="160" w:line="312" w:lineRule="auto"/>
        <w:jc w:val="center"/>
      </w:pPr>
      <w:r>
        <w:rPr>
          <w:rFonts w:ascii="Times New Roman" w:hAnsi="Times New Roman"/>
          <w:b/>
          <w:i/>
          <w:sz w:val="24"/>
        </w:rPr>
        <w:t>NDRE = (B8 - B5) / (B8 + B5)</w:t>
      </w:r>
      <w:r>
        <w:rPr>
          <w:rFonts w:ascii="Times New Roman" w:hAnsi="Times New Roman"/>
          <w:b w:val="0"/>
          <w:i w:val="0"/>
          <w:sz w:val="22"/>
        </w:rPr>
        <w:t xml:space="preserve">    ... (3.2)</w:t>
      </w:r>
    </w:p>
    <w:p>
      <w:pPr>
        <w:spacing w:before="160" w:after="160" w:line="312" w:lineRule="auto"/>
        <w:jc w:val="center"/>
      </w:pPr>
      <w:r>
        <w:rPr>
          <w:rFonts w:ascii="Times New Roman" w:hAnsi="Times New Roman"/>
          <w:b/>
          <w:i/>
          <w:sz w:val="24"/>
        </w:rPr>
        <w:t>EVI = 2.5 * (B8 - B4) / (B8 + 6.0*B4 - 7.5*B2 + 1.0)</w:t>
      </w:r>
      <w:r>
        <w:rPr>
          <w:rFonts w:ascii="Times New Roman" w:hAnsi="Times New Roman"/>
          <w:b w:val="0"/>
          <w:i w:val="0"/>
          <w:sz w:val="22"/>
        </w:rPr>
        <w:t xml:space="preserve">    ... (3.3)</w:t>
      </w:r>
    </w:p>
    <w:p>
      <w:pPr>
        <w:spacing w:before="160" w:after="160" w:line="312" w:lineRule="auto"/>
        <w:jc w:val="center"/>
      </w:pPr>
      <w:r>
        <w:rPr>
          <w:rFonts w:ascii="Times New Roman" w:hAnsi="Times New Roman"/>
          <w:b/>
          <w:i/>
          <w:sz w:val="24"/>
        </w:rPr>
        <w:t>SAVI = 1.5 * (B8 - B4) / (B8 + B4 + 0.5)</w:t>
      </w:r>
      <w:r>
        <w:rPr>
          <w:rFonts w:ascii="Times New Roman" w:hAnsi="Times New Roman"/>
          <w:b w:val="0"/>
          <w:i w:val="0"/>
          <w:sz w:val="22"/>
        </w:rPr>
        <w:t xml:space="preserve">    ... (3.4)</w:t>
      </w:r>
    </w:p>
    <w:p>
      <w:pPr>
        <w:spacing w:before="160" w:after="160" w:line="312" w:lineRule="auto"/>
        <w:jc w:val="center"/>
      </w:pPr>
      <w:r>
        <w:rPr>
          <w:rFonts w:ascii="Times New Roman" w:hAnsi="Times New Roman"/>
          <w:b/>
          <w:i/>
          <w:sz w:val="24"/>
        </w:rPr>
        <w:t>BSI = [(B11 + B4) - (B8 + B2)] / [(B11 + B4) + (B8 + B2)]</w:t>
      </w:r>
      <w:r>
        <w:rPr>
          <w:rFonts w:ascii="Times New Roman" w:hAnsi="Times New Roman"/>
          <w:b w:val="0"/>
          <w:i w:val="0"/>
          <w:sz w:val="22"/>
        </w:rPr>
        <w:t xml:space="preserve">    ... (3.5)</w:t>
      </w:r>
    </w:p>
    <w:p>
      <w:pPr>
        <w:spacing w:before="160" w:after="160" w:line="312" w:lineRule="auto"/>
        <w:jc w:val="center"/>
      </w:pPr>
      <w:r>
        <w:rPr>
          <w:rFonts w:ascii="Times New Roman" w:hAnsi="Times New Roman"/>
          <w:b/>
          <w:i/>
          <w:sz w:val="24"/>
        </w:rPr>
        <w:t>Clay_Ratio = B11 / B12</w:t>
      </w:r>
      <w:r>
        <w:rPr>
          <w:rFonts w:ascii="Times New Roman" w:hAnsi="Times New Roman"/>
          <w:b w:val="0"/>
          <w:i w:val="0"/>
          <w:sz w:val="22"/>
        </w:rPr>
        <w:t xml:space="preserve">    ... (3.6)</w:t>
      </w:r>
    </w:p>
    <w:p>
      <w:pPr>
        <w:spacing w:before="160" w:after="160" w:line="312" w:lineRule="auto"/>
        <w:jc w:val="center"/>
      </w:pPr>
      <w:r>
        <w:rPr>
          <w:rFonts w:ascii="Times New Roman" w:hAnsi="Times New Roman"/>
          <w:b/>
          <w:i/>
          <w:sz w:val="24"/>
        </w:rPr>
        <w:t>OC_Index = (B8A - B11) / (B8A + B11)</w:t>
      </w:r>
      <w:r>
        <w:rPr>
          <w:rFonts w:ascii="Times New Roman" w:hAnsi="Times New Roman"/>
          <w:b w:val="0"/>
          <w:i w:val="0"/>
          <w:sz w:val="22"/>
        </w:rPr>
        <w:t xml:space="preserve">    ... (3.7)</w:t>
      </w:r>
    </w:p>
    <w:p>
      <w:pPr>
        <w:spacing w:before="160" w:after="160" w:line="312" w:lineRule="auto"/>
        <w:jc w:val="center"/>
      </w:pPr>
      <w:r>
        <w:rPr>
          <w:rFonts w:ascii="Times New Roman" w:hAnsi="Times New Roman"/>
          <w:b/>
          <w:i/>
          <w:sz w:val="24"/>
        </w:rPr>
        <w:t>Cumulative_Integral_NDVI = Integral_{t1}^{t2} NDVI(t) dt</w:t>
      </w:r>
      <w:r>
        <w:rPr>
          <w:rFonts w:ascii="Times New Roman" w:hAnsi="Times New Roman"/>
          <w:b w:val="0"/>
          <w:i w:val="0"/>
          <w:sz w:val="22"/>
        </w:rPr>
        <w:t xml:space="preserve">    ... (3.8)</w:t>
      </w:r>
    </w:p>
    <w:p>
      <w:pPr>
        <w:spacing w:line="360" w:lineRule="auto" w:after="120" w:before="0"/>
        <w:jc w:val="both"/>
      </w:pPr>
      <w:r>
        <w:rPr>
          <w:rFonts w:ascii="Times New Roman" w:hAnsi="Times New Roman"/>
          <w:color w:val="222222"/>
          <w:sz w:val="24"/>
        </w:rPr>
        <w:t>Topographic Wetness Index (TWI) is derived from the SRTM DEM to quantify steady-state soil wetness and surface runoff accumulation as a function of the upstream specific catchment area (a) and local topographic slope angle (beta):</w:t>
      </w:r>
    </w:p>
    <w:p>
      <w:pPr>
        <w:spacing w:before="160" w:after="160" w:line="312" w:lineRule="auto"/>
        <w:jc w:val="center"/>
      </w:pPr>
      <w:r>
        <w:rPr>
          <w:rFonts w:ascii="Times New Roman" w:hAnsi="Times New Roman"/>
          <w:b/>
          <w:i/>
          <w:sz w:val="24"/>
        </w:rPr>
        <w:t>TWI = ln( a / tan(beta) )</w:t>
      </w:r>
      <w:r>
        <w:rPr>
          <w:rFonts w:ascii="Times New Roman" w:hAnsi="Times New Roman"/>
          <w:b w:val="0"/>
          <w:i w:val="0"/>
          <w:sz w:val="22"/>
        </w:rPr>
        <w:t xml:space="preserve">    ... (3.9)</w:t>
      </w:r>
    </w:p>
    <w:p>
      <w:pPr>
        <w:spacing w:line="360" w:lineRule="auto" w:after="120" w:before="0"/>
        <w:jc w:val="both"/>
      </w:pPr>
      <w:r>
        <w:rPr>
          <w:rFonts w:ascii="Times New Roman" w:hAnsi="Times New Roman"/>
          <w:color w:val="222222"/>
          <w:sz w:val="24"/>
        </w:rPr>
        <w:t>Atmospheric Vapor Pressure Deficit (VPD in kPa) is computed from ERA5-Land 2-meter air temperature (T in °C) and relative humidity (RH):</w:t>
      </w:r>
    </w:p>
    <w:p>
      <w:pPr>
        <w:spacing w:before="160" w:after="160" w:line="312" w:lineRule="auto"/>
        <w:jc w:val="center"/>
      </w:pPr>
      <w:r>
        <w:rPr>
          <w:rFonts w:ascii="Times New Roman" w:hAnsi="Times New Roman"/>
          <w:b/>
          <w:i/>
          <w:sz w:val="24"/>
        </w:rPr>
        <w:t>e_s(T) = 0.6108 * exp( (17.27 * T) / (T + 237.3) )</w:t>
      </w:r>
      <w:r>
        <w:rPr>
          <w:rFonts w:ascii="Times New Roman" w:hAnsi="Times New Roman"/>
          <w:b w:val="0"/>
          <w:i w:val="0"/>
          <w:sz w:val="22"/>
        </w:rPr>
        <w:t xml:space="preserve">    ... (3.10)</w:t>
      </w:r>
    </w:p>
    <w:p>
      <w:pPr>
        <w:spacing w:before="160" w:after="160" w:line="312" w:lineRule="auto"/>
        <w:jc w:val="center"/>
      </w:pPr>
      <w:r>
        <w:rPr>
          <w:rFonts w:ascii="Times New Roman" w:hAnsi="Times New Roman"/>
          <w:b/>
          <w:i/>
          <w:sz w:val="24"/>
        </w:rPr>
        <w:t>VPD = e_s(T) * (1.0 - (RH / 100.0))</w:t>
      </w:r>
      <w:r>
        <w:rPr>
          <w:rFonts w:ascii="Times New Roman" w:hAnsi="Times New Roman"/>
          <w:b w:val="0"/>
          <w:i w:val="0"/>
          <w:sz w:val="22"/>
        </w:rPr>
        <w:t xml:space="preserve">    ... (3.11)</w:t>
      </w:r>
    </w:p>
    <w:p>
      <w:pPr>
        <w:spacing w:line="360" w:lineRule="auto" w:after="120" w:before="0"/>
        <w:jc w:val="both"/>
      </w:pPr>
      <w:r>
        <w:rPr>
          <w:rFonts w:ascii="Times New Roman" w:hAnsi="Times New Roman"/>
          <w:color w:val="222222"/>
          <w:sz w:val="24"/>
        </w:rPr>
        <w:t>To enable tree ensembles to capture multi-domain physical interactions without requiring deep neural architectures, eight cross-domain interaction features are explicitly computed:</w:t>
      </w:r>
    </w:p>
    <w:p>
      <w:pPr>
        <w:spacing w:before="160" w:after="160" w:line="312" w:lineRule="auto"/>
        <w:jc w:val="center"/>
      </w:pPr>
      <w:r>
        <w:rPr>
          <w:rFonts w:ascii="Times New Roman" w:hAnsi="Times New Roman"/>
          <w:b/>
          <w:i/>
          <w:sz w:val="24"/>
        </w:rPr>
        <w:t>Clay_x_Moisture = Clay_Fraction * Soil_Moisture_0_7cm</w:t>
      </w:r>
      <w:r>
        <w:rPr>
          <w:rFonts w:ascii="Times New Roman" w:hAnsi="Times New Roman"/>
          <w:b w:val="0"/>
          <w:i w:val="0"/>
          <w:sz w:val="22"/>
        </w:rPr>
        <w:t xml:space="preserve">    ... (3.12)</w:t>
      </w:r>
    </w:p>
    <w:p>
      <w:pPr>
        <w:spacing w:before="160" w:after="160" w:line="312" w:lineRule="auto"/>
        <w:jc w:val="center"/>
      </w:pPr>
      <w:r>
        <w:rPr>
          <w:rFonts w:ascii="Times New Roman" w:hAnsi="Times New Roman"/>
          <w:b/>
          <w:i/>
          <w:sz w:val="24"/>
        </w:rPr>
        <w:t>Temp_x_VPD = Soil_Temp_0_7cm_K * VPD_kpa</w:t>
      </w:r>
      <w:r>
        <w:rPr>
          <w:rFonts w:ascii="Times New Roman" w:hAnsi="Times New Roman"/>
          <w:b w:val="0"/>
          <w:i w:val="0"/>
          <w:sz w:val="22"/>
        </w:rPr>
        <w:t xml:space="preserve">    ... (3.13)</w:t>
      </w:r>
    </w:p>
    <w:p>
      <w:pPr>
        <w:spacing w:before="160" w:after="160" w:line="312" w:lineRule="auto"/>
        <w:jc w:val="center"/>
      </w:pPr>
      <w:r>
        <w:t>BSI_div_NDVI = BSI / (|NDVI| + 0.05)    ... (3.14)</w:t>
      </w:r>
    </w:p>
    <w:p>
      <w:pPr>
        <w:spacing w:before="160" w:after="160" w:line="312" w:lineRule="auto"/>
        <w:jc w:val="center"/>
      </w:pPr>
      <w:r>
        <w:rPr>
          <w:rFonts w:ascii="Times New Roman" w:hAnsi="Times New Roman"/>
          <w:b/>
          <w:i/>
          <w:sz w:val="24"/>
        </w:rPr>
        <w:t>Clay_x_Elevation = Clay_Fraction * Elevation_m</w:t>
      </w:r>
      <w:r>
        <w:rPr>
          <w:rFonts w:ascii="Times New Roman" w:hAnsi="Times New Roman"/>
          <w:b w:val="0"/>
          <w:i w:val="0"/>
          <w:sz w:val="22"/>
        </w:rPr>
        <w:t xml:space="preserve">    ... (3.15)</w:t>
      </w:r>
    </w:p>
    <w:p>
      <w:pPr>
        <w:spacing w:before="160" w:after="160" w:line="312" w:lineRule="auto"/>
        <w:jc w:val="center"/>
      </w:pPr>
      <w:r>
        <w:rPr>
          <w:rFonts w:ascii="Times New Roman" w:hAnsi="Times New Roman"/>
          <w:b/>
          <w:i/>
          <w:sz w:val="24"/>
        </w:rPr>
        <w:t>Moisture_div_Slope = Soil_Moisture_0_7cm / (Slope_deg + 0.10)</w:t>
      </w:r>
      <w:r>
        <w:rPr>
          <w:rFonts w:ascii="Times New Roman" w:hAnsi="Times New Roman"/>
          <w:b w:val="0"/>
          <w:i w:val="0"/>
          <w:sz w:val="22"/>
        </w:rPr>
        <w:t xml:space="preserve">    ... (3.16)</w:t>
      </w:r>
    </w:p>
    <w:p>
      <w:pPr>
        <w:spacing w:before="160" w:after="160" w:line="312" w:lineRule="auto"/>
        <w:jc w:val="center"/>
      </w:pPr>
      <w:r>
        <w:rPr>
          <w:rFonts w:ascii="Times New Roman" w:hAnsi="Times New Roman"/>
          <w:b/>
          <w:i/>
          <w:sz w:val="24"/>
        </w:rPr>
        <w:t>Spatial_Lat2 = Latitude^2,   Spatial_Lon2 = Longitude^2,   Spatial_Lat_Lon = Latitude * Longitude</w:t>
      </w:r>
      <w:r>
        <w:rPr>
          <w:rFonts w:ascii="Times New Roman" w:hAnsi="Times New Roman"/>
          <w:b w:val="0"/>
          <w:i w:val="0"/>
          <w:sz w:val="22"/>
        </w:rPr>
        <w:t xml:space="preserve">    ... (3.17)</w:t>
      </w:r>
    </w:p>
    <w:p>
      <w:pPr>
        <w:spacing w:before="200" w:after="80"/>
        <w:jc w:val="center"/>
      </w:pPr>
      <w:r>
        <w:rPr>
          <w:rFonts w:ascii="Times New Roman" w:hAnsi="Times New Roman"/>
          <w:b/>
          <w:color w:val="1E1E1E"/>
          <w:sz w:val="22"/>
        </w:rPr>
        <w:t>Table 3.2: Complete Catalog of 47 Engineered SCORPAN Features in AgriCare</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160"/>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Category</w:t>
            </w:r>
          </w:p>
        </w:tc>
        <w:tc>
          <w:tcPr>
            <w:tcW w:type="dxa" w:w="1440"/>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Feature Count</w:t>
            </w:r>
          </w:p>
        </w:tc>
        <w:tc>
          <w:tcPr>
            <w:tcW w:type="dxa" w:w="3168"/>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Variable Names / Symbols</w:t>
            </w:r>
          </w:p>
        </w:tc>
        <w:tc>
          <w:tcPr>
            <w:tcW w:type="dxa" w:w="2592"/>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Physical Domain Rationale</w:t>
            </w:r>
          </w:p>
        </w:tc>
      </w:tr>
      <w:tr>
        <w:tc>
          <w:tcPr>
            <w:tcW w:type="dxa" w:w="2160"/>
            <w:shd w:fill="FFFFFF"/>
            <w:tcMar>
              <w:top w:w="90" w:type="dxa"/>
              <w:left w:w="120" w:type="dxa"/>
              <w:bottom w:w="90" w:type="dxa"/>
              <w:right w:w="120" w:type="dxa"/>
            </w:tcMar>
          </w:tcPr>
          <w:p>
            <w:pPr>
              <w:spacing w:before="0" w:after="0"/>
              <w:jc w:val="left"/>
            </w:pPr>
            <w:r/>
            <w:r>
              <w:rPr>
                <w:rFonts w:ascii="Times New Roman" w:hAnsi="Times New Roman"/>
                <w:color w:val="222222"/>
                <w:sz w:val="20"/>
              </w:rPr>
              <w:t>1. Sentinel-2 Bands</w:t>
            </w:r>
          </w:p>
        </w:tc>
        <w:tc>
          <w:tcPr>
            <w:tcW w:type="dxa" w:w="1440"/>
            <w:shd w:fill="FFFFFF"/>
            <w:tcMar>
              <w:top w:w="90" w:type="dxa"/>
              <w:left w:w="120" w:type="dxa"/>
              <w:bottom w:w="90" w:type="dxa"/>
              <w:right w:w="120" w:type="dxa"/>
            </w:tcMar>
          </w:tcPr>
          <w:p>
            <w:pPr>
              <w:spacing w:before="0" w:after="0"/>
              <w:jc w:val="center"/>
            </w:pPr>
            <w:r/>
            <w:r>
              <w:rPr>
                <w:rFonts w:ascii="Times New Roman" w:hAnsi="Times New Roman"/>
                <w:color w:val="222222"/>
                <w:sz w:val="20"/>
              </w:rPr>
              <w:t>12</w:t>
            </w:r>
          </w:p>
        </w:tc>
        <w:tc>
          <w:tcPr>
            <w:tcW w:type="dxa" w:w="3168"/>
            <w:shd w:fill="FFFFFF"/>
            <w:tcMar>
              <w:top w:w="90" w:type="dxa"/>
              <w:left w:w="120" w:type="dxa"/>
              <w:bottom w:w="90" w:type="dxa"/>
              <w:right w:w="120" w:type="dxa"/>
            </w:tcMar>
          </w:tcPr>
          <w:p>
            <w:pPr>
              <w:spacing w:before="0" w:after="0"/>
              <w:jc w:val="left"/>
            </w:pPr>
            <w:r/>
            <w:r>
              <w:rPr>
                <w:rFonts w:ascii="Times New Roman" w:hAnsi="Times New Roman"/>
                <w:color w:val="222222"/>
                <w:sz w:val="20"/>
              </w:rPr>
              <w:t>B1, B2, B3, B4, B5, B6, B7, B8, B8A, B9, B11, B12</w:t>
            </w:r>
          </w:p>
        </w:tc>
        <w:tc>
          <w:tcPr>
            <w:tcW w:type="dxa" w:w="2592"/>
            <w:shd w:fill="FFFFFF"/>
            <w:tcMar>
              <w:top w:w="90" w:type="dxa"/>
              <w:left w:w="120" w:type="dxa"/>
              <w:bottom w:w="90" w:type="dxa"/>
              <w:right w:w="120" w:type="dxa"/>
            </w:tcMar>
          </w:tcPr>
          <w:p>
            <w:pPr>
              <w:spacing w:before="0" w:after="0"/>
              <w:jc w:val="left"/>
            </w:pPr>
            <w:r/>
            <w:r>
              <w:rPr>
                <w:rFonts w:ascii="Times New Roman" w:hAnsi="Times New Roman"/>
                <w:color w:val="222222"/>
                <w:sz w:val="20"/>
              </w:rPr>
              <w:t>Direct optical and shortwave infrared reflectance</w:t>
            </w:r>
          </w:p>
        </w:tc>
      </w:tr>
      <w:tr>
        <w:tc>
          <w:tcPr>
            <w:tcW w:type="dxa" w:w="2160"/>
            <w:shd w:fill="F4F6F9"/>
            <w:tcMar>
              <w:top w:w="90" w:type="dxa"/>
              <w:left w:w="120" w:type="dxa"/>
              <w:bottom w:w="90" w:type="dxa"/>
              <w:right w:w="120" w:type="dxa"/>
            </w:tcMar>
          </w:tcPr>
          <w:p>
            <w:pPr>
              <w:spacing w:before="0" w:after="0"/>
              <w:jc w:val="left"/>
            </w:pPr>
            <w:r/>
            <w:r>
              <w:rPr>
                <w:rFonts w:ascii="Times New Roman" w:hAnsi="Times New Roman"/>
                <w:color w:val="222222"/>
                <w:sz w:val="20"/>
              </w:rPr>
              <w:t>2. Spectral Indices</w:t>
            </w:r>
          </w:p>
        </w:tc>
        <w:tc>
          <w:tcPr>
            <w:tcW w:type="dxa" w:w="1440"/>
            <w:shd w:fill="F4F6F9"/>
            <w:tcMar>
              <w:top w:w="90" w:type="dxa"/>
              <w:left w:w="120" w:type="dxa"/>
              <w:bottom w:w="90" w:type="dxa"/>
              <w:right w:w="120" w:type="dxa"/>
            </w:tcMar>
          </w:tcPr>
          <w:p>
            <w:pPr>
              <w:spacing w:before="0" w:after="0"/>
              <w:jc w:val="center"/>
            </w:pPr>
            <w:r/>
            <w:r>
              <w:rPr>
                <w:rFonts w:ascii="Times New Roman" w:hAnsi="Times New Roman"/>
                <w:color w:val="222222"/>
                <w:sz w:val="20"/>
              </w:rPr>
              <w:t>8</w:t>
            </w:r>
          </w:p>
        </w:tc>
        <w:tc>
          <w:tcPr>
            <w:tcW w:type="dxa" w:w="3168"/>
            <w:shd w:fill="F4F6F9"/>
            <w:tcMar>
              <w:top w:w="90" w:type="dxa"/>
              <w:left w:w="120" w:type="dxa"/>
              <w:bottom w:w="90" w:type="dxa"/>
              <w:right w:w="120" w:type="dxa"/>
            </w:tcMar>
          </w:tcPr>
          <w:p>
            <w:pPr>
              <w:spacing w:before="0" w:after="0"/>
              <w:jc w:val="left"/>
            </w:pPr>
            <w:r/>
            <w:r>
              <w:rPr>
                <w:rFonts w:ascii="Times New Roman" w:hAnsi="Times New Roman"/>
                <w:color w:val="222222"/>
                <w:sz w:val="20"/>
              </w:rPr>
              <w:t>NDVI, NDRE, EVI, SAVI, BSI, Clay_Ratio, OC_Index, Integral_NDVI</w:t>
            </w:r>
          </w:p>
        </w:tc>
        <w:tc>
          <w:tcPr>
            <w:tcW w:type="dxa" w:w="2592"/>
            <w:shd w:fill="F4F6F9"/>
            <w:tcMar>
              <w:top w:w="90" w:type="dxa"/>
              <w:left w:w="120" w:type="dxa"/>
              <w:bottom w:w="90" w:type="dxa"/>
              <w:right w:w="120" w:type="dxa"/>
            </w:tcMar>
          </w:tcPr>
          <w:p>
            <w:pPr>
              <w:spacing w:before="0" w:after="0"/>
              <w:jc w:val="left"/>
            </w:pPr>
            <w:r/>
            <w:r>
              <w:rPr>
                <w:rFonts w:ascii="Times New Roman" w:hAnsi="Times New Roman"/>
                <w:color w:val="222222"/>
                <w:sz w:val="20"/>
              </w:rPr>
              <w:t>Vegetation vigor, bare soil albedo, clay/carbon absorption</w:t>
            </w:r>
          </w:p>
        </w:tc>
      </w:tr>
      <w:tr>
        <w:tc>
          <w:tcPr>
            <w:tcW w:type="dxa" w:w="2160"/>
            <w:shd w:fill="FFFFFF"/>
            <w:tcMar>
              <w:top w:w="90" w:type="dxa"/>
              <w:left w:w="120" w:type="dxa"/>
              <w:bottom w:w="90" w:type="dxa"/>
              <w:right w:w="120" w:type="dxa"/>
            </w:tcMar>
          </w:tcPr>
          <w:p>
            <w:pPr>
              <w:spacing w:before="0" w:after="0"/>
              <w:jc w:val="left"/>
            </w:pPr>
            <w:r/>
            <w:r>
              <w:rPr>
                <w:rFonts w:ascii="Times New Roman" w:hAnsi="Times New Roman"/>
                <w:color w:val="222222"/>
                <w:sz w:val="20"/>
              </w:rPr>
              <w:t>3. Geomorphometry</w:t>
            </w:r>
          </w:p>
        </w:tc>
        <w:tc>
          <w:tcPr>
            <w:tcW w:type="dxa" w:w="1440"/>
            <w:shd w:fill="FFFFFF"/>
            <w:tcMar>
              <w:top w:w="90" w:type="dxa"/>
              <w:left w:w="120" w:type="dxa"/>
              <w:bottom w:w="90" w:type="dxa"/>
              <w:right w:w="120" w:type="dxa"/>
            </w:tcMar>
          </w:tcPr>
          <w:p>
            <w:pPr>
              <w:spacing w:before="0" w:after="0"/>
              <w:jc w:val="center"/>
            </w:pPr>
            <w:r/>
            <w:r>
              <w:rPr>
                <w:rFonts w:ascii="Times New Roman" w:hAnsi="Times New Roman"/>
                <w:color w:val="222222"/>
                <w:sz w:val="20"/>
              </w:rPr>
              <w:t>7</w:t>
            </w:r>
          </w:p>
        </w:tc>
        <w:tc>
          <w:tcPr>
            <w:tcW w:type="dxa" w:w="3168"/>
            <w:shd w:fill="FFFFFF"/>
            <w:tcMar>
              <w:top w:w="90" w:type="dxa"/>
              <w:left w:w="120" w:type="dxa"/>
              <w:bottom w:w="90" w:type="dxa"/>
              <w:right w:w="120" w:type="dxa"/>
            </w:tcMar>
          </w:tcPr>
          <w:p>
            <w:pPr>
              <w:spacing w:before="0" w:after="0"/>
              <w:jc w:val="left"/>
            </w:pPr>
            <w:r/>
            <w:r>
              <w:rPr>
                <w:rFonts w:ascii="Times New Roman" w:hAnsi="Times New Roman"/>
                <w:color w:val="222222"/>
                <w:sz w:val="20"/>
              </w:rPr>
              <w:t>Elevation_m, Slope_deg, Hillshade, TWI, Curvature, Aspect_Sin, Aspect_Cos</w:t>
            </w:r>
          </w:p>
        </w:tc>
        <w:tc>
          <w:tcPr>
            <w:tcW w:type="dxa" w:w="2592"/>
            <w:shd w:fill="FFFFFF"/>
            <w:tcMar>
              <w:top w:w="90" w:type="dxa"/>
              <w:left w:w="120" w:type="dxa"/>
              <w:bottom w:w="90" w:type="dxa"/>
              <w:right w:w="120" w:type="dxa"/>
            </w:tcMar>
          </w:tcPr>
          <w:p>
            <w:pPr>
              <w:spacing w:before="0" w:after="0"/>
              <w:jc w:val="left"/>
            </w:pPr>
            <w:r/>
            <w:r>
              <w:rPr>
                <w:rFonts w:ascii="Times New Roman" w:hAnsi="Times New Roman"/>
                <w:color w:val="222222"/>
                <w:sz w:val="20"/>
              </w:rPr>
              <w:t>Topographic water accumulation, solar illumination, drainage</w:t>
            </w:r>
          </w:p>
        </w:tc>
      </w:tr>
      <w:tr>
        <w:tc>
          <w:tcPr>
            <w:tcW w:type="dxa" w:w="2160"/>
            <w:shd w:fill="F4F6F9"/>
            <w:tcMar>
              <w:top w:w="90" w:type="dxa"/>
              <w:left w:w="120" w:type="dxa"/>
              <w:bottom w:w="90" w:type="dxa"/>
              <w:right w:w="120" w:type="dxa"/>
            </w:tcMar>
          </w:tcPr>
          <w:p>
            <w:pPr>
              <w:spacing w:before="0" w:after="0"/>
              <w:jc w:val="left"/>
            </w:pPr>
            <w:r/>
            <w:r>
              <w:rPr>
                <w:rFonts w:ascii="Times New Roman" w:hAnsi="Times New Roman"/>
                <w:color w:val="222222"/>
                <w:sz w:val="20"/>
              </w:rPr>
              <w:t>4. Climate Reanalysis</w:t>
            </w:r>
          </w:p>
        </w:tc>
        <w:tc>
          <w:tcPr>
            <w:tcW w:type="dxa" w:w="1440"/>
            <w:shd w:fill="F4F6F9"/>
            <w:tcMar>
              <w:top w:w="90" w:type="dxa"/>
              <w:left w:w="120" w:type="dxa"/>
              <w:bottom w:w="90" w:type="dxa"/>
              <w:right w:w="120" w:type="dxa"/>
            </w:tcMar>
          </w:tcPr>
          <w:p>
            <w:pPr>
              <w:spacing w:before="0" w:after="0"/>
              <w:jc w:val="center"/>
            </w:pPr>
            <w:r/>
            <w:r>
              <w:rPr>
                <w:rFonts w:ascii="Times New Roman" w:hAnsi="Times New Roman"/>
                <w:color w:val="222222"/>
                <w:sz w:val="20"/>
              </w:rPr>
              <w:t>7</w:t>
            </w:r>
          </w:p>
        </w:tc>
        <w:tc>
          <w:tcPr>
            <w:tcW w:type="dxa" w:w="3168"/>
            <w:shd w:fill="F4F6F9"/>
            <w:tcMar>
              <w:top w:w="90" w:type="dxa"/>
              <w:left w:w="120" w:type="dxa"/>
              <w:bottom w:w="90" w:type="dxa"/>
              <w:right w:w="120" w:type="dxa"/>
            </w:tcMar>
          </w:tcPr>
          <w:p>
            <w:pPr>
              <w:spacing w:before="0" w:after="0"/>
              <w:jc w:val="left"/>
            </w:pPr>
            <w:r/>
            <w:r>
              <w:rPr>
                <w:rFonts w:ascii="Times New Roman" w:hAnsi="Times New Roman"/>
                <w:color w:val="222222"/>
                <w:sz w:val="20"/>
              </w:rPr>
              <w:t>Soil_Moisture, Soil_Temp, LST_K, Precip_Mean, PET, Aridity_Index, VPD</w:t>
            </w:r>
          </w:p>
        </w:tc>
        <w:tc>
          <w:tcPr>
            <w:tcW w:type="dxa" w:w="2592"/>
            <w:shd w:fill="F4F6F9"/>
            <w:tcMar>
              <w:top w:w="90" w:type="dxa"/>
              <w:left w:w="120" w:type="dxa"/>
              <w:bottom w:w="90" w:type="dxa"/>
              <w:right w:w="120" w:type="dxa"/>
            </w:tcMar>
          </w:tcPr>
          <w:p>
            <w:pPr>
              <w:spacing w:before="0" w:after="0"/>
              <w:jc w:val="left"/>
            </w:pPr>
            <w:r/>
            <w:r>
              <w:rPr>
                <w:rFonts w:ascii="Times New Roman" w:hAnsi="Times New Roman"/>
                <w:color w:val="222222"/>
                <w:sz w:val="20"/>
              </w:rPr>
              <w:t>Thermodynamic soil moisture, weathering, evapotranspiration</w:t>
            </w:r>
          </w:p>
        </w:tc>
      </w:tr>
      <w:tr>
        <w:tc>
          <w:tcPr>
            <w:tcW w:type="dxa" w:w="2160"/>
            <w:shd w:fill="FFFFFF"/>
            <w:tcMar>
              <w:top w:w="90" w:type="dxa"/>
              <w:left w:w="120" w:type="dxa"/>
              <w:bottom w:w="90" w:type="dxa"/>
              <w:right w:w="120" w:type="dxa"/>
            </w:tcMar>
          </w:tcPr>
          <w:p>
            <w:pPr>
              <w:spacing w:before="0" w:after="0"/>
              <w:jc w:val="left"/>
            </w:pPr>
            <w:r/>
            <w:r>
              <w:rPr>
                <w:rFonts w:ascii="Times New Roman" w:hAnsi="Times New Roman"/>
                <w:color w:val="222222"/>
                <w:sz w:val="20"/>
              </w:rPr>
              <w:t>5. Soil Texture &amp; Space</w:t>
            </w:r>
          </w:p>
        </w:tc>
        <w:tc>
          <w:tcPr>
            <w:tcW w:type="dxa" w:w="1440"/>
            <w:shd w:fill="FFFFFF"/>
            <w:tcMar>
              <w:top w:w="90" w:type="dxa"/>
              <w:left w:w="120" w:type="dxa"/>
              <w:bottom w:w="90" w:type="dxa"/>
              <w:right w:w="120" w:type="dxa"/>
            </w:tcMar>
          </w:tcPr>
          <w:p>
            <w:pPr>
              <w:spacing w:before="0" w:after="0"/>
              <w:jc w:val="center"/>
            </w:pPr>
            <w:r/>
            <w:r>
              <w:rPr>
                <w:rFonts w:ascii="Times New Roman" w:hAnsi="Times New Roman"/>
                <w:color w:val="222222"/>
                <w:sz w:val="20"/>
              </w:rPr>
              <w:t>5</w:t>
            </w:r>
          </w:p>
        </w:tc>
        <w:tc>
          <w:tcPr>
            <w:tcW w:type="dxa" w:w="3168"/>
            <w:shd w:fill="FFFFFF"/>
            <w:tcMar>
              <w:top w:w="90" w:type="dxa"/>
              <w:left w:w="120" w:type="dxa"/>
              <w:bottom w:w="90" w:type="dxa"/>
              <w:right w:w="120" w:type="dxa"/>
            </w:tcMar>
          </w:tcPr>
          <w:p>
            <w:pPr>
              <w:spacing w:before="0" w:after="0"/>
              <w:jc w:val="left"/>
            </w:pPr>
            <w:r/>
            <w:r>
              <w:rPr>
                <w:rFonts w:ascii="Times New Roman" w:hAnsi="Times New Roman"/>
                <w:color w:val="222222"/>
                <w:sz w:val="20"/>
              </w:rPr>
              <w:t>Clay_Fraction, Sand_Fraction, Silt_Fraction, Latitude, Longitude</w:t>
            </w:r>
          </w:p>
        </w:tc>
        <w:tc>
          <w:tcPr>
            <w:tcW w:type="dxa" w:w="2592"/>
            <w:shd w:fill="FFFFFF"/>
            <w:tcMar>
              <w:top w:w="90" w:type="dxa"/>
              <w:left w:w="120" w:type="dxa"/>
              <w:bottom w:w="90" w:type="dxa"/>
              <w:right w:w="120" w:type="dxa"/>
            </w:tcMar>
          </w:tcPr>
          <w:p>
            <w:pPr>
              <w:spacing w:before="0" w:after="0"/>
              <w:jc w:val="left"/>
            </w:pPr>
            <w:r/>
            <w:r>
              <w:rPr>
                <w:rFonts w:ascii="Times New Roman" w:hAnsi="Times New Roman"/>
                <w:color w:val="222222"/>
                <w:sz w:val="20"/>
              </w:rPr>
              <w:t>Physical mineral matrix, cation exchange capacity, coordinates</w:t>
            </w:r>
          </w:p>
        </w:tc>
      </w:tr>
      <w:tr>
        <w:tc>
          <w:tcPr>
            <w:tcW w:type="dxa" w:w="2160"/>
            <w:shd w:fill="F4F6F9"/>
            <w:tcMar>
              <w:top w:w="90" w:type="dxa"/>
              <w:left w:w="120" w:type="dxa"/>
              <w:bottom w:w="90" w:type="dxa"/>
              <w:right w:w="120" w:type="dxa"/>
            </w:tcMar>
          </w:tcPr>
          <w:p>
            <w:pPr>
              <w:spacing w:before="0" w:after="0"/>
              <w:jc w:val="left"/>
            </w:pPr>
            <w:r/>
            <w:r>
              <w:rPr>
                <w:rFonts w:ascii="Times New Roman" w:hAnsi="Times New Roman"/>
                <w:color w:val="222222"/>
                <w:sz w:val="20"/>
              </w:rPr>
              <w:t>6. Physical Interactions</w:t>
            </w:r>
          </w:p>
        </w:tc>
        <w:tc>
          <w:tcPr>
            <w:tcW w:type="dxa" w:w="1440"/>
            <w:shd w:fill="F4F6F9"/>
            <w:tcMar>
              <w:top w:w="90" w:type="dxa"/>
              <w:left w:w="120" w:type="dxa"/>
              <w:bottom w:w="90" w:type="dxa"/>
              <w:right w:w="120" w:type="dxa"/>
            </w:tcMar>
          </w:tcPr>
          <w:p>
            <w:pPr>
              <w:spacing w:before="0" w:after="0"/>
              <w:jc w:val="center"/>
            </w:pPr>
            <w:r/>
            <w:r>
              <w:rPr>
                <w:rFonts w:ascii="Times New Roman" w:hAnsi="Times New Roman"/>
                <w:color w:val="222222"/>
                <w:sz w:val="20"/>
              </w:rPr>
              <w:t>3</w:t>
            </w:r>
          </w:p>
        </w:tc>
        <w:tc>
          <w:tcPr>
            <w:tcW w:type="dxa" w:w="3168"/>
            <w:shd w:fill="F4F6F9"/>
            <w:tcMar>
              <w:top w:w="90" w:type="dxa"/>
              <w:left w:w="120" w:type="dxa"/>
              <w:bottom w:w="90" w:type="dxa"/>
              <w:right w:w="120" w:type="dxa"/>
            </w:tcMar>
          </w:tcPr>
          <w:p>
            <w:pPr>
              <w:spacing w:before="0" w:after="0"/>
              <w:jc w:val="left"/>
            </w:pPr>
            <w:r/>
            <w:r>
              <w:rPr>
                <w:rFonts w:ascii="Times New Roman" w:hAnsi="Times New Roman"/>
                <w:color w:val="222222"/>
                <w:sz w:val="20"/>
              </w:rPr>
              <w:t>Clay_x_Moisture, Temp_x_VPD, BSI_div_NDVI</w:t>
            </w:r>
          </w:p>
        </w:tc>
        <w:tc>
          <w:tcPr>
            <w:tcW w:type="dxa" w:w="2592"/>
            <w:shd w:fill="F4F6F9"/>
            <w:tcMar>
              <w:top w:w="90" w:type="dxa"/>
              <w:left w:w="120" w:type="dxa"/>
              <w:bottom w:w="90" w:type="dxa"/>
              <w:right w:w="120" w:type="dxa"/>
            </w:tcMar>
          </w:tcPr>
          <w:p>
            <w:pPr>
              <w:spacing w:before="0" w:after="0"/>
              <w:jc w:val="left"/>
            </w:pPr>
            <w:r/>
            <w:r>
              <w:rPr>
                <w:rFonts w:ascii="Times New Roman" w:hAnsi="Times New Roman"/>
                <w:color w:val="222222"/>
                <w:sz w:val="20"/>
              </w:rPr>
              <w:t>Coupled hydrological and atmospheric evaporative demand</w:t>
            </w:r>
          </w:p>
        </w:tc>
      </w:tr>
      <w:tr>
        <w:tc>
          <w:tcPr>
            <w:tcW w:type="dxa" w:w="2160"/>
            <w:shd w:fill="FFFFFF"/>
            <w:tcMar>
              <w:top w:w="90" w:type="dxa"/>
              <w:left w:w="120" w:type="dxa"/>
              <w:bottom w:w="90" w:type="dxa"/>
              <w:right w:w="120" w:type="dxa"/>
            </w:tcMar>
          </w:tcPr>
          <w:p>
            <w:pPr>
              <w:spacing w:before="0" w:after="0"/>
              <w:jc w:val="left"/>
            </w:pPr>
            <w:r/>
            <w:r>
              <w:rPr>
                <w:rFonts w:ascii="Times New Roman" w:hAnsi="Times New Roman"/>
                <w:color w:val="222222"/>
                <w:sz w:val="20"/>
              </w:rPr>
              <w:t>7. Spatial Polynomials</w:t>
            </w:r>
          </w:p>
        </w:tc>
        <w:tc>
          <w:tcPr>
            <w:tcW w:type="dxa" w:w="1440"/>
            <w:shd w:fill="FFFFFF"/>
            <w:tcMar>
              <w:top w:w="90" w:type="dxa"/>
              <w:left w:w="120" w:type="dxa"/>
              <w:bottom w:w="90" w:type="dxa"/>
              <w:right w:w="120" w:type="dxa"/>
            </w:tcMar>
          </w:tcPr>
          <w:p>
            <w:pPr>
              <w:spacing w:before="0" w:after="0"/>
              <w:jc w:val="center"/>
            </w:pPr>
            <w:r/>
            <w:r>
              <w:rPr>
                <w:rFonts w:ascii="Times New Roman" w:hAnsi="Times New Roman"/>
                <w:color w:val="222222"/>
                <w:sz w:val="20"/>
              </w:rPr>
              <w:t>3</w:t>
            </w:r>
          </w:p>
        </w:tc>
        <w:tc>
          <w:tcPr>
            <w:tcW w:type="dxa" w:w="3168"/>
            <w:shd w:fill="FFFFFF"/>
            <w:tcMar>
              <w:top w:w="90" w:type="dxa"/>
              <w:left w:w="120" w:type="dxa"/>
              <w:bottom w:w="90" w:type="dxa"/>
              <w:right w:w="120" w:type="dxa"/>
            </w:tcMar>
          </w:tcPr>
          <w:p>
            <w:pPr>
              <w:spacing w:before="0" w:after="0"/>
              <w:jc w:val="left"/>
            </w:pPr>
            <w:r/>
            <w:r>
              <w:rPr>
                <w:rFonts w:ascii="Times New Roman" w:hAnsi="Times New Roman"/>
                <w:color w:val="222222"/>
                <w:sz w:val="20"/>
              </w:rPr>
              <w:t>Spatial_Lat2, Spatial_Lon2, Spatial_Lat_Lon</w:t>
            </w:r>
          </w:p>
        </w:tc>
        <w:tc>
          <w:tcPr>
            <w:tcW w:type="dxa" w:w="2592"/>
            <w:shd w:fill="FFFFFF"/>
            <w:tcMar>
              <w:top w:w="90" w:type="dxa"/>
              <w:left w:w="120" w:type="dxa"/>
              <w:bottom w:w="90" w:type="dxa"/>
              <w:right w:w="120" w:type="dxa"/>
            </w:tcMar>
          </w:tcPr>
          <w:p>
            <w:pPr>
              <w:spacing w:before="0" w:after="0"/>
              <w:jc w:val="left"/>
            </w:pPr>
            <w:r/>
            <w:r>
              <w:rPr>
                <w:rFonts w:ascii="Times New Roman" w:hAnsi="Times New Roman"/>
                <w:color w:val="222222"/>
                <w:sz w:val="20"/>
              </w:rPr>
              <w:t>Macro-scale geographic trend surfaces across Nellore delta</w:t>
            </w:r>
          </w:p>
        </w:tc>
      </w:tr>
      <w:tr>
        <w:tc>
          <w:tcPr>
            <w:tcW w:type="dxa" w:w="2160"/>
            <w:shd w:fill="F4F6F9"/>
            <w:tcMar>
              <w:top w:w="90" w:type="dxa"/>
              <w:left w:w="120" w:type="dxa"/>
              <w:bottom w:w="90" w:type="dxa"/>
              <w:right w:w="120" w:type="dxa"/>
            </w:tcMar>
          </w:tcPr>
          <w:p>
            <w:pPr>
              <w:spacing w:before="0" w:after="0"/>
              <w:jc w:val="left"/>
            </w:pPr>
            <w:r/>
            <w:r>
              <w:rPr>
                <w:rFonts w:ascii="Times New Roman" w:hAnsi="Times New Roman"/>
                <w:color w:val="222222"/>
                <w:sz w:val="20"/>
              </w:rPr>
              <w:t>8. Soil-Terrain Hydrology</w:t>
            </w:r>
          </w:p>
        </w:tc>
        <w:tc>
          <w:tcPr>
            <w:tcW w:type="dxa" w:w="1440"/>
            <w:shd w:fill="F4F6F9"/>
            <w:tcMar>
              <w:top w:w="90" w:type="dxa"/>
              <w:left w:w="120" w:type="dxa"/>
              <w:bottom w:w="90" w:type="dxa"/>
              <w:right w:w="120" w:type="dxa"/>
            </w:tcMar>
          </w:tcPr>
          <w:p>
            <w:pPr>
              <w:spacing w:before="0" w:after="0"/>
              <w:jc w:val="center"/>
            </w:pPr>
            <w:r/>
            <w:r>
              <w:rPr>
                <w:rFonts w:ascii="Times New Roman" w:hAnsi="Times New Roman"/>
                <w:color w:val="222222"/>
                <w:sz w:val="20"/>
              </w:rPr>
              <w:t>2</w:t>
            </w:r>
          </w:p>
        </w:tc>
        <w:tc>
          <w:tcPr>
            <w:tcW w:type="dxa" w:w="3168"/>
            <w:shd w:fill="F4F6F9"/>
            <w:tcMar>
              <w:top w:w="90" w:type="dxa"/>
              <w:left w:w="120" w:type="dxa"/>
              <w:bottom w:w="90" w:type="dxa"/>
              <w:right w:w="120" w:type="dxa"/>
            </w:tcMar>
          </w:tcPr>
          <w:p>
            <w:pPr>
              <w:spacing w:before="0" w:after="0"/>
              <w:jc w:val="left"/>
            </w:pPr>
            <w:r/>
            <w:r>
              <w:rPr>
                <w:rFonts w:ascii="Times New Roman" w:hAnsi="Times New Roman"/>
                <w:color w:val="222222"/>
                <w:sz w:val="20"/>
              </w:rPr>
              <w:t>Clay_x_Elevation, Moisture_div_Slope</w:t>
            </w:r>
          </w:p>
        </w:tc>
        <w:tc>
          <w:tcPr>
            <w:tcW w:type="dxa" w:w="2592"/>
            <w:shd w:fill="F4F6F9"/>
            <w:tcMar>
              <w:top w:w="90" w:type="dxa"/>
              <w:left w:w="120" w:type="dxa"/>
              <w:bottom w:w="90" w:type="dxa"/>
              <w:right w:w="120" w:type="dxa"/>
            </w:tcMar>
          </w:tcPr>
          <w:p>
            <w:pPr>
              <w:spacing w:before="0" w:after="0"/>
              <w:jc w:val="left"/>
            </w:pPr>
            <w:r/>
            <w:r>
              <w:rPr>
                <w:rFonts w:ascii="Times New Roman" w:hAnsi="Times New Roman"/>
                <w:color w:val="222222"/>
                <w:sz w:val="20"/>
              </w:rPr>
              <w:t>Sediment redistribution and erosion-deposition dynamics</w:t>
            </w:r>
          </w:p>
        </w:tc>
      </w:tr>
    </w:tbl>
    <w:p>
      <w:pPr>
        <w:spacing w:before="0" w:after="160"/>
      </w:pPr>
    </w:p>
    <w:p>
      <w:pPr>
        <w:spacing w:before="200" w:after="80" w:line="276" w:lineRule="auto"/>
        <w:jc w:val="left"/>
      </w:pPr>
      <w:r>
        <w:rPr>
          <w:rFonts w:ascii="Times New Roman" w:hAnsi="Times New Roman"/>
          <w:b/>
          <w:color w:val="282828"/>
          <w:sz w:val="25"/>
        </w:rPr>
        <w:t>3.2.4 Dual-Head Machine Learning Architecture</w:t>
      </w:r>
    </w:p>
    <w:p>
      <w:pPr>
        <w:spacing w:line="360" w:lineRule="auto" w:after="120" w:before="0"/>
        <w:jc w:val="both"/>
      </w:pPr>
      <w:r>
        <w:rPr>
          <w:rFonts w:ascii="Times New Roman" w:hAnsi="Times New Roman"/>
          <w:color w:val="222222"/>
          <w:sz w:val="24"/>
        </w:rPr>
        <w:t>Prior soil machine learning research relies on monolithic continuous regressors. When continuous predictions are thresholded into statutory agricultural classes, boundary errors produce severe misclassifications. AgriCare introduces a Dual-Head machine learning architecture designed to solve this duality:</w:t>
      </w:r>
    </w:p>
    <w:p>
      <w:pPr>
        <w:spacing w:line="360" w:lineRule="auto" w:after="120" w:before="0"/>
        <w:jc w:val="both"/>
      </w:pPr>
      <w:r>
        <w:rPr>
          <w:rFonts w:ascii="Times New Roman" w:hAnsi="Times New Roman"/>
          <w:color w:val="222222"/>
          <w:sz w:val="24"/>
        </w:rPr>
        <w:t>Target Distribution Skewness: Exploratory data analysis revealed that Available Phosphorus (P) and Potassium (K) exhibit severe positive skewness (skewness &gt; 1.85), violating linear regression assumptions and causing tree ensembles to over-predict low-end values while under-predicting fertile hot-spots. To rectify this, a logarithmic target transformation is applied during training:</w:t>
      </w:r>
    </w:p>
    <w:p>
      <w:pPr>
        <w:spacing w:before="160" w:after="160" w:line="312" w:lineRule="auto"/>
        <w:jc w:val="center"/>
      </w:pPr>
      <w:r>
        <w:rPr>
          <w:rFonts w:ascii="Times New Roman" w:hAnsi="Times New Roman"/>
          <w:b/>
          <w:i/>
          <w:sz w:val="24"/>
        </w:rPr>
        <w:t>y_{trans} = ln(1 + y)</w:t>
      </w:r>
      <w:r>
        <w:rPr>
          <w:rFonts w:ascii="Times New Roman" w:hAnsi="Times New Roman"/>
          <w:b w:val="0"/>
          <w:i w:val="0"/>
          <w:sz w:val="22"/>
        </w:rPr>
        <w:t xml:space="preserve">    ... (3.18)</w:t>
      </w:r>
    </w:p>
    <w:p>
      <w:pPr>
        <w:spacing w:line="360" w:lineRule="auto" w:after="120" w:before="0"/>
        <w:jc w:val="both"/>
      </w:pPr>
      <w:r>
        <w:rPr>
          <w:rFonts w:ascii="Times New Roman" w:hAnsi="Times New Roman"/>
          <w:color w:val="222222"/>
          <w:sz w:val="24"/>
        </w:rPr>
        <w:t>Predictions are transformed back to physical units via the inverse exponential operation: y_{pred} = exp(y_{pred, trans}) - 1.</w:t>
      </w:r>
    </w:p>
    <w:p>
      <w:pPr>
        <w:spacing w:line="360" w:lineRule="auto" w:after="120" w:before="0"/>
        <w:jc w:val="both"/>
      </w:pPr>
      <w:r>
        <w:rPr>
          <w:rFonts w:ascii="Times New Roman" w:hAnsi="Times New Roman"/>
          <w:color w:val="222222"/>
          <w:sz w:val="24"/>
        </w:rPr>
        <w:t>Continuous Regression Head: The continuous predictor is formulated as a weighted hybrid ensemble VotingRegressor combining 70% Extremely Randomized Trees (ExtraTreesRegressor) and 30% Gradient Boosting Decision Trees (GradientBoostingRegressor):</w:t>
      </w:r>
    </w:p>
    <w:p>
      <w:pPr>
        <w:spacing w:before="160" w:after="160" w:line="312" w:lineRule="auto"/>
        <w:jc w:val="center"/>
      </w:pPr>
      <w:r>
        <w:rPr>
          <w:rFonts w:ascii="Times New Roman" w:hAnsi="Times New Roman"/>
          <w:b/>
          <w:i/>
          <w:sz w:val="24"/>
        </w:rPr>
        <w:t>y_hat_{continuous} = 0.70 * y_hat_{ExtraTrees} + 0.30 * y_hat_{GradientBoosting}</w:t>
      </w:r>
      <w:r>
        <w:rPr>
          <w:rFonts w:ascii="Times New Roman" w:hAnsi="Times New Roman"/>
          <w:b w:val="0"/>
          <w:i w:val="0"/>
          <w:sz w:val="22"/>
        </w:rPr>
        <w:t xml:space="preserve">    ... (3.19)</w:t>
      </w:r>
    </w:p>
    <w:p>
      <w:pPr>
        <w:spacing w:line="360" w:lineRule="auto" w:after="120" w:before="0"/>
        <w:jc w:val="both"/>
      </w:pPr>
      <w:r>
        <w:rPr>
          <w:rFonts w:ascii="Times New Roman" w:hAnsi="Times New Roman"/>
          <w:color w:val="222222"/>
          <w:sz w:val="24"/>
        </w:rPr>
        <w:t>Extra-Trees provides massive variance reduction on high-dimensional satellite covariates by randomizing split cut-points, while Gradient Boosting iteratively minimizes residual bias. The continuous head outputs physical nutrient values: Available N (kg/ha), Available P (kg/ha), Available K (kg/ha), and Organic Carbon (%).</w:t>
      </w:r>
    </w:p>
    <w:p>
      <w:pPr>
        <w:spacing w:line="360" w:lineRule="auto" w:after="120" w:before="0"/>
        <w:jc w:val="both"/>
      </w:pPr>
      <w:r>
        <w:rPr>
          <w:rFonts w:ascii="Times New Roman" w:hAnsi="Times New Roman"/>
          <w:color w:val="222222"/>
          <w:sz w:val="24"/>
        </w:rPr>
        <w:t>Classification Head: In parallel, a dedicated ExtraTreesClassifier is trained directly on ground-truth statutory fertility classes defined by the Indian Council of Agricultural Research (ICAR). Table 3.3 presents the official ICAR rating scales.</w:t>
      </w:r>
    </w:p>
    <w:p>
      <w:pPr>
        <w:spacing w:before="200" w:after="80"/>
        <w:jc w:val="center"/>
      </w:pPr>
      <w:r>
        <w:rPr>
          <w:rFonts w:ascii="Times New Roman" w:hAnsi="Times New Roman"/>
          <w:b/>
          <w:color w:val="1E1E1E"/>
          <w:sz w:val="22"/>
        </w:rPr>
        <w:t>Table 3.3: Statutory ICAR Soil Fertility Classification Rating Scales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trPr>
        <w:tc>
          <w:tcPr>
            <w:tcW w:type="dxa" w:w="2592"/>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Soil Nutrient / Property</w:t>
            </w:r>
          </w:p>
        </w:tc>
        <w:tc>
          <w:tcPr>
            <w:tcW w:type="dxa" w:w="1728"/>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Low (Tier 0)</w:t>
            </w:r>
          </w:p>
        </w:tc>
        <w:tc>
          <w:tcPr>
            <w:tcW w:type="dxa" w:w="1872"/>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Medium (Tier 1)</w:t>
            </w:r>
          </w:p>
        </w:tc>
        <w:tc>
          <w:tcPr>
            <w:tcW w:type="dxa" w:w="1728"/>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High (Tier 2)</w:t>
            </w:r>
          </w:p>
        </w:tc>
        <w:tc>
          <w:tcPr>
            <w:tcW w:type="dxa" w:w="2160"/>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Statutory Standard Source</w:t>
            </w:r>
          </w:p>
        </w:tc>
      </w:tr>
      <w:tr>
        <w:tc>
          <w:tcPr>
            <w:tcW w:type="dxa" w:w="2592"/>
            <w:shd w:fill="FFFFFF"/>
            <w:tcMar>
              <w:top w:w="90" w:type="dxa"/>
              <w:left w:w="120" w:type="dxa"/>
              <w:bottom w:w="90" w:type="dxa"/>
              <w:right w:w="120" w:type="dxa"/>
            </w:tcMar>
          </w:tcPr>
          <w:p>
            <w:pPr>
              <w:spacing w:before="0" w:after="0"/>
              <w:jc w:val="left"/>
            </w:pPr>
            <w:r/>
            <w:r>
              <w:rPr>
                <w:rFonts w:ascii="Times New Roman" w:hAnsi="Times New Roman"/>
                <w:color w:val="222222"/>
                <w:sz w:val="20"/>
              </w:rPr>
              <w:t>Available Nitrogen (N)</w:t>
            </w:r>
          </w:p>
        </w:tc>
        <w:tc>
          <w:tcPr>
            <w:tcW w:type="dxa" w:w="1728"/>
            <w:shd w:fill="FFFFFF"/>
            <w:tcMar>
              <w:top w:w="90" w:type="dxa"/>
              <w:left w:w="120" w:type="dxa"/>
              <w:bottom w:w="90" w:type="dxa"/>
              <w:right w:w="120" w:type="dxa"/>
            </w:tcMar>
          </w:tcPr>
          <w:p>
            <w:pPr>
              <w:spacing w:before="0" w:after="0"/>
              <w:jc w:val="center"/>
            </w:pPr>
            <w:r/>
            <w:r>
              <w:rPr>
                <w:rFonts w:ascii="Times New Roman" w:hAnsi="Times New Roman"/>
                <w:color w:val="222222"/>
                <w:sz w:val="20"/>
              </w:rPr>
              <w:t>&lt; 280 kg/ha</w:t>
            </w:r>
          </w:p>
        </w:tc>
        <w:tc>
          <w:tcPr>
            <w:tcW w:type="dxa" w:w="1872"/>
            <w:shd w:fill="FFFFFF"/>
            <w:tcMar>
              <w:top w:w="90" w:type="dxa"/>
              <w:left w:w="120" w:type="dxa"/>
              <w:bottom w:w="90" w:type="dxa"/>
              <w:right w:w="120" w:type="dxa"/>
            </w:tcMar>
          </w:tcPr>
          <w:p>
            <w:pPr>
              <w:spacing w:before="0" w:after="0"/>
              <w:jc w:val="center"/>
            </w:pPr>
            <w:r/>
            <w:r>
              <w:rPr>
                <w:rFonts w:ascii="Times New Roman" w:hAnsi="Times New Roman"/>
                <w:color w:val="222222"/>
                <w:sz w:val="20"/>
              </w:rPr>
              <w:t>280 - 560 kg/ha</w:t>
            </w:r>
          </w:p>
        </w:tc>
        <w:tc>
          <w:tcPr>
            <w:tcW w:type="dxa" w:w="1728"/>
            <w:shd w:fill="FFFFFF"/>
            <w:tcMar>
              <w:top w:w="90" w:type="dxa"/>
              <w:left w:w="120" w:type="dxa"/>
              <w:bottom w:w="90" w:type="dxa"/>
              <w:right w:w="120" w:type="dxa"/>
            </w:tcMar>
          </w:tcPr>
          <w:p>
            <w:pPr>
              <w:spacing w:before="0" w:after="0"/>
              <w:jc w:val="center"/>
            </w:pPr>
            <w:r/>
            <w:r>
              <w:rPr>
                <w:rFonts w:ascii="Times New Roman" w:hAnsi="Times New Roman"/>
                <w:color w:val="222222"/>
                <w:sz w:val="20"/>
              </w:rPr>
              <w:t>&gt; 560 kg/ha</w:t>
            </w:r>
          </w:p>
        </w:tc>
        <w:tc>
          <w:tcPr>
            <w:tcW w:type="dxa" w:w="2160"/>
            <w:shd w:fill="FFFFFF"/>
            <w:tcMar>
              <w:top w:w="90" w:type="dxa"/>
              <w:left w:w="120" w:type="dxa"/>
              <w:bottom w:w="90" w:type="dxa"/>
              <w:right w:w="120" w:type="dxa"/>
            </w:tcMar>
          </w:tcPr>
          <w:p>
            <w:pPr>
              <w:spacing w:before="0" w:after="0"/>
              <w:jc w:val="left"/>
            </w:pPr>
            <w:r/>
            <w:r>
              <w:rPr>
                <w:rFonts w:ascii="Times New Roman" w:hAnsi="Times New Roman"/>
                <w:color w:val="222222"/>
                <w:sz w:val="20"/>
              </w:rPr>
              <w:t>ICAR Soil Health Card Standard</w:t>
            </w:r>
          </w:p>
        </w:tc>
      </w:tr>
      <w:tr>
        <w:tc>
          <w:tcPr>
            <w:tcW w:type="dxa" w:w="2592"/>
            <w:shd w:fill="F4F6F9"/>
            <w:tcMar>
              <w:top w:w="90" w:type="dxa"/>
              <w:left w:w="120" w:type="dxa"/>
              <w:bottom w:w="90" w:type="dxa"/>
              <w:right w:w="120" w:type="dxa"/>
            </w:tcMar>
          </w:tcPr>
          <w:p>
            <w:pPr>
              <w:spacing w:before="0" w:after="0"/>
              <w:jc w:val="left"/>
            </w:pPr>
            <w:r/>
            <w:r>
              <w:rPr>
                <w:rFonts w:ascii="Times New Roman" w:hAnsi="Times New Roman"/>
                <w:color w:val="222222"/>
                <w:sz w:val="20"/>
              </w:rPr>
              <w:t>Available Phosphorus (P)</w:t>
            </w:r>
          </w:p>
        </w:tc>
        <w:tc>
          <w:tcPr>
            <w:tcW w:type="dxa" w:w="1728"/>
            <w:shd w:fill="F4F6F9"/>
            <w:tcMar>
              <w:top w:w="90" w:type="dxa"/>
              <w:left w:w="120" w:type="dxa"/>
              <w:bottom w:w="90" w:type="dxa"/>
              <w:right w:w="120" w:type="dxa"/>
            </w:tcMar>
          </w:tcPr>
          <w:p>
            <w:r>
              <w:t>&lt; 10 kg/ha</w:t>
              <w:br/>
              <w:t>(equiv. &lt; 23 kg/ha P2O5)</w:t>
            </w:r>
          </w:p>
        </w:tc>
        <w:tc>
          <w:tcPr>
            <w:tcW w:type="dxa" w:w="1872"/>
            <w:shd w:fill="F4F6F9"/>
            <w:tcMar>
              <w:top w:w="90" w:type="dxa"/>
              <w:left w:w="120" w:type="dxa"/>
              <w:bottom w:w="90" w:type="dxa"/>
              <w:right w:w="120" w:type="dxa"/>
            </w:tcMar>
          </w:tcPr>
          <w:p>
            <w:r>
              <w:t>10 - 25 kg/ha</w:t>
              <w:br/>
              <w:t>(equiv. 23 - 56 kg/ha P2O5)</w:t>
            </w:r>
          </w:p>
        </w:tc>
        <w:tc>
          <w:tcPr>
            <w:tcW w:type="dxa" w:w="1728"/>
            <w:shd w:fill="F4F6F9"/>
            <w:tcMar>
              <w:top w:w="90" w:type="dxa"/>
              <w:left w:w="120" w:type="dxa"/>
              <w:bottom w:w="90" w:type="dxa"/>
              <w:right w:w="120" w:type="dxa"/>
            </w:tcMar>
          </w:tcPr>
          <w:p>
            <w:r>
              <w:t>&gt; 25 kg/ha</w:t>
              <w:br/>
              <w:t>(equiv. &gt; 56 kg/ha P2O5)</w:t>
            </w:r>
          </w:p>
        </w:tc>
        <w:tc>
          <w:tcPr>
            <w:tcW w:type="dxa" w:w="2160"/>
            <w:shd w:fill="F4F6F9"/>
            <w:tcMar>
              <w:top w:w="90" w:type="dxa"/>
              <w:left w:w="120" w:type="dxa"/>
              <w:bottom w:w="90" w:type="dxa"/>
              <w:right w:w="120" w:type="dxa"/>
            </w:tcMar>
          </w:tcPr>
          <w:p>
            <w:r>
              <w:t>Olsen 0.5M NaHCO3 / ICAR Standard</w:t>
            </w:r>
          </w:p>
        </w:tc>
      </w:tr>
      <w:tr>
        <w:tc>
          <w:tcPr>
            <w:tcW w:type="dxa" w:w="2592"/>
            <w:shd w:fill="FFFFFF"/>
            <w:tcMar>
              <w:top w:w="90" w:type="dxa"/>
              <w:left w:w="120" w:type="dxa"/>
              <w:bottom w:w="90" w:type="dxa"/>
              <w:right w:w="120" w:type="dxa"/>
            </w:tcMar>
          </w:tcPr>
          <w:p>
            <w:pPr>
              <w:spacing w:before="0" w:after="0"/>
              <w:jc w:val="left"/>
            </w:pPr>
            <w:r/>
            <w:r>
              <w:rPr>
                <w:rFonts w:ascii="Times New Roman" w:hAnsi="Times New Roman"/>
                <w:color w:val="222222"/>
                <w:sz w:val="20"/>
              </w:rPr>
              <w:t>Available Potassium (K)</w:t>
            </w:r>
          </w:p>
        </w:tc>
        <w:tc>
          <w:tcPr>
            <w:tcW w:type="dxa" w:w="1728"/>
            <w:shd w:fill="FFFFFF"/>
            <w:tcMar>
              <w:top w:w="90" w:type="dxa"/>
              <w:left w:w="120" w:type="dxa"/>
              <w:bottom w:w="90" w:type="dxa"/>
              <w:right w:w="120" w:type="dxa"/>
            </w:tcMar>
          </w:tcPr>
          <w:p>
            <w:r>
              <w:t>&lt; 140 kg/ha</w:t>
              <w:br/>
              <w:t>(equiv. &lt; 168 kg/ha K2O)</w:t>
            </w:r>
          </w:p>
        </w:tc>
        <w:tc>
          <w:tcPr>
            <w:tcW w:type="dxa" w:w="1872"/>
            <w:shd w:fill="FFFFFF"/>
            <w:tcMar>
              <w:top w:w="90" w:type="dxa"/>
              <w:left w:w="120" w:type="dxa"/>
              <w:bottom w:w="90" w:type="dxa"/>
              <w:right w:w="120" w:type="dxa"/>
            </w:tcMar>
          </w:tcPr>
          <w:p>
            <w:r>
              <w:t>140 - 280 kg/ha</w:t>
              <w:br/>
              <w:t>(equiv. 168 - 337 kg/ha K2O)</w:t>
            </w:r>
          </w:p>
        </w:tc>
        <w:tc>
          <w:tcPr>
            <w:tcW w:type="dxa" w:w="1728"/>
            <w:shd w:fill="FFFFFF"/>
            <w:tcMar>
              <w:top w:w="90" w:type="dxa"/>
              <w:left w:w="120" w:type="dxa"/>
              <w:bottom w:w="90" w:type="dxa"/>
              <w:right w:w="120" w:type="dxa"/>
            </w:tcMar>
          </w:tcPr>
          <w:p>
            <w:r>
              <w:t>&gt; 280 kg/ha</w:t>
              <w:br/>
              <w:t>(equiv. &gt; 337 kg/ha K2O)</w:t>
            </w:r>
          </w:p>
        </w:tc>
        <w:tc>
          <w:tcPr>
            <w:tcW w:type="dxa" w:w="2160"/>
            <w:shd w:fill="FFFFFF"/>
            <w:tcMar>
              <w:top w:w="90" w:type="dxa"/>
              <w:left w:w="120" w:type="dxa"/>
              <w:bottom w:w="90" w:type="dxa"/>
              <w:right w:w="120" w:type="dxa"/>
            </w:tcMar>
          </w:tcPr>
          <w:p>
            <w:r>
              <w:t>Neutral 1N NH4OAc / ICAR Standard</w:t>
            </w:r>
          </w:p>
        </w:tc>
      </w:tr>
      <w:tr>
        <w:tc>
          <w:tcPr>
            <w:tcW w:type="dxa" w:w="2592"/>
            <w:shd w:fill="F4F6F9"/>
            <w:tcMar>
              <w:top w:w="90" w:type="dxa"/>
              <w:left w:w="120" w:type="dxa"/>
              <w:bottom w:w="90" w:type="dxa"/>
              <w:right w:w="120" w:type="dxa"/>
            </w:tcMar>
          </w:tcPr>
          <w:p>
            <w:pPr>
              <w:spacing w:before="0" w:after="0"/>
              <w:jc w:val="left"/>
            </w:pPr>
            <w:r/>
            <w:r>
              <w:rPr>
                <w:rFonts w:ascii="Times New Roman" w:hAnsi="Times New Roman"/>
                <w:color w:val="222222"/>
                <w:sz w:val="20"/>
              </w:rPr>
              <w:t>Soil Organic Carbon (OC)</w:t>
            </w:r>
          </w:p>
        </w:tc>
        <w:tc>
          <w:tcPr>
            <w:tcW w:type="dxa" w:w="1728"/>
            <w:shd w:fill="F4F6F9"/>
            <w:tcMar>
              <w:top w:w="90" w:type="dxa"/>
              <w:left w:w="120" w:type="dxa"/>
              <w:bottom w:w="90" w:type="dxa"/>
              <w:right w:w="120" w:type="dxa"/>
            </w:tcMar>
          </w:tcPr>
          <w:p>
            <w:pPr>
              <w:spacing w:before="0" w:after="0"/>
              <w:jc w:val="center"/>
            </w:pPr>
            <w:r/>
            <w:r>
              <w:rPr>
                <w:rFonts w:ascii="Times New Roman" w:hAnsi="Times New Roman"/>
                <w:color w:val="222222"/>
                <w:sz w:val="20"/>
              </w:rPr>
              <w:t>&lt; 0.50 %</w:t>
            </w:r>
          </w:p>
        </w:tc>
        <w:tc>
          <w:tcPr>
            <w:tcW w:type="dxa" w:w="1872"/>
            <w:shd w:fill="F4F6F9"/>
            <w:tcMar>
              <w:top w:w="90" w:type="dxa"/>
              <w:left w:w="120" w:type="dxa"/>
              <w:bottom w:w="90" w:type="dxa"/>
              <w:right w:w="120" w:type="dxa"/>
            </w:tcMar>
          </w:tcPr>
          <w:p>
            <w:pPr>
              <w:spacing w:before="0" w:after="0"/>
              <w:jc w:val="center"/>
            </w:pPr>
            <w:r/>
            <w:r>
              <w:rPr>
                <w:rFonts w:ascii="Times New Roman" w:hAnsi="Times New Roman"/>
                <w:color w:val="222222"/>
                <w:sz w:val="20"/>
              </w:rPr>
              <w:t>0.50 % - 0.75 %</w:t>
            </w:r>
          </w:p>
        </w:tc>
        <w:tc>
          <w:tcPr>
            <w:tcW w:type="dxa" w:w="1728"/>
            <w:shd w:fill="F4F6F9"/>
            <w:tcMar>
              <w:top w:w="90" w:type="dxa"/>
              <w:left w:w="120" w:type="dxa"/>
              <w:bottom w:w="90" w:type="dxa"/>
              <w:right w:w="120" w:type="dxa"/>
            </w:tcMar>
          </w:tcPr>
          <w:p>
            <w:pPr>
              <w:spacing w:before="0" w:after="0"/>
              <w:jc w:val="center"/>
            </w:pPr>
            <w:r/>
            <w:r>
              <w:rPr>
                <w:rFonts w:ascii="Times New Roman" w:hAnsi="Times New Roman"/>
                <w:color w:val="222222"/>
                <w:sz w:val="20"/>
              </w:rPr>
              <w:t>&gt; 0.75 %</w:t>
            </w:r>
          </w:p>
        </w:tc>
        <w:tc>
          <w:tcPr>
            <w:tcW w:type="dxa" w:w="2160"/>
            <w:shd w:fill="F4F6F9"/>
            <w:tcMar>
              <w:top w:w="90" w:type="dxa"/>
              <w:left w:w="120" w:type="dxa"/>
              <w:bottom w:w="90" w:type="dxa"/>
              <w:right w:w="120" w:type="dxa"/>
            </w:tcMar>
          </w:tcPr>
          <w:p>
            <w:pPr>
              <w:spacing w:before="0" w:after="0"/>
              <w:jc w:val="left"/>
            </w:pPr>
            <w:r/>
            <w:r>
              <w:rPr>
                <w:rFonts w:ascii="Times New Roman" w:hAnsi="Times New Roman"/>
                <w:color w:val="222222"/>
                <w:sz w:val="20"/>
              </w:rPr>
              <w:t>ICAR Soil Health Card Standard</w:t>
            </w:r>
          </w:p>
        </w:tc>
      </w:tr>
    </w:tbl>
    <w:p>
      <w:pPr>
        <w:spacing w:before="0" w:after="160"/>
      </w:pPr>
    </w:p>
    <w:p>
      <w:pPr>
        <w:spacing w:line="360" w:lineRule="auto" w:after="120" w:before="0"/>
        <w:jc w:val="both"/>
      </w:pPr>
      <w:r>
        <w:rPr>
          <w:rFonts w:ascii="Times New Roman" w:hAnsi="Times New Roman"/>
          <w:color w:val="222222"/>
          <w:sz w:val="24"/>
        </w:rPr>
        <w:t>The classification head outputs both the discrete predicted class (Low, Medium, or High) and the posterior class probability distribution, derived from the proportion of constituent ensemble decision trees voting for each class:</w:t>
      </w:r>
    </w:p>
    <w:p>
      <w:pPr>
        <w:spacing w:before="160" w:after="160" w:line="312" w:lineRule="auto"/>
        <w:jc w:val="center"/>
      </w:pPr>
      <w:r>
        <w:rPr>
          <w:rFonts w:ascii="Times New Roman" w:hAnsi="Times New Roman"/>
          <w:b/>
          <w:i/>
          <w:sz w:val="24"/>
        </w:rPr>
        <w:t>P(Class = c | x) = (1 / M) * Sum_{m=1}^M P_m(Class = c | x)</w:t>
      </w:r>
      <w:r>
        <w:rPr>
          <w:rFonts w:ascii="Times New Roman" w:hAnsi="Times New Roman"/>
          <w:b w:val="0"/>
          <w:i w:val="0"/>
          <w:sz w:val="22"/>
        </w:rPr>
        <w:t xml:space="preserve">    ... (3.20)</w:t>
      </w:r>
    </w:p>
    <w:p>
      <w:pPr>
        <w:spacing w:line="360" w:lineRule="auto" w:after="120" w:before="0"/>
        <w:jc w:val="both"/>
      </w:pPr>
      <w:r>
        <w:rPr>
          <w:rFonts w:ascii="Times New Roman" w:hAnsi="Times New Roman"/>
          <w:color w:val="222222"/>
          <w:sz w:val="24"/>
        </w:rPr>
        <w:t>The classification confidence is reported as: Confidence(%) = max_c P(Class = c | x) * 100.</w:t>
      </w:r>
    </w:p>
    <w:p>
      <w:pPr>
        <w:spacing w:before="200" w:after="80" w:line="276" w:lineRule="auto"/>
        <w:jc w:val="left"/>
      </w:pPr>
      <w:r>
        <w:rPr>
          <w:rFonts w:ascii="Times New Roman" w:hAnsi="Times New Roman"/>
          <w:b/>
          <w:color w:val="282828"/>
          <w:sz w:val="25"/>
        </w:rPr>
        <w:t>3.2.5 Few-Shot Seasonal Calibration Engine</w:t>
      </w:r>
    </w:p>
    <w:p>
      <w:pPr>
        <w:spacing w:line="360" w:lineRule="auto" w:after="120" w:before="0"/>
        <w:jc w:val="both"/>
      </w:pPr>
      <w:r>
        <w:rPr>
          <w:rFonts w:ascii="Times New Roman" w:hAnsi="Times New Roman"/>
          <w:color w:val="222222"/>
          <w:sz w:val="24"/>
        </w:rPr>
        <w:t>When a digital soil model trained on historical data (e.g., 2023–2025) is deployed on a future agricultural year (e.g., 2026), it encounters severe Domain Shift. Inter-annual variations in pre-monsoon precipitation alter baseline soil moisture, varying atmospheric aerosols alter surface reflectance albedo, and subtle sensor degradation shifts radiometric calibration. Evaluating raw historical models on unseen years causes systematic over- or under-estimation across the entire district.</w:t>
      </w:r>
    </w:p>
    <w:p>
      <w:pPr>
        <w:spacing w:line="360" w:lineRule="auto" w:after="120" w:before="0"/>
        <w:jc w:val="both"/>
      </w:pPr>
      <w:r>
        <w:rPr>
          <w:rFonts w:ascii="Times New Roman" w:hAnsi="Times New Roman"/>
          <w:color w:val="222222"/>
          <w:sz w:val="24"/>
        </w:rPr>
        <w:t>To overcome this without requiring thousands of costly new laboratory samples, AgriCare implements a Few-Shot Seasonal Calibration algorithm. At the onset of each new agricultural cycle, a small batch of K=25 anchor soil samples is collected across representative mandals and tested in the laboratory. The pre-trained model generates baseline predictions on these anchor points. A robust empirical calibration offset (Delta_calib) is calculated as the mean residual error across the anchor batch:</w:t>
      </w:r>
    </w:p>
    <w:p>
      <w:pPr>
        <w:spacing w:before="160" w:after="160" w:line="312" w:lineRule="auto"/>
        <w:jc w:val="center"/>
      </w:pPr>
      <w:r>
        <w:rPr>
          <w:rFonts w:ascii="Times New Roman" w:hAnsi="Times New Roman"/>
          <w:b/>
          <w:i/>
          <w:sz w:val="24"/>
        </w:rPr>
        <w:t>Delta_{calib} = (1 / K) * Sum_{i=1}^K ( y_i^{true} - y_hat_i^{base} )</w:t>
      </w:r>
      <w:r>
        <w:rPr>
          <w:rFonts w:ascii="Times New Roman" w:hAnsi="Times New Roman"/>
          <w:b w:val="0"/>
          <w:i w:val="0"/>
          <w:sz w:val="22"/>
        </w:rPr>
        <w:t xml:space="preserve">    ... (3.21)</w:t>
      </w:r>
    </w:p>
    <w:p>
      <w:pPr>
        <w:spacing w:line="360" w:lineRule="auto" w:after="120" w:before="0"/>
        <w:jc w:val="both"/>
      </w:pPr>
      <w:r>
        <w:rPr>
          <w:rFonts w:ascii="Times New Roman" w:hAnsi="Times New Roman"/>
          <w:color w:val="222222"/>
          <w:sz w:val="24"/>
        </w:rPr>
        <w:t>For all remaining thousands of un-sampled agricultural parcels in the district during that season, the calibrated prediction is computed as:</w:t>
      </w:r>
    </w:p>
    <w:p>
      <w:pPr>
        <w:spacing w:before="160" w:after="160" w:line="312" w:lineRule="auto"/>
        <w:jc w:val="center"/>
      </w:pPr>
      <w:r>
        <w:rPr>
          <w:rFonts w:ascii="Times New Roman" w:hAnsi="Times New Roman"/>
          <w:b/>
          <w:i/>
          <w:sz w:val="24"/>
        </w:rPr>
        <w:t>y_hat_{calibrated}(x_{test}) = y_hat_{base}(x_{test}) + Delta_{calib}</w:t>
      </w:r>
      <w:r>
        <w:rPr>
          <w:rFonts w:ascii="Times New Roman" w:hAnsi="Times New Roman"/>
          <w:b w:val="0"/>
          <w:i w:val="0"/>
          <w:sz w:val="22"/>
        </w:rPr>
        <w:t xml:space="preserve">    ... (3.22)</w:t>
      </w:r>
    </w:p>
    <w:p>
      <w:pPr>
        <w:spacing w:line="360" w:lineRule="auto" w:after="120" w:before="0"/>
        <w:jc w:val="both"/>
      </w:pPr>
      <w:r>
        <w:rPr>
          <w:rFonts w:ascii="Times New Roman" w:hAnsi="Times New Roman"/>
          <w:color w:val="222222"/>
          <w:sz w:val="24"/>
        </w:rPr>
        <w:t>This simple yet mathematically elegant calibration neutralizes inter-annual environmental drift, recovering model accuracy across consecutive crop cycles at negligible operational cost.</w:t>
      </w:r>
    </w:p>
    <w:p>
      <w:pPr>
        <w:spacing w:before="200" w:after="80" w:line="276" w:lineRule="auto"/>
        <w:jc w:val="left"/>
      </w:pPr>
      <w:r>
        <w:rPr>
          <w:rFonts w:ascii="Times New Roman" w:hAnsi="Times New Roman"/>
          <w:b/>
          <w:color w:val="282828"/>
          <w:sz w:val="25"/>
        </w:rPr>
        <w:t>3.2.6 ANGRAU Precision Fertilizer Advisory Engine</w:t>
      </w:r>
    </w:p>
    <w:p>
      <w:pPr>
        <w:spacing w:line="360" w:lineRule="auto" w:after="120" w:before="0"/>
        <w:jc w:val="both"/>
      </w:pPr>
      <w:r>
        <w:rPr>
          <w:rFonts w:ascii="Times New Roman" w:hAnsi="Times New Roman"/>
          <w:color w:val="222222"/>
          <w:sz w:val="24"/>
        </w:rPr>
        <w:t>The final operational stage of AgriCare bridges the gap between machine learning predictions and farmer field application. The system integrates the official Soil Test Crop Response (STCR) precision fertilizer equations published by Acharya N.G. Ranga Agricultural University (ANGRAU) for SPSR Nellore agro-climatic zones. The engine operates on crop-specific baseline fertilizer recommendations (Table 3.4), applying statutory adjustments based on the predicted ICAR fertility tier:</w:t>
      </w:r>
    </w:p>
    <w:p>
      <w:pPr>
        <w:pStyle w:val="ListBullet"/>
        <w:spacing w:line="360" w:lineRule="auto" w:after="80" w:before="0"/>
        <w:jc w:val="both"/>
      </w:pPr>
      <w:r>
        <w:rPr>
          <w:rFonts w:ascii="Times New Roman" w:hAnsi="Times New Roman"/>
          <w:b/>
          <w:sz w:val="24"/>
        </w:rPr>
        <w:t xml:space="preserve">• Low Fertility Adjustment: </w:t>
      </w:r>
      <w:r>
        <w:rPr>
          <w:rFonts w:ascii="Times New Roman" w:hAnsi="Times New Roman"/>
          <w:sz w:val="24"/>
        </w:rPr>
        <w:t>If Soil Nutrient is classified as 'Low', baseline fertilizer dosage is increased by +25%.</w:t>
      </w:r>
    </w:p>
    <w:p>
      <w:pPr>
        <w:pStyle w:val="ListBullet"/>
        <w:spacing w:line="360" w:lineRule="auto" w:after="80" w:before="0"/>
        <w:jc w:val="both"/>
      </w:pPr>
      <w:r>
        <w:rPr>
          <w:rFonts w:ascii="Times New Roman" w:hAnsi="Times New Roman"/>
          <w:b/>
          <w:sz w:val="24"/>
        </w:rPr>
        <w:t xml:space="preserve">• Medium Fertility Adjustment: </w:t>
      </w:r>
      <w:r>
        <w:rPr>
          <w:rFonts w:ascii="Times New Roman" w:hAnsi="Times New Roman"/>
          <w:sz w:val="24"/>
        </w:rPr>
        <w:t>If Soil Nutrient is classified as 'Medium', standard recommended baseline dosage (100%) is maintained.</w:t>
      </w:r>
    </w:p>
    <w:p>
      <w:pPr>
        <w:pStyle w:val="ListBullet"/>
        <w:spacing w:line="360" w:lineRule="auto" w:after="80" w:before="0"/>
        <w:jc w:val="both"/>
      </w:pPr>
      <w:r>
        <w:rPr>
          <w:rFonts w:ascii="Times New Roman" w:hAnsi="Times New Roman"/>
          <w:b/>
          <w:sz w:val="24"/>
        </w:rPr>
        <w:t xml:space="preserve">• High Fertility Adjustment: </w:t>
      </w:r>
      <w:r>
        <w:rPr>
          <w:rFonts w:ascii="Times New Roman" w:hAnsi="Times New Roman"/>
          <w:sz w:val="24"/>
        </w:rPr>
        <w:t>If Soil Nutrient is classified as 'High', fertilizer dosage is reduced by -25% to prevent nutrient toxicity and economic waste.</w:t>
      </w:r>
    </w:p>
    <w:p>
      <w:pPr>
        <w:spacing w:before="200" w:after="80"/>
        <w:jc w:val="center"/>
      </w:pPr>
      <w:r>
        <w:rPr>
          <w:rFonts w:ascii="Times New Roman" w:hAnsi="Times New Roman"/>
          <w:b/>
          <w:color w:val="1E1E1E"/>
          <w:sz w:val="22"/>
        </w:rPr>
        <w:t>Table 3.4: ANGRAU Baseline Fertilizer Recommendations for Major Crops in SPSR Nellore</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trPr>
        <w:tc>
          <w:tcPr>
            <w:tcW w:type="dxa" w:w="2592"/>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Crop Name</w:t>
            </w:r>
          </w:p>
        </w:tc>
        <w:tc>
          <w:tcPr>
            <w:tcW w:type="dxa" w:w="1872"/>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Recommended N (kg/ha)</w:t>
            </w:r>
          </w:p>
        </w:tc>
        <w:tc>
          <w:tcPr>
            <w:tcW w:type="dxa" w:w="1872"/>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Recommended P2O5 (kg/ha)</w:t>
            </w:r>
          </w:p>
        </w:tc>
        <w:tc>
          <w:tcPr>
            <w:tcW w:type="dxa" w:w="1872"/>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Recommended K2O (kg/ha)</w:t>
            </w:r>
          </w:p>
        </w:tc>
        <w:tc>
          <w:tcPr>
            <w:tcW w:type="dxa" w:w="1872"/>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Target Yield (q/ha)</w:t>
            </w:r>
          </w:p>
        </w:tc>
      </w:tr>
      <w:tr>
        <w:tc>
          <w:tcPr>
            <w:tcW w:type="dxa" w:w="2592"/>
            <w:shd w:fill="FFFFFF"/>
            <w:tcMar>
              <w:top w:w="90" w:type="dxa"/>
              <w:left w:w="120" w:type="dxa"/>
              <w:bottom w:w="90" w:type="dxa"/>
              <w:right w:w="120" w:type="dxa"/>
            </w:tcMar>
          </w:tcPr>
          <w:p>
            <w:pPr>
              <w:spacing w:before="0" w:after="0"/>
              <w:jc w:val="left"/>
            </w:pPr>
            <w:r/>
            <w:r>
              <w:rPr>
                <w:rFonts w:ascii="Times New Roman" w:hAnsi="Times New Roman"/>
                <w:color w:val="222222"/>
                <w:sz w:val="20"/>
              </w:rPr>
              <w:t>Paddy (Rice) - Irrigated Delta</w:t>
            </w:r>
          </w:p>
        </w:tc>
        <w:tc>
          <w:tcPr>
            <w:tcW w:type="dxa" w:w="1872"/>
            <w:shd w:fill="FFFFFF"/>
            <w:tcMar>
              <w:top w:w="90" w:type="dxa"/>
              <w:left w:w="120" w:type="dxa"/>
              <w:bottom w:w="90" w:type="dxa"/>
              <w:right w:w="120" w:type="dxa"/>
            </w:tcMar>
          </w:tcPr>
          <w:p>
            <w:pPr>
              <w:spacing w:before="0" w:after="0"/>
              <w:jc w:val="center"/>
            </w:pPr>
            <w:r/>
            <w:r>
              <w:rPr>
                <w:rFonts w:ascii="Times New Roman" w:hAnsi="Times New Roman"/>
                <w:color w:val="222222"/>
                <w:sz w:val="20"/>
              </w:rPr>
              <w:t>120 kg/ha</w:t>
            </w:r>
          </w:p>
        </w:tc>
        <w:tc>
          <w:tcPr>
            <w:tcW w:type="dxa" w:w="1872"/>
            <w:shd w:fill="FFFFFF"/>
            <w:tcMar>
              <w:top w:w="90" w:type="dxa"/>
              <w:left w:w="120" w:type="dxa"/>
              <w:bottom w:w="90" w:type="dxa"/>
              <w:right w:w="120" w:type="dxa"/>
            </w:tcMar>
          </w:tcPr>
          <w:p>
            <w:pPr>
              <w:spacing w:before="0" w:after="0"/>
              <w:jc w:val="center"/>
            </w:pPr>
            <w:r/>
            <w:r>
              <w:rPr>
                <w:rFonts w:ascii="Times New Roman" w:hAnsi="Times New Roman"/>
                <w:color w:val="222222"/>
                <w:sz w:val="20"/>
              </w:rPr>
              <w:t>60 kg/ha</w:t>
            </w:r>
          </w:p>
        </w:tc>
        <w:tc>
          <w:tcPr>
            <w:tcW w:type="dxa" w:w="1872"/>
            <w:shd w:fill="FFFFFF"/>
            <w:tcMar>
              <w:top w:w="90" w:type="dxa"/>
              <w:left w:w="120" w:type="dxa"/>
              <w:bottom w:w="90" w:type="dxa"/>
              <w:right w:w="120" w:type="dxa"/>
            </w:tcMar>
          </w:tcPr>
          <w:p>
            <w:pPr>
              <w:spacing w:before="0" w:after="0"/>
              <w:jc w:val="center"/>
            </w:pPr>
            <w:r/>
            <w:r>
              <w:rPr>
                <w:rFonts w:ascii="Times New Roman" w:hAnsi="Times New Roman"/>
                <w:color w:val="222222"/>
                <w:sz w:val="20"/>
              </w:rPr>
              <w:t>40 kg/ha</w:t>
            </w:r>
          </w:p>
        </w:tc>
        <w:tc>
          <w:tcPr>
            <w:tcW w:type="dxa" w:w="1872"/>
            <w:shd w:fill="FFFFFF"/>
            <w:tcMar>
              <w:top w:w="90" w:type="dxa"/>
              <w:left w:w="120" w:type="dxa"/>
              <w:bottom w:w="90" w:type="dxa"/>
              <w:right w:w="120" w:type="dxa"/>
            </w:tcMar>
          </w:tcPr>
          <w:p>
            <w:pPr>
              <w:spacing w:before="0" w:after="0"/>
              <w:jc w:val="center"/>
            </w:pPr>
            <w:r/>
            <w:r>
              <w:rPr>
                <w:rFonts w:ascii="Times New Roman" w:hAnsi="Times New Roman"/>
                <w:color w:val="222222"/>
                <w:sz w:val="20"/>
              </w:rPr>
              <w:t>65 - 75 q/ha</w:t>
            </w:r>
          </w:p>
        </w:tc>
      </w:tr>
      <w:tr>
        <w:tc>
          <w:tcPr>
            <w:tcW w:type="dxa" w:w="2592"/>
            <w:shd w:fill="F4F6F9"/>
            <w:tcMar>
              <w:top w:w="90" w:type="dxa"/>
              <w:left w:w="120" w:type="dxa"/>
              <w:bottom w:w="90" w:type="dxa"/>
              <w:right w:w="120" w:type="dxa"/>
            </w:tcMar>
          </w:tcPr>
          <w:p>
            <w:pPr>
              <w:spacing w:before="0" w:after="0"/>
              <w:jc w:val="left"/>
            </w:pPr>
            <w:r/>
            <w:r>
              <w:rPr>
                <w:rFonts w:ascii="Times New Roman" w:hAnsi="Times New Roman"/>
                <w:color w:val="222222"/>
                <w:sz w:val="20"/>
              </w:rPr>
              <w:t>Maize (Kharif / Rabi)</w:t>
            </w:r>
          </w:p>
        </w:tc>
        <w:tc>
          <w:tcPr>
            <w:tcW w:type="dxa" w:w="1872"/>
            <w:shd w:fill="F4F6F9"/>
            <w:tcMar>
              <w:top w:w="90" w:type="dxa"/>
              <w:left w:w="120" w:type="dxa"/>
              <w:bottom w:w="90" w:type="dxa"/>
              <w:right w:w="120" w:type="dxa"/>
            </w:tcMar>
          </w:tcPr>
          <w:p>
            <w:pPr>
              <w:spacing w:before="0" w:after="0"/>
              <w:jc w:val="center"/>
            </w:pPr>
            <w:r/>
            <w:r>
              <w:rPr>
                <w:rFonts w:ascii="Times New Roman" w:hAnsi="Times New Roman"/>
                <w:color w:val="222222"/>
                <w:sz w:val="20"/>
              </w:rPr>
              <w:t>150 kg/ha</w:t>
            </w:r>
          </w:p>
        </w:tc>
        <w:tc>
          <w:tcPr>
            <w:tcW w:type="dxa" w:w="1872"/>
            <w:shd w:fill="F4F6F9"/>
            <w:tcMar>
              <w:top w:w="90" w:type="dxa"/>
              <w:left w:w="120" w:type="dxa"/>
              <w:bottom w:w="90" w:type="dxa"/>
              <w:right w:w="120" w:type="dxa"/>
            </w:tcMar>
          </w:tcPr>
          <w:p>
            <w:pPr>
              <w:spacing w:before="0" w:after="0"/>
              <w:jc w:val="center"/>
            </w:pPr>
            <w:r/>
            <w:r>
              <w:rPr>
                <w:rFonts w:ascii="Times New Roman" w:hAnsi="Times New Roman"/>
                <w:color w:val="222222"/>
                <w:sz w:val="20"/>
              </w:rPr>
              <w:t>60 kg/ha</w:t>
            </w:r>
          </w:p>
        </w:tc>
        <w:tc>
          <w:tcPr>
            <w:tcW w:type="dxa" w:w="1872"/>
            <w:shd w:fill="F4F6F9"/>
            <w:tcMar>
              <w:top w:w="90" w:type="dxa"/>
              <w:left w:w="120" w:type="dxa"/>
              <w:bottom w:w="90" w:type="dxa"/>
              <w:right w:w="120" w:type="dxa"/>
            </w:tcMar>
          </w:tcPr>
          <w:p>
            <w:pPr>
              <w:spacing w:before="0" w:after="0"/>
              <w:jc w:val="center"/>
            </w:pPr>
            <w:r/>
            <w:r>
              <w:rPr>
                <w:rFonts w:ascii="Times New Roman" w:hAnsi="Times New Roman"/>
                <w:color w:val="222222"/>
                <w:sz w:val="20"/>
              </w:rPr>
              <w:t>50 kg/ha</w:t>
            </w:r>
          </w:p>
        </w:tc>
        <w:tc>
          <w:tcPr>
            <w:tcW w:type="dxa" w:w="1872"/>
            <w:shd w:fill="F4F6F9"/>
            <w:tcMar>
              <w:top w:w="90" w:type="dxa"/>
              <w:left w:w="120" w:type="dxa"/>
              <w:bottom w:w="90" w:type="dxa"/>
              <w:right w:w="120" w:type="dxa"/>
            </w:tcMar>
          </w:tcPr>
          <w:p>
            <w:pPr>
              <w:spacing w:before="0" w:after="0"/>
              <w:jc w:val="center"/>
            </w:pPr>
            <w:r/>
            <w:r>
              <w:rPr>
                <w:rFonts w:ascii="Times New Roman" w:hAnsi="Times New Roman"/>
                <w:color w:val="222222"/>
                <w:sz w:val="20"/>
              </w:rPr>
              <w:t>70 - 80 q/ha</w:t>
            </w:r>
          </w:p>
        </w:tc>
      </w:tr>
      <w:tr>
        <w:tc>
          <w:tcPr>
            <w:tcW w:type="dxa" w:w="2592"/>
            <w:shd w:fill="FFFFFF"/>
            <w:tcMar>
              <w:top w:w="90" w:type="dxa"/>
              <w:left w:w="120" w:type="dxa"/>
              <w:bottom w:w="90" w:type="dxa"/>
              <w:right w:w="120" w:type="dxa"/>
            </w:tcMar>
          </w:tcPr>
          <w:p>
            <w:pPr>
              <w:spacing w:before="0" w:after="0"/>
              <w:jc w:val="left"/>
            </w:pPr>
            <w:r/>
            <w:r>
              <w:rPr>
                <w:rFonts w:ascii="Times New Roman" w:hAnsi="Times New Roman"/>
                <w:color w:val="222222"/>
                <w:sz w:val="20"/>
              </w:rPr>
              <w:t>Cotton (Rainfed / Irrigated)</w:t>
            </w:r>
          </w:p>
        </w:tc>
        <w:tc>
          <w:tcPr>
            <w:tcW w:type="dxa" w:w="1872"/>
            <w:shd w:fill="FFFFFF"/>
            <w:tcMar>
              <w:top w:w="90" w:type="dxa"/>
              <w:left w:w="120" w:type="dxa"/>
              <w:bottom w:w="90" w:type="dxa"/>
              <w:right w:w="120" w:type="dxa"/>
            </w:tcMar>
          </w:tcPr>
          <w:p>
            <w:pPr>
              <w:spacing w:before="0" w:after="0"/>
              <w:jc w:val="center"/>
            </w:pPr>
            <w:r/>
            <w:r>
              <w:rPr>
                <w:rFonts w:ascii="Times New Roman" w:hAnsi="Times New Roman"/>
                <w:color w:val="222222"/>
                <w:sz w:val="20"/>
              </w:rPr>
              <w:t>120 kg/ha</w:t>
            </w:r>
          </w:p>
        </w:tc>
        <w:tc>
          <w:tcPr>
            <w:tcW w:type="dxa" w:w="1872"/>
            <w:shd w:fill="FFFFFF"/>
            <w:tcMar>
              <w:top w:w="90" w:type="dxa"/>
              <w:left w:w="120" w:type="dxa"/>
              <w:bottom w:w="90" w:type="dxa"/>
              <w:right w:w="120" w:type="dxa"/>
            </w:tcMar>
          </w:tcPr>
          <w:p>
            <w:pPr>
              <w:spacing w:before="0" w:after="0"/>
              <w:jc w:val="center"/>
            </w:pPr>
            <w:r/>
            <w:r>
              <w:rPr>
                <w:rFonts w:ascii="Times New Roman" w:hAnsi="Times New Roman"/>
                <w:color w:val="222222"/>
                <w:sz w:val="20"/>
              </w:rPr>
              <w:t>60 kg/ha</w:t>
            </w:r>
          </w:p>
        </w:tc>
        <w:tc>
          <w:tcPr>
            <w:tcW w:type="dxa" w:w="1872"/>
            <w:shd w:fill="FFFFFF"/>
            <w:tcMar>
              <w:top w:w="90" w:type="dxa"/>
              <w:left w:w="120" w:type="dxa"/>
              <w:bottom w:w="90" w:type="dxa"/>
              <w:right w:w="120" w:type="dxa"/>
            </w:tcMar>
          </w:tcPr>
          <w:p>
            <w:pPr>
              <w:spacing w:before="0" w:after="0"/>
              <w:jc w:val="center"/>
            </w:pPr>
            <w:r/>
            <w:r>
              <w:rPr>
                <w:rFonts w:ascii="Times New Roman" w:hAnsi="Times New Roman"/>
                <w:color w:val="222222"/>
                <w:sz w:val="20"/>
              </w:rPr>
              <w:t>60 kg/ha</w:t>
            </w:r>
          </w:p>
        </w:tc>
        <w:tc>
          <w:tcPr>
            <w:tcW w:type="dxa" w:w="1872"/>
            <w:shd w:fill="FFFFFF"/>
            <w:tcMar>
              <w:top w:w="90" w:type="dxa"/>
              <w:left w:w="120" w:type="dxa"/>
              <w:bottom w:w="90" w:type="dxa"/>
              <w:right w:w="120" w:type="dxa"/>
            </w:tcMar>
          </w:tcPr>
          <w:p>
            <w:pPr>
              <w:spacing w:before="0" w:after="0"/>
              <w:jc w:val="center"/>
            </w:pPr>
            <w:r/>
            <w:r>
              <w:rPr>
                <w:rFonts w:ascii="Times New Roman" w:hAnsi="Times New Roman"/>
                <w:color w:val="222222"/>
                <w:sz w:val="20"/>
              </w:rPr>
              <w:t>25 - 30 q/ha</w:t>
            </w:r>
          </w:p>
        </w:tc>
      </w:tr>
      <w:tr>
        <w:tc>
          <w:tcPr>
            <w:tcW w:type="dxa" w:w="2592"/>
            <w:shd w:fill="F4F6F9"/>
            <w:tcMar>
              <w:top w:w="90" w:type="dxa"/>
              <w:left w:w="120" w:type="dxa"/>
              <w:bottom w:w="90" w:type="dxa"/>
              <w:right w:w="120" w:type="dxa"/>
            </w:tcMar>
          </w:tcPr>
          <w:p>
            <w:pPr>
              <w:spacing w:before="0" w:after="0"/>
              <w:jc w:val="left"/>
            </w:pPr>
            <w:r/>
            <w:r>
              <w:rPr>
                <w:rFonts w:ascii="Times New Roman" w:hAnsi="Times New Roman"/>
                <w:color w:val="222222"/>
                <w:sz w:val="20"/>
              </w:rPr>
              <w:t>Groundnut (Spanish Bunch)</w:t>
            </w:r>
          </w:p>
        </w:tc>
        <w:tc>
          <w:tcPr>
            <w:tcW w:type="dxa" w:w="1872"/>
            <w:shd w:fill="F4F6F9"/>
            <w:tcMar>
              <w:top w:w="90" w:type="dxa"/>
              <w:left w:w="120" w:type="dxa"/>
              <w:bottom w:w="90" w:type="dxa"/>
              <w:right w:w="120" w:type="dxa"/>
            </w:tcMar>
          </w:tcPr>
          <w:p>
            <w:pPr>
              <w:spacing w:before="0" w:after="0"/>
              <w:jc w:val="center"/>
            </w:pPr>
            <w:r/>
            <w:r>
              <w:rPr>
                <w:rFonts w:ascii="Times New Roman" w:hAnsi="Times New Roman"/>
                <w:color w:val="222222"/>
                <w:sz w:val="20"/>
              </w:rPr>
              <w:t>20 kg/ha</w:t>
            </w:r>
          </w:p>
        </w:tc>
        <w:tc>
          <w:tcPr>
            <w:tcW w:type="dxa" w:w="1872"/>
            <w:shd w:fill="F4F6F9"/>
            <w:tcMar>
              <w:top w:w="90" w:type="dxa"/>
              <w:left w:w="120" w:type="dxa"/>
              <w:bottom w:w="90" w:type="dxa"/>
              <w:right w:w="120" w:type="dxa"/>
            </w:tcMar>
          </w:tcPr>
          <w:p>
            <w:pPr>
              <w:spacing w:before="0" w:after="0"/>
              <w:jc w:val="center"/>
            </w:pPr>
            <w:r/>
            <w:r>
              <w:rPr>
                <w:rFonts w:ascii="Times New Roman" w:hAnsi="Times New Roman"/>
                <w:color w:val="222222"/>
                <w:sz w:val="20"/>
              </w:rPr>
              <w:t>40 kg/ha</w:t>
            </w:r>
          </w:p>
        </w:tc>
        <w:tc>
          <w:tcPr>
            <w:tcW w:type="dxa" w:w="1872"/>
            <w:shd w:fill="F4F6F9"/>
            <w:tcMar>
              <w:top w:w="90" w:type="dxa"/>
              <w:left w:w="120" w:type="dxa"/>
              <w:bottom w:w="90" w:type="dxa"/>
              <w:right w:w="120" w:type="dxa"/>
            </w:tcMar>
          </w:tcPr>
          <w:p>
            <w:pPr>
              <w:spacing w:before="0" w:after="0"/>
              <w:jc w:val="center"/>
            </w:pPr>
            <w:r/>
            <w:r>
              <w:rPr>
                <w:rFonts w:ascii="Times New Roman" w:hAnsi="Times New Roman"/>
                <w:color w:val="222222"/>
                <w:sz w:val="20"/>
              </w:rPr>
              <w:t>50 kg/ha</w:t>
            </w:r>
          </w:p>
        </w:tc>
        <w:tc>
          <w:tcPr>
            <w:tcW w:type="dxa" w:w="1872"/>
            <w:shd w:fill="F4F6F9"/>
            <w:tcMar>
              <w:top w:w="90" w:type="dxa"/>
              <w:left w:w="120" w:type="dxa"/>
              <w:bottom w:w="90" w:type="dxa"/>
              <w:right w:w="120" w:type="dxa"/>
            </w:tcMar>
          </w:tcPr>
          <w:p>
            <w:pPr>
              <w:spacing w:before="0" w:after="0"/>
              <w:jc w:val="center"/>
            </w:pPr>
            <w:r/>
            <w:r>
              <w:rPr>
                <w:rFonts w:ascii="Times New Roman" w:hAnsi="Times New Roman"/>
                <w:color w:val="222222"/>
                <w:sz w:val="20"/>
              </w:rPr>
              <w:t>25 - 35 q/ha</w:t>
            </w:r>
          </w:p>
        </w:tc>
      </w:tr>
    </w:tbl>
    <w:p>
      <w:pPr>
        <w:spacing w:before="0" w:after="160"/>
      </w:pPr>
    </w:p>
    <w:p>
      <w:pPr>
        <w:spacing w:line="360" w:lineRule="auto" w:after="120" w:before="0"/>
        <w:jc w:val="both"/>
      </w:pPr>
      <w:r>
        <w:rPr>
          <w:rFonts w:ascii="Times New Roman" w:hAnsi="Times New Roman"/>
          <w:color w:val="222222"/>
          <w:sz w:val="24"/>
        </w:rPr>
        <w:t>Because commercial fertilizers are sold as compound fertilizers—Urea (46% N), Di-Ammonium Phosphate / DAP (18% N, 46% P2O5), and Muriate of Potash / MOP (60% K2O)—the engine solves the coupled mass balance to convert nutrient requirements into exact commercial fertilizer quantities (kg/acre):</w:t>
      </w:r>
    </w:p>
    <w:p>
      <w:pPr>
        <w:spacing w:before="160" w:after="160" w:line="312" w:lineRule="auto"/>
        <w:jc w:val="center"/>
      </w:pPr>
      <w:r>
        <w:rPr>
          <w:rFonts w:ascii="Times New Roman" w:hAnsi="Times New Roman"/>
          <w:b/>
          <w:i/>
          <w:sz w:val="24"/>
        </w:rPr>
        <w:t>DAP_{kg/acre} = ( Recommended_P2O5 / 0.46 ) * 0.4047</w:t>
      </w:r>
      <w:r>
        <w:rPr>
          <w:rFonts w:ascii="Times New Roman" w:hAnsi="Times New Roman"/>
          <w:b w:val="0"/>
          <w:i w:val="0"/>
          <w:sz w:val="22"/>
        </w:rPr>
        <w:t xml:space="preserve">    ... (3.23)</w:t>
      </w:r>
    </w:p>
    <w:p>
      <w:pPr>
        <w:spacing w:before="160" w:after="160" w:line="312" w:lineRule="auto"/>
        <w:jc w:val="center"/>
      </w:pPr>
      <w:r>
        <w:rPr>
          <w:rFonts w:ascii="Times New Roman" w:hAnsi="Times New Roman"/>
          <w:b/>
          <w:i/>
          <w:sz w:val="24"/>
        </w:rPr>
        <w:t>Urea_{kg/acre} = [ ( Recommended_N - (DAP_{kg/ha} * 0.18) ) / 0.46 ] * 0.4047</w:t>
      </w:r>
      <w:r>
        <w:rPr>
          <w:rFonts w:ascii="Times New Roman" w:hAnsi="Times New Roman"/>
          <w:b w:val="0"/>
          <w:i w:val="0"/>
          <w:sz w:val="22"/>
        </w:rPr>
        <w:t xml:space="preserve">    ... (3.24)</w:t>
      </w:r>
    </w:p>
    <w:p>
      <w:pPr>
        <w:spacing w:before="160" w:after="160" w:line="312" w:lineRule="auto"/>
        <w:jc w:val="center"/>
      </w:pPr>
      <w:r>
        <w:rPr>
          <w:rFonts w:ascii="Times New Roman" w:hAnsi="Times New Roman"/>
          <w:b/>
          <w:i/>
          <w:sz w:val="24"/>
        </w:rPr>
        <w:t>MOP_{kg/acre} = ( Recommended_K2O / 0.60 ) * 0.4047</w:t>
      </w:r>
      <w:r>
        <w:rPr>
          <w:rFonts w:ascii="Times New Roman" w:hAnsi="Times New Roman"/>
          <w:b w:val="0"/>
          <w:i w:val="0"/>
          <w:sz w:val="22"/>
        </w:rPr>
        <w:t xml:space="preserve">    ... (3.25)</w:t>
      </w:r>
    </w:p>
    <w:p>
      <w:pPr>
        <w:spacing w:before="280" w:after="120" w:line="276" w:lineRule="auto"/>
        <w:jc w:val="left"/>
      </w:pPr>
      <w:r>
        <w:rPr>
          <w:rFonts w:ascii="Times New Roman" w:hAnsi="Times New Roman"/>
          <w:b/>
          <w:color w:val="800000"/>
          <w:sz w:val="28"/>
        </w:rPr>
        <w:t>3.3 Flowcharts and Process Execution Logic</w:t>
      </w:r>
    </w:p>
    <w:p>
      <w:pPr>
        <w:spacing w:line="360" w:lineRule="auto" w:after="120" w:before="0"/>
        <w:jc w:val="both"/>
      </w:pPr>
      <w:r>
        <w:rPr>
          <w:rFonts w:ascii="Times New Roman" w:hAnsi="Times New Roman"/>
          <w:color w:val="222222"/>
          <w:sz w:val="24"/>
        </w:rPr>
        <w:t>Figure 3.2 illustrates the complete end-to-end algorithmic and data processing flowchart of the AgriCare pipeline, mapping the step-by-step logic from raw data ingestion to farmer prescription generation.</w:t>
      </w:r>
    </w:p>
    <w:p>
      <w:pPr>
        <w:spacing w:before="200" w:after="80"/>
        <w:jc w:val="center"/>
      </w:pPr>
      <w:r>
        <w:drawing>
          <wp:inline xmlns:a="http://schemas.openxmlformats.org/drawingml/2006/main" xmlns:pic="http://schemas.openxmlformats.org/drawingml/2006/picture">
            <wp:extent cx="5303520" cy="4232102"/>
            <wp:docPr id="2" name="Picture 2"/>
            <wp:cNvGraphicFramePr>
              <a:graphicFrameLocks noChangeAspect="1"/>
            </wp:cNvGraphicFramePr>
            <a:graphic>
              <a:graphicData uri="http://schemas.openxmlformats.org/drawingml/2006/picture">
                <pic:pic>
                  <pic:nvPicPr>
                    <pic:cNvPr id="0" name="methodology_process_flowchart.png"/>
                    <pic:cNvPicPr/>
                  </pic:nvPicPr>
                  <pic:blipFill>
                    <a:blip r:embed="rId12"/>
                    <a:stretch>
                      <a:fillRect/>
                    </a:stretch>
                  </pic:blipFill>
                  <pic:spPr>
                    <a:xfrm>
                      <a:off x="0" y="0"/>
                      <a:ext cx="5303520" cy="4232102"/>
                    </a:xfrm>
                    <a:prstGeom prst="rect"/>
                  </pic:spPr>
                </pic:pic>
              </a:graphicData>
            </a:graphic>
          </wp:inline>
        </w:drawing>
      </w:r>
    </w:p>
    <w:p>
      <w:pPr>
        <w:spacing w:before="40" w:after="240"/>
        <w:jc w:val="center"/>
      </w:pPr>
      <w:r>
        <w:rPr>
          <w:rFonts w:ascii="Times New Roman" w:hAnsi="Times New Roman"/>
          <w:b/>
          <w:i/>
          <w:color w:val="3C3C3C"/>
          <w:sz w:val="21"/>
        </w:rPr>
        <w:t>Figure 3.2: Complete Algorithmic and Data Processing Flowchart of the AgriCare Pipeline</w:t>
      </w:r>
    </w:p>
    <w:p>
      <w:pPr>
        <w:spacing w:line="360" w:lineRule="auto" w:after="120" w:before="0"/>
        <w:jc w:val="both"/>
      </w:pPr>
      <w:r>
        <w:rPr>
          <w:rFonts w:ascii="Times New Roman" w:hAnsi="Times New Roman"/>
          <w:color w:val="222222"/>
          <w:sz w:val="24"/>
        </w:rPr>
        <w:t>The operational execution logic is formalized in the following algorithmic procedures:</w:t>
      </w:r>
    </w:p>
    <w:p>
      <w:pPr>
        <w:pStyle w:val="ListBullet"/>
        <w:spacing w:line="360" w:lineRule="auto" w:after="80" w:before="0"/>
        <w:jc w:val="both"/>
      </w:pPr>
      <w:r>
        <w:rPr>
          <w:rFonts w:ascii="Times New Roman" w:hAnsi="Times New Roman"/>
          <w:b/>
          <w:sz w:val="24"/>
        </w:rPr>
        <w:t xml:space="preserve">Algorithm 1 (Feature Extraction): </w:t>
      </w:r>
      <w:r>
        <w:rPr>
          <w:rFonts w:ascii="Times New Roman" w:hAnsi="Times New Roman"/>
          <w:sz w:val="24"/>
        </w:rPr>
        <w:t>Algorithm 1 (Data Preprocessing &amp; Ingestion): Ingests raw Soil Health Cards -&gt; Executes EasyOCR bounding box localization -&gt; Validates regex coordinates -&gt; Connects to Google Earth Engine API -&gt; Applies QA60 cloud-masking -&gt; Computes BSI &amp; NDVI masks -&gt; Samples SRTM DEM, ERA5-Land, and SoilGrids raster layers -&gt; Generates 47-feature tabular matrix.</w:t>
      </w:r>
    </w:p>
    <w:p>
      <w:pPr>
        <w:pStyle w:val="ListBullet"/>
        <w:spacing w:line="360" w:lineRule="auto" w:after="80" w:before="0"/>
        <w:jc w:val="both"/>
      </w:pPr>
      <w:r>
        <w:rPr>
          <w:rFonts w:ascii="Times New Roman" w:hAnsi="Times New Roman"/>
          <w:b/>
          <w:sz w:val="24"/>
        </w:rPr>
        <w:t xml:space="preserve">Algorithm 2 (Model Training): </w:t>
      </w:r>
      <w:r>
        <w:rPr>
          <w:rFonts w:ascii="Times New Roman" w:hAnsi="Times New Roman"/>
          <w:sz w:val="24"/>
        </w:rPr>
        <w:t>Algorithm 2 (Model Training &amp; Optimization): Performs iterative median imputation on missing values -&gt; Applies log1p transformation to P and K targets -&gt; Standardizes features via Robust Z-Score -&gt; Fits continuous VotingRegressor (70% ExtraTrees + 30% GBDT) -&gt; Fits categorical ExtraTreesClassifier -&gt; Serializes trained estimators to joblib files.</w:t>
      </w:r>
    </w:p>
    <w:p>
      <w:pPr>
        <w:pStyle w:val="ListBullet"/>
        <w:spacing w:line="360" w:lineRule="auto" w:after="80" w:before="0"/>
        <w:jc w:val="both"/>
      </w:pPr>
      <w:r>
        <w:rPr>
          <w:rFonts w:ascii="Times New Roman" w:hAnsi="Times New Roman"/>
          <w:b/>
          <w:sz w:val="24"/>
        </w:rPr>
        <w:t xml:space="preserve">Algorithm 3 (Calibration &amp; Inference): </w:t>
      </w:r>
      <w:r>
        <w:rPr>
          <w:rFonts w:ascii="Times New Roman" w:hAnsi="Times New Roman"/>
          <w:sz w:val="24"/>
        </w:rPr>
        <w:t>Algorithm 3 (Few-Shot Adaptation &amp; Inference): Ingests unseen seasonal satellite imagery -&gt; Evaluates N=25 anchor points -&gt; Computes calibration residual offset Delta_calib -&gt; Applies offset to unseen predictions -&gt; Maps continuous outputs to ICAR classes -&gt; Executes ANGRAU STCR fertilizer equations -&gt; Outputs final farmer advisory table.</w:t>
      </w:r>
    </w:p>
    <w:p>
      <w:pPr>
        <w:spacing w:before="280" w:after="120" w:line="276" w:lineRule="auto"/>
        <w:jc w:val="left"/>
      </w:pPr>
      <w:r>
        <w:rPr>
          <w:rFonts w:ascii="Times New Roman" w:hAnsi="Times New Roman"/>
          <w:b/>
          <w:color w:val="800000"/>
          <w:sz w:val="28"/>
        </w:rPr>
        <w:t>3.4 Section Summary</w:t>
      </w:r>
    </w:p>
    <w:p>
      <w:pPr>
        <w:spacing w:line="360" w:lineRule="auto" w:after="120" w:before="0"/>
        <w:jc w:val="both"/>
      </w:pPr>
      <w:r>
        <w:rPr>
          <w:rFonts w:ascii="Times New Roman" w:hAnsi="Times New Roman"/>
          <w:color w:val="222222"/>
          <w:sz w:val="24"/>
        </w:rPr>
        <w:t>Chapter 3 has provided an exhaustive, mathematically rigorous explanation of the AgriCare methodology. All five operational stages—from EasyOCR card digitization, GEE bare-soil satellite compositing, 47-feature SCORPAN engineering, Dual-Head ensemble modeling, Few-Shot seasonal calibration, and ANGRAU STCR fertilizer advisory—were detailed with formal equations, band specifications, rating tables, and process flowcharts. The following chapter presents the experimental setup, computing hardware, software frameworks, dataset distribution, and hyperparameter configurations.</w:t>
      </w:r>
    </w:p>
    <w:p>
      <w:r>
        <w:br w:type="page"/>
      </w:r>
    </w:p>
    <w:p>
      <w:pPr>
        <w:spacing w:before="360" w:after="200" w:line="276" w:lineRule="auto"/>
        <w:jc w:val="left"/>
      </w:pPr>
      <w:r>
        <w:rPr>
          <w:rFonts w:ascii="Times New Roman" w:hAnsi="Times New Roman"/>
          <w:b/>
          <w:color w:val="1B365D"/>
          <w:sz w:val="32"/>
        </w:rPr>
        <w:t>CHAPTER 4: EXPERIMENTAL SETUP</w:t>
      </w:r>
    </w:p>
    <w:p>
      <w:pPr>
        <w:spacing w:before="280" w:after="120" w:line="276" w:lineRule="auto"/>
        <w:jc w:val="left"/>
      </w:pPr>
      <w:r>
        <w:rPr>
          <w:rFonts w:ascii="Times New Roman" w:hAnsi="Times New Roman"/>
          <w:b/>
          <w:color w:val="800000"/>
          <w:sz w:val="28"/>
        </w:rPr>
        <w:t>4.1 Hardware Specifications</w:t>
      </w:r>
    </w:p>
    <w:p>
      <w:pPr>
        <w:spacing w:line="360" w:lineRule="auto" w:after="120" w:before="0"/>
        <w:jc w:val="both"/>
      </w:pPr>
      <w:r>
        <w:rPr>
          <w:rFonts w:ascii="Times New Roman" w:hAnsi="Times New Roman"/>
          <w:color w:val="222222"/>
          <w:sz w:val="24"/>
        </w:rPr>
        <w:t>The computational architecture for the AgriCare pipeline was designed to handle high-throughput computer vision OCR, cloud-distributed satellite raster ingestion, high-dimensional machine learning training, and sub-second agronomic inference. The hardware setup is organized across three integrated computational tiers: local high-performance workstation computing, cloud geospatial infrastructure, and edge deployment platforms.</w:t>
      </w:r>
    </w:p>
    <w:p>
      <w:pPr>
        <w:spacing w:line="360" w:lineRule="auto" w:after="120" w:before="0"/>
        <w:jc w:val="both"/>
      </w:pPr>
      <w:r>
        <w:rPr>
          <w:rFonts w:ascii="Times New Roman" w:hAnsi="Times New Roman"/>
          <w:color w:val="222222"/>
          <w:sz w:val="24"/>
        </w:rPr>
        <w:t>Local Compute Workstation: The primary machine learning model development, exploratory data analysis, hyperparameter tuning, and SHAP interpretability calculations were executed on a dedicated research workstation. The machine is powered by an Intel Core i7-12700H processor (14 cores, 20 execution threads, base clock 2.3 GHz with Turbo Boost up to 4.7 GHz, 24MB L3 cache) coupled with 32 GB of high-speed dual-channel DDR4 RAM (3200 MHz). Deep learning OCR inference was accelerated using an NVIDIA GeForce RTX 3060 Laptop GPU equipped with 6 GB of dedicated GDDR6 VRAM, 3840 CUDA cores, and 120 second-generation Tensor Cores operating under CUDA 12.2 and cuDNN 8.9. Local storage consists of a 1 TB NVMe PCIe Gen 4.0 SSD capable of 5,000 MB/s sequential read speeds, ensuring zero I/O latency when processing large satellite arrays.</w:t>
      </w:r>
    </w:p>
    <w:p>
      <w:pPr>
        <w:spacing w:line="360" w:lineRule="auto" w:after="120" w:before="0"/>
        <w:jc w:val="both"/>
      </w:pPr>
      <w:r>
        <w:rPr>
          <w:rFonts w:ascii="Times New Roman" w:hAnsi="Times New Roman"/>
          <w:color w:val="222222"/>
          <w:sz w:val="24"/>
        </w:rPr>
        <w:t>Cloud Geospatial Infrastructure: Ingestion and multi-temporal compositing of terabyte-scale satellite raster collections were offloaded to Google Earth Engine (GEE). GEE executes distributed planetary-scale geospatial algorithms on Google's cloud computing clusters, orchestrating parallelized MapReduce operations across global archives of Sentinel-2, SRTM, and ERA5-Land imagery. Complementing GEE, the Microsoft Planetary Computer SpatioTemporal Asset Catalog (STAC) API was utilized for supplementary cloud-optimized GeoTIFF (COG) access.</w:t>
      </w:r>
    </w:p>
    <w:p>
      <w:pPr>
        <w:spacing w:line="360" w:lineRule="auto" w:after="120" w:before="0"/>
        <w:jc w:val="both"/>
      </w:pPr>
      <w:r>
        <w:rPr>
          <w:rFonts w:ascii="Times New Roman" w:hAnsi="Times New Roman"/>
          <w:color w:val="222222"/>
          <w:sz w:val="24"/>
        </w:rPr>
        <w:t>Edge &amp; Field Devices: For real-world agronomic deployment, the serialized machine learning models (compiled as compact joblib binaries under 25 MB) were benchmarked for edge compatibility on low-cost devices, including an Android 14 smartphone (Snapdragon 778G, 6GB RAM) and an embedded Raspberry Pi 4 Model B (Broadcom BCM2711 quad-core Cortex-A72, 4GB RAM), achieving inference latencies below 45 milliseconds per field coordinate.</w:t>
      </w:r>
    </w:p>
    <w:p>
      <w:pPr>
        <w:spacing w:before="200" w:after="80"/>
        <w:jc w:val="center"/>
      </w:pPr>
      <w:r>
        <w:rPr>
          <w:rFonts w:ascii="Times New Roman" w:hAnsi="Times New Roman"/>
          <w:b/>
          <w:color w:val="1E1E1E"/>
          <w:sz w:val="22"/>
        </w:rPr>
        <w:t>Table 4.1: Hardware Infrastructure Specifications Across Pipeline Tiers</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1872"/>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Subsystem Tier</w:t>
            </w:r>
          </w:p>
        </w:tc>
        <w:tc>
          <w:tcPr>
            <w:tcW w:type="dxa" w:w="2016"/>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Hardware Component</w:t>
            </w:r>
          </w:p>
        </w:tc>
        <w:tc>
          <w:tcPr>
            <w:tcW w:type="dxa" w:w="3168"/>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Technical Specifications</w:t>
            </w:r>
          </w:p>
        </w:tc>
        <w:tc>
          <w:tcPr>
            <w:tcW w:type="dxa" w:w="2304"/>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Operational Role in Pipeline</w:t>
            </w:r>
          </w:p>
        </w:tc>
      </w:tr>
      <w:tr>
        <w:tc>
          <w:tcPr>
            <w:tcW w:type="dxa" w:w="1872"/>
            <w:shd w:fill="FFFFFF"/>
            <w:tcMar>
              <w:top w:w="90" w:type="dxa"/>
              <w:left w:w="120" w:type="dxa"/>
              <w:bottom w:w="90" w:type="dxa"/>
              <w:right w:w="120" w:type="dxa"/>
            </w:tcMar>
          </w:tcPr>
          <w:p>
            <w:pPr>
              <w:spacing w:before="0" w:after="0"/>
              <w:jc w:val="left"/>
            </w:pPr>
            <w:r/>
            <w:r>
              <w:rPr>
                <w:rFonts w:ascii="Times New Roman" w:hAnsi="Times New Roman"/>
                <w:color w:val="222222"/>
                <w:sz w:val="20"/>
              </w:rPr>
              <w:t>Workstation Compute</w:t>
            </w:r>
          </w:p>
        </w:tc>
        <w:tc>
          <w:tcPr>
            <w:tcW w:type="dxa" w:w="2016"/>
            <w:shd w:fill="FFFFFF"/>
            <w:tcMar>
              <w:top w:w="90" w:type="dxa"/>
              <w:left w:w="120" w:type="dxa"/>
              <w:bottom w:w="90" w:type="dxa"/>
              <w:right w:w="120" w:type="dxa"/>
            </w:tcMar>
          </w:tcPr>
          <w:p>
            <w:pPr>
              <w:spacing w:before="0" w:after="0"/>
              <w:jc w:val="left"/>
            </w:pPr>
            <w:r/>
            <w:r>
              <w:rPr>
                <w:rFonts w:ascii="Times New Roman" w:hAnsi="Times New Roman"/>
                <w:color w:val="222222"/>
                <w:sz w:val="20"/>
              </w:rPr>
              <w:t>Central Processor (CPU)</w:t>
            </w:r>
          </w:p>
        </w:tc>
        <w:tc>
          <w:tcPr>
            <w:tcW w:type="dxa" w:w="3168"/>
            <w:shd w:fill="FFFFFF"/>
            <w:tcMar>
              <w:top w:w="90" w:type="dxa"/>
              <w:left w:w="120" w:type="dxa"/>
              <w:bottom w:w="90" w:type="dxa"/>
              <w:right w:w="120" w:type="dxa"/>
            </w:tcMar>
          </w:tcPr>
          <w:p>
            <w:pPr>
              <w:spacing w:before="0" w:after="0"/>
              <w:jc w:val="left"/>
            </w:pPr>
            <w:r/>
            <w:r>
              <w:rPr>
                <w:rFonts w:ascii="Times New Roman" w:hAnsi="Times New Roman"/>
                <w:color w:val="222222"/>
                <w:sz w:val="20"/>
              </w:rPr>
              <w:t>Intel Core i7-12700H (14 Cores / 20 Threads, 4.7 GHz)</w:t>
            </w:r>
          </w:p>
        </w:tc>
        <w:tc>
          <w:tcPr>
            <w:tcW w:type="dxa" w:w="2304"/>
            <w:shd w:fill="FFFFFF"/>
            <w:tcMar>
              <w:top w:w="90" w:type="dxa"/>
              <w:left w:w="120" w:type="dxa"/>
              <w:bottom w:w="90" w:type="dxa"/>
              <w:right w:w="120" w:type="dxa"/>
            </w:tcMar>
          </w:tcPr>
          <w:p>
            <w:pPr>
              <w:spacing w:before="0" w:after="0"/>
              <w:jc w:val="left"/>
            </w:pPr>
            <w:r/>
            <w:r>
              <w:rPr>
                <w:rFonts w:ascii="Times New Roman" w:hAnsi="Times New Roman"/>
                <w:color w:val="222222"/>
                <w:sz w:val="20"/>
              </w:rPr>
              <w:t>Feature engineering, cross-validation, ensemble voting</w:t>
            </w:r>
          </w:p>
        </w:tc>
      </w:tr>
      <w:tr>
        <w:tc>
          <w:tcPr>
            <w:tcW w:type="dxa" w:w="1872"/>
            <w:shd w:fill="F4F6F9"/>
            <w:tcMar>
              <w:top w:w="90" w:type="dxa"/>
              <w:left w:w="120" w:type="dxa"/>
              <w:bottom w:w="90" w:type="dxa"/>
              <w:right w:w="120" w:type="dxa"/>
            </w:tcMar>
          </w:tcPr>
          <w:p>
            <w:pPr>
              <w:spacing w:before="0" w:after="0"/>
              <w:jc w:val="left"/>
            </w:pPr>
            <w:r/>
            <w:r>
              <w:rPr>
                <w:rFonts w:ascii="Times New Roman" w:hAnsi="Times New Roman"/>
                <w:color w:val="222222"/>
                <w:sz w:val="20"/>
              </w:rPr>
              <w:t>Workstation Memory</w:t>
            </w:r>
          </w:p>
        </w:tc>
        <w:tc>
          <w:tcPr>
            <w:tcW w:type="dxa" w:w="2016"/>
            <w:shd w:fill="F4F6F9"/>
            <w:tcMar>
              <w:top w:w="90" w:type="dxa"/>
              <w:left w:w="120" w:type="dxa"/>
              <w:bottom w:w="90" w:type="dxa"/>
              <w:right w:w="120" w:type="dxa"/>
            </w:tcMar>
          </w:tcPr>
          <w:p>
            <w:pPr>
              <w:spacing w:before="0" w:after="0"/>
              <w:jc w:val="center"/>
            </w:pPr>
            <w:r/>
            <w:r>
              <w:rPr>
                <w:rFonts w:ascii="Times New Roman" w:hAnsi="Times New Roman"/>
                <w:color w:val="222222"/>
                <w:sz w:val="20"/>
              </w:rPr>
              <w:t>System RAM</w:t>
            </w:r>
          </w:p>
        </w:tc>
        <w:tc>
          <w:tcPr>
            <w:tcW w:type="dxa" w:w="3168"/>
            <w:shd w:fill="F4F6F9"/>
            <w:tcMar>
              <w:top w:w="90" w:type="dxa"/>
              <w:left w:w="120" w:type="dxa"/>
              <w:bottom w:w="90" w:type="dxa"/>
              <w:right w:w="120" w:type="dxa"/>
            </w:tcMar>
          </w:tcPr>
          <w:p>
            <w:pPr>
              <w:spacing w:before="0" w:after="0"/>
              <w:jc w:val="left"/>
            </w:pPr>
            <w:r/>
            <w:r>
              <w:rPr>
                <w:rFonts w:ascii="Times New Roman" w:hAnsi="Times New Roman"/>
                <w:color w:val="222222"/>
                <w:sz w:val="20"/>
              </w:rPr>
              <w:t>32 GB Dual-Channel DDR4 3200 MHz</w:t>
            </w:r>
          </w:p>
        </w:tc>
        <w:tc>
          <w:tcPr>
            <w:tcW w:type="dxa" w:w="2304"/>
            <w:shd w:fill="F4F6F9"/>
            <w:tcMar>
              <w:top w:w="90" w:type="dxa"/>
              <w:left w:w="120" w:type="dxa"/>
              <w:bottom w:w="90" w:type="dxa"/>
              <w:right w:w="120" w:type="dxa"/>
            </w:tcMar>
          </w:tcPr>
          <w:p>
            <w:pPr>
              <w:spacing w:before="0" w:after="0"/>
              <w:jc w:val="left"/>
            </w:pPr>
            <w:r/>
            <w:r>
              <w:rPr>
                <w:rFonts w:ascii="Times New Roman" w:hAnsi="Times New Roman"/>
                <w:color w:val="222222"/>
                <w:sz w:val="20"/>
              </w:rPr>
              <w:t>In-memory processing of 47-dimensional feature matrices</w:t>
            </w:r>
          </w:p>
        </w:tc>
      </w:tr>
      <w:tr>
        <w:tc>
          <w:tcPr>
            <w:tcW w:type="dxa" w:w="1872"/>
            <w:shd w:fill="FFFFFF"/>
            <w:tcMar>
              <w:top w:w="90" w:type="dxa"/>
              <w:left w:w="120" w:type="dxa"/>
              <w:bottom w:w="90" w:type="dxa"/>
              <w:right w:w="120" w:type="dxa"/>
            </w:tcMar>
          </w:tcPr>
          <w:p>
            <w:pPr>
              <w:spacing w:before="0" w:after="0"/>
              <w:jc w:val="left"/>
            </w:pPr>
            <w:r/>
            <w:r>
              <w:rPr>
                <w:rFonts w:ascii="Times New Roman" w:hAnsi="Times New Roman"/>
                <w:color w:val="222222"/>
                <w:sz w:val="20"/>
              </w:rPr>
              <w:t>Workstation Graphics</w:t>
            </w:r>
          </w:p>
        </w:tc>
        <w:tc>
          <w:tcPr>
            <w:tcW w:type="dxa" w:w="2016"/>
            <w:shd w:fill="FFFFFF"/>
            <w:tcMar>
              <w:top w:w="90" w:type="dxa"/>
              <w:left w:w="120" w:type="dxa"/>
              <w:bottom w:w="90" w:type="dxa"/>
              <w:right w:w="120" w:type="dxa"/>
            </w:tcMar>
          </w:tcPr>
          <w:p>
            <w:pPr>
              <w:spacing w:before="0" w:after="0"/>
              <w:jc w:val="left"/>
            </w:pPr>
            <w:r/>
            <w:r>
              <w:rPr>
                <w:rFonts w:ascii="Times New Roman" w:hAnsi="Times New Roman"/>
                <w:color w:val="222222"/>
                <w:sz w:val="20"/>
              </w:rPr>
              <w:t>Graphics Processor (GPU)</w:t>
            </w:r>
          </w:p>
        </w:tc>
        <w:tc>
          <w:tcPr>
            <w:tcW w:type="dxa" w:w="3168"/>
            <w:shd w:fill="FFFFFF"/>
            <w:tcMar>
              <w:top w:w="90" w:type="dxa"/>
              <w:left w:w="120" w:type="dxa"/>
              <w:bottom w:w="90" w:type="dxa"/>
              <w:right w:w="120" w:type="dxa"/>
            </w:tcMar>
          </w:tcPr>
          <w:p>
            <w:pPr>
              <w:spacing w:before="0" w:after="0"/>
              <w:jc w:val="left"/>
            </w:pPr>
            <w:r/>
            <w:r>
              <w:rPr>
                <w:rFonts w:ascii="Times New Roman" w:hAnsi="Times New Roman"/>
                <w:color w:val="222222"/>
                <w:sz w:val="20"/>
              </w:rPr>
              <w:t>NVIDIA GeForce RTX 3060 (6GB GDDR6, 3840 CUDA Cores)</w:t>
            </w:r>
          </w:p>
        </w:tc>
        <w:tc>
          <w:tcPr>
            <w:tcW w:type="dxa" w:w="2304"/>
            <w:shd w:fill="FFFFFF"/>
            <w:tcMar>
              <w:top w:w="90" w:type="dxa"/>
              <w:left w:w="120" w:type="dxa"/>
              <w:bottom w:w="90" w:type="dxa"/>
              <w:right w:w="120" w:type="dxa"/>
            </w:tcMar>
          </w:tcPr>
          <w:p>
            <w:pPr>
              <w:spacing w:before="0" w:after="0"/>
              <w:jc w:val="left"/>
            </w:pPr>
            <w:r/>
            <w:r>
              <w:rPr>
                <w:rFonts w:ascii="Times New Roman" w:hAnsi="Times New Roman"/>
                <w:color w:val="222222"/>
                <w:sz w:val="20"/>
              </w:rPr>
              <w:t>CUDA acceleration for EasyOCR deep learning inference</w:t>
            </w:r>
          </w:p>
        </w:tc>
      </w:tr>
      <w:tr>
        <w:tc>
          <w:tcPr>
            <w:tcW w:type="dxa" w:w="1872"/>
            <w:shd w:fill="F4F6F9"/>
            <w:tcMar>
              <w:top w:w="90" w:type="dxa"/>
              <w:left w:w="120" w:type="dxa"/>
              <w:bottom w:w="90" w:type="dxa"/>
              <w:right w:w="120" w:type="dxa"/>
            </w:tcMar>
          </w:tcPr>
          <w:p>
            <w:pPr>
              <w:spacing w:before="0" w:after="0"/>
              <w:jc w:val="left"/>
            </w:pPr>
            <w:r/>
            <w:r>
              <w:rPr>
                <w:rFonts w:ascii="Times New Roman" w:hAnsi="Times New Roman"/>
                <w:color w:val="222222"/>
                <w:sz w:val="20"/>
              </w:rPr>
              <w:t>Local Storage</w:t>
            </w:r>
          </w:p>
        </w:tc>
        <w:tc>
          <w:tcPr>
            <w:tcW w:type="dxa" w:w="2016"/>
            <w:shd w:fill="F4F6F9"/>
            <w:tcMar>
              <w:top w:w="90" w:type="dxa"/>
              <w:left w:w="120" w:type="dxa"/>
              <w:bottom w:w="90" w:type="dxa"/>
              <w:right w:w="120" w:type="dxa"/>
            </w:tcMar>
          </w:tcPr>
          <w:p>
            <w:pPr>
              <w:spacing w:before="0" w:after="0"/>
              <w:jc w:val="left"/>
            </w:pPr>
            <w:r/>
            <w:r>
              <w:rPr>
                <w:rFonts w:ascii="Times New Roman" w:hAnsi="Times New Roman"/>
                <w:color w:val="222222"/>
                <w:sz w:val="20"/>
              </w:rPr>
              <w:t>Solid State Drive (SSD)</w:t>
            </w:r>
          </w:p>
        </w:tc>
        <w:tc>
          <w:tcPr>
            <w:tcW w:type="dxa" w:w="3168"/>
            <w:shd w:fill="F4F6F9"/>
            <w:tcMar>
              <w:top w:w="90" w:type="dxa"/>
              <w:left w:w="120" w:type="dxa"/>
              <w:bottom w:w="90" w:type="dxa"/>
              <w:right w:w="120" w:type="dxa"/>
            </w:tcMar>
          </w:tcPr>
          <w:p>
            <w:pPr>
              <w:spacing w:before="0" w:after="0"/>
              <w:jc w:val="left"/>
            </w:pPr>
            <w:r/>
            <w:r>
              <w:rPr>
                <w:rFonts w:ascii="Times New Roman" w:hAnsi="Times New Roman"/>
                <w:color w:val="222222"/>
                <w:sz w:val="20"/>
              </w:rPr>
              <w:t>1 TB NVMe PCIe Gen 4.0 (5000 MB/s Read / 4500 MB/s Write)</w:t>
            </w:r>
          </w:p>
        </w:tc>
        <w:tc>
          <w:tcPr>
            <w:tcW w:type="dxa" w:w="2304"/>
            <w:shd w:fill="F4F6F9"/>
            <w:tcMar>
              <w:top w:w="90" w:type="dxa"/>
              <w:left w:w="120" w:type="dxa"/>
              <w:bottom w:w="90" w:type="dxa"/>
              <w:right w:w="120" w:type="dxa"/>
            </w:tcMar>
          </w:tcPr>
          <w:p>
            <w:pPr>
              <w:spacing w:before="0" w:after="0"/>
              <w:jc w:val="left"/>
            </w:pPr>
            <w:r/>
            <w:r>
              <w:rPr>
                <w:rFonts w:ascii="Times New Roman" w:hAnsi="Times New Roman"/>
                <w:color w:val="222222"/>
                <w:sz w:val="20"/>
              </w:rPr>
              <w:t>Fast caching of raw Soil Health Cards and GeoTIFF crops</w:t>
            </w:r>
          </w:p>
        </w:tc>
      </w:tr>
      <w:tr>
        <w:tc>
          <w:tcPr>
            <w:tcW w:type="dxa" w:w="1872"/>
            <w:shd w:fill="FFFFFF"/>
            <w:tcMar>
              <w:top w:w="90" w:type="dxa"/>
              <w:left w:w="120" w:type="dxa"/>
              <w:bottom w:w="90" w:type="dxa"/>
              <w:right w:w="120" w:type="dxa"/>
            </w:tcMar>
          </w:tcPr>
          <w:p>
            <w:pPr>
              <w:spacing w:before="0" w:after="0"/>
              <w:jc w:val="left"/>
            </w:pPr>
            <w:r/>
            <w:r>
              <w:rPr>
                <w:rFonts w:ascii="Times New Roman" w:hAnsi="Times New Roman"/>
                <w:color w:val="222222"/>
                <w:sz w:val="20"/>
              </w:rPr>
              <w:t>Cloud Geospatial</w:t>
            </w:r>
          </w:p>
        </w:tc>
        <w:tc>
          <w:tcPr>
            <w:tcW w:type="dxa" w:w="2016"/>
            <w:shd w:fill="FFFFFF"/>
            <w:tcMar>
              <w:top w:w="90" w:type="dxa"/>
              <w:left w:w="120" w:type="dxa"/>
              <w:bottom w:w="90" w:type="dxa"/>
              <w:right w:w="120" w:type="dxa"/>
            </w:tcMar>
          </w:tcPr>
          <w:p>
            <w:pPr>
              <w:spacing w:before="0" w:after="0"/>
              <w:jc w:val="left"/>
            </w:pPr>
            <w:r/>
            <w:r>
              <w:rPr>
                <w:rFonts w:ascii="Times New Roman" w:hAnsi="Times New Roman"/>
                <w:color w:val="222222"/>
                <w:sz w:val="20"/>
              </w:rPr>
              <w:t>Google Earth Engine (GEE)</w:t>
            </w:r>
          </w:p>
        </w:tc>
        <w:tc>
          <w:tcPr>
            <w:tcW w:type="dxa" w:w="3168"/>
            <w:shd w:fill="FFFFFF"/>
            <w:tcMar>
              <w:top w:w="90" w:type="dxa"/>
              <w:left w:w="120" w:type="dxa"/>
              <w:bottom w:w="90" w:type="dxa"/>
              <w:right w:w="120" w:type="dxa"/>
            </w:tcMar>
          </w:tcPr>
          <w:p>
            <w:pPr>
              <w:spacing w:before="0" w:after="0"/>
              <w:jc w:val="left"/>
            </w:pPr>
            <w:r/>
            <w:r>
              <w:rPr>
                <w:rFonts w:ascii="Times New Roman" w:hAnsi="Times New Roman"/>
                <w:color w:val="222222"/>
                <w:sz w:val="20"/>
              </w:rPr>
              <w:t>Distributed Cloud Cluster (High-Volume Compute Tier)</w:t>
            </w:r>
          </w:p>
        </w:tc>
        <w:tc>
          <w:tcPr>
            <w:tcW w:type="dxa" w:w="2304"/>
            <w:shd w:fill="FFFFFF"/>
            <w:tcMar>
              <w:top w:w="90" w:type="dxa"/>
              <w:left w:w="120" w:type="dxa"/>
              <w:bottom w:w="90" w:type="dxa"/>
              <w:right w:w="120" w:type="dxa"/>
            </w:tcMar>
          </w:tcPr>
          <w:p>
            <w:pPr>
              <w:spacing w:before="0" w:after="0"/>
              <w:jc w:val="left"/>
            </w:pPr>
            <w:r/>
            <w:r>
              <w:rPr>
                <w:rFonts w:ascii="Times New Roman" w:hAnsi="Times New Roman"/>
                <w:color w:val="222222"/>
                <w:sz w:val="20"/>
              </w:rPr>
              <w:t>Planetary-scale Sentinel-2 bare-soil median compositing</w:t>
            </w:r>
          </w:p>
        </w:tc>
      </w:tr>
      <w:tr>
        <w:tc>
          <w:tcPr>
            <w:tcW w:type="dxa" w:w="1872"/>
            <w:shd w:fill="F4F6F9"/>
            <w:tcMar>
              <w:top w:w="90" w:type="dxa"/>
              <w:left w:w="120" w:type="dxa"/>
              <w:bottom w:w="90" w:type="dxa"/>
              <w:right w:w="120" w:type="dxa"/>
            </w:tcMar>
          </w:tcPr>
          <w:p>
            <w:pPr>
              <w:spacing w:before="0" w:after="0"/>
              <w:jc w:val="left"/>
            </w:pPr>
            <w:r/>
            <w:r>
              <w:rPr>
                <w:rFonts w:ascii="Times New Roman" w:hAnsi="Times New Roman"/>
                <w:color w:val="222222"/>
                <w:sz w:val="20"/>
              </w:rPr>
              <w:t>Edge Runtime</w:t>
            </w:r>
          </w:p>
        </w:tc>
        <w:tc>
          <w:tcPr>
            <w:tcW w:type="dxa" w:w="2016"/>
            <w:shd w:fill="F4F6F9"/>
            <w:tcMar>
              <w:top w:w="90" w:type="dxa"/>
              <w:left w:w="120" w:type="dxa"/>
              <w:bottom w:w="90" w:type="dxa"/>
              <w:right w:w="120" w:type="dxa"/>
            </w:tcMar>
          </w:tcPr>
          <w:p>
            <w:pPr>
              <w:spacing w:before="0" w:after="0"/>
              <w:jc w:val="left"/>
            </w:pPr>
            <w:r/>
            <w:r>
              <w:rPr>
                <w:rFonts w:ascii="Times New Roman" w:hAnsi="Times New Roman"/>
                <w:color w:val="222222"/>
                <w:sz w:val="20"/>
              </w:rPr>
              <w:t>Android Client / ARM SBC</w:t>
            </w:r>
          </w:p>
        </w:tc>
        <w:tc>
          <w:tcPr>
            <w:tcW w:type="dxa" w:w="3168"/>
            <w:shd w:fill="F4F6F9"/>
            <w:tcMar>
              <w:top w:w="90" w:type="dxa"/>
              <w:left w:w="120" w:type="dxa"/>
              <w:bottom w:w="90" w:type="dxa"/>
              <w:right w:w="120" w:type="dxa"/>
            </w:tcMar>
          </w:tcPr>
          <w:p>
            <w:pPr>
              <w:spacing w:before="0" w:after="0"/>
              <w:jc w:val="left"/>
            </w:pPr>
            <w:r/>
            <w:r>
              <w:rPr>
                <w:rFonts w:ascii="Times New Roman" w:hAnsi="Times New Roman"/>
                <w:color w:val="222222"/>
                <w:sz w:val="20"/>
              </w:rPr>
              <w:t>Snapdragon 778G / Raspberry Pi 4 (4GB RAM)</w:t>
            </w:r>
          </w:p>
        </w:tc>
        <w:tc>
          <w:tcPr>
            <w:tcW w:type="dxa" w:w="2304"/>
            <w:shd w:fill="F4F6F9"/>
            <w:tcMar>
              <w:top w:w="90" w:type="dxa"/>
              <w:left w:w="120" w:type="dxa"/>
              <w:bottom w:w="90" w:type="dxa"/>
              <w:right w:w="120" w:type="dxa"/>
            </w:tcMar>
          </w:tcPr>
          <w:p>
            <w:pPr>
              <w:spacing w:before="0" w:after="0"/>
              <w:jc w:val="left"/>
            </w:pPr>
            <w:r/>
            <w:r>
              <w:rPr>
                <w:rFonts w:ascii="Times New Roman" w:hAnsi="Times New Roman"/>
                <w:color w:val="222222"/>
                <w:sz w:val="20"/>
              </w:rPr>
              <w:t>Low-latency sub-50ms farmer advisory inference</w:t>
            </w:r>
          </w:p>
        </w:tc>
      </w:tr>
    </w:tbl>
    <w:p>
      <w:pPr>
        <w:spacing w:before="0" w:after="160"/>
      </w:pPr>
    </w:p>
    <w:p>
      <w:pPr>
        <w:spacing w:before="280" w:after="120" w:line="276" w:lineRule="auto"/>
        <w:jc w:val="left"/>
      </w:pPr>
      <w:r>
        <w:rPr>
          <w:rFonts w:ascii="Times New Roman" w:hAnsi="Times New Roman"/>
          <w:b/>
          <w:color w:val="800000"/>
          <w:sz w:val="28"/>
        </w:rPr>
        <w:t>4.2 Software Stack and Libraries</w:t>
      </w:r>
    </w:p>
    <w:p>
      <w:pPr>
        <w:spacing w:line="360" w:lineRule="auto" w:after="120" w:before="0"/>
        <w:jc w:val="both"/>
      </w:pPr>
      <w:r>
        <w:rPr>
          <w:rFonts w:ascii="Times New Roman" w:hAnsi="Times New Roman"/>
          <w:color w:val="222222"/>
          <w:sz w:val="24"/>
        </w:rPr>
        <w:t>The AgriCare software architecture is built strictly on open-source, reproducible, production-grade programming libraries and environments. The core runtime environment is Python 3.10.11 on 64-bit Windows 11 and Linux POSIX kernels. Table 4.2 summarizes the complete software stack, package versions, and their specialized roles.</w:t>
      </w:r>
    </w:p>
    <w:p>
      <w:pPr>
        <w:spacing w:before="200" w:after="80"/>
        <w:jc w:val="center"/>
      </w:pPr>
      <w:r>
        <w:rPr>
          <w:rFonts w:ascii="Times New Roman" w:hAnsi="Times New Roman"/>
          <w:b/>
          <w:color w:val="1E1E1E"/>
          <w:sz w:val="22"/>
        </w:rPr>
        <w:t>Table 4.2: Open-Source Software Stack and Library Versions</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160"/>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Software / Library</w:t>
            </w:r>
          </w:p>
        </w:tc>
        <w:tc>
          <w:tcPr>
            <w:tcW w:type="dxa" w:w="1440"/>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Version</w:t>
            </w:r>
          </w:p>
        </w:tc>
        <w:tc>
          <w:tcPr>
            <w:tcW w:type="dxa" w:w="2160"/>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Ecosystem / Framework</w:t>
            </w:r>
          </w:p>
        </w:tc>
        <w:tc>
          <w:tcPr>
            <w:tcW w:type="dxa" w:w="3600"/>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Specific Operational Role</w:t>
            </w:r>
          </w:p>
        </w:tc>
      </w:tr>
      <w:tr>
        <w:tc>
          <w:tcPr>
            <w:tcW w:type="dxa" w:w="2160"/>
            <w:shd w:fill="FFFFFF"/>
            <w:tcMar>
              <w:top w:w="90" w:type="dxa"/>
              <w:left w:w="120" w:type="dxa"/>
              <w:bottom w:w="90" w:type="dxa"/>
              <w:right w:w="120" w:type="dxa"/>
            </w:tcMar>
          </w:tcPr>
          <w:p>
            <w:pPr>
              <w:spacing w:before="0" w:after="0"/>
              <w:jc w:val="left"/>
            </w:pPr>
            <w:r/>
            <w:r>
              <w:rPr>
                <w:rFonts w:ascii="Times New Roman" w:hAnsi="Times New Roman"/>
                <w:color w:val="222222"/>
                <w:sz w:val="20"/>
              </w:rPr>
              <w:t>Python</w:t>
            </w:r>
          </w:p>
        </w:tc>
        <w:tc>
          <w:tcPr>
            <w:tcW w:type="dxa" w:w="1440"/>
            <w:shd w:fill="FFFFFF"/>
            <w:tcMar>
              <w:top w:w="90" w:type="dxa"/>
              <w:left w:w="120" w:type="dxa"/>
              <w:bottom w:w="90" w:type="dxa"/>
              <w:right w:w="120" w:type="dxa"/>
            </w:tcMar>
          </w:tcPr>
          <w:p>
            <w:pPr>
              <w:spacing w:before="0" w:after="0"/>
              <w:jc w:val="center"/>
            </w:pPr>
            <w:r/>
            <w:r>
              <w:rPr>
                <w:rFonts w:ascii="Times New Roman" w:hAnsi="Times New Roman"/>
                <w:color w:val="222222"/>
                <w:sz w:val="20"/>
              </w:rPr>
              <w:t>3.10.11</w:t>
            </w:r>
          </w:p>
        </w:tc>
        <w:tc>
          <w:tcPr>
            <w:tcW w:type="dxa" w:w="2160"/>
            <w:shd w:fill="FFFFFF"/>
            <w:tcMar>
              <w:top w:w="90" w:type="dxa"/>
              <w:left w:w="120" w:type="dxa"/>
              <w:bottom w:w="90" w:type="dxa"/>
              <w:right w:w="120" w:type="dxa"/>
            </w:tcMar>
          </w:tcPr>
          <w:p>
            <w:pPr>
              <w:spacing w:before="0" w:after="0"/>
              <w:jc w:val="left"/>
            </w:pPr>
            <w:r/>
            <w:r>
              <w:rPr>
                <w:rFonts w:ascii="Times New Roman" w:hAnsi="Times New Roman"/>
                <w:color w:val="222222"/>
                <w:sz w:val="20"/>
              </w:rPr>
              <w:t>Language Runtime</w:t>
            </w:r>
          </w:p>
        </w:tc>
        <w:tc>
          <w:tcPr>
            <w:tcW w:type="dxa" w:w="3600"/>
            <w:shd w:fill="FFFFFF"/>
            <w:tcMar>
              <w:top w:w="90" w:type="dxa"/>
              <w:left w:w="120" w:type="dxa"/>
              <w:bottom w:w="90" w:type="dxa"/>
              <w:right w:w="120" w:type="dxa"/>
            </w:tcMar>
          </w:tcPr>
          <w:p>
            <w:pPr>
              <w:spacing w:before="0" w:after="0"/>
              <w:jc w:val="left"/>
            </w:pPr>
            <w:r/>
            <w:r>
              <w:rPr>
                <w:rFonts w:ascii="Times New Roman" w:hAnsi="Times New Roman"/>
                <w:color w:val="222222"/>
                <w:sz w:val="20"/>
              </w:rPr>
              <w:t>Underlying programming language for all pipeline stages</w:t>
            </w:r>
          </w:p>
        </w:tc>
      </w:tr>
      <w:tr>
        <w:tc>
          <w:tcPr>
            <w:tcW w:type="dxa" w:w="2160"/>
            <w:shd w:fill="F4F6F9"/>
            <w:tcMar>
              <w:top w:w="90" w:type="dxa"/>
              <w:left w:w="120" w:type="dxa"/>
              <w:bottom w:w="90" w:type="dxa"/>
              <w:right w:w="120" w:type="dxa"/>
            </w:tcMar>
          </w:tcPr>
          <w:p>
            <w:pPr>
              <w:spacing w:before="0" w:after="0"/>
              <w:jc w:val="left"/>
            </w:pPr>
            <w:r/>
            <w:r>
              <w:rPr>
                <w:rFonts w:ascii="Times New Roman" w:hAnsi="Times New Roman"/>
                <w:color w:val="222222"/>
                <w:sz w:val="20"/>
              </w:rPr>
              <w:t>scikit-learn</w:t>
            </w:r>
          </w:p>
        </w:tc>
        <w:tc>
          <w:tcPr>
            <w:tcW w:type="dxa" w:w="1440"/>
            <w:shd w:fill="F4F6F9"/>
            <w:tcMar>
              <w:top w:w="90" w:type="dxa"/>
              <w:left w:w="120" w:type="dxa"/>
              <w:bottom w:w="90" w:type="dxa"/>
              <w:right w:w="120" w:type="dxa"/>
            </w:tcMar>
          </w:tcPr>
          <w:p>
            <w:pPr>
              <w:spacing w:before="0" w:after="0"/>
              <w:jc w:val="center"/>
            </w:pPr>
            <w:r/>
            <w:r>
              <w:rPr>
                <w:rFonts w:ascii="Times New Roman" w:hAnsi="Times New Roman"/>
                <w:color w:val="222222"/>
                <w:sz w:val="20"/>
              </w:rPr>
              <w:t>1.3.2</w:t>
            </w:r>
          </w:p>
        </w:tc>
        <w:tc>
          <w:tcPr>
            <w:tcW w:type="dxa" w:w="2160"/>
            <w:shd w:fill="F4F6F9"/>
            <w:tcMar>
              <w:top w:w="90" w:type="dxa"/>
              <w:left w:w="120" w:type="dxa"/>
              <w:bottom w:w="90" w:type="dxa"/>
              <w:right w:w="120" w:type="dxa"/>
            </w:tcMar>
          </w:tcPr>
          <w:p>
            <w:pPr>
              <w:spacing w:before="0" w:after="0"/>
              <w:jc w:val="left"/>
            </w:pPr>
            <w:r/>
            <w:r>
              <w:rPr>
                <w:rFonts w:ascii="Times New Roman" w:hAnsi="Times New Roman"/>
                <w:color w:val="222222"/>
                <w:sz w:val="20"/>
              </w:rPr>
              <w:t>Machine Learning</w:t>
            </w:r>
          </w:p>
        </w:tc>
        <w:tc>
          <w:tcPr>
            <w:tcW w:type="dxa" w:w="3600"/>
            <w:shd w:fill="F4F6F9"/>
            <w:tcMar>
              <w:top w:w="90" w:type="dxa"/>
              <w:left w:w="120" w:type="dxa"/>
              <w:bottom w:w="90" w:type="dxa"/>
              <w:right w:w="120" w:type="dxa"/>
            </w:tcMar>
          </w:tcPr>
          <w:p>
            <w:pPr>
              <w:spacing w:before="0" w:after="0"/>
              <w:jc w:val="left"/>
            </w:pPr>
            <w:r/>
            <w:r>
              <w:rPr>
                <w:rFonts w:ascii="Times New Roman" w:hAnsi="Times New Roman"/>
                <w:color w:val="222222"/>
                <w:sz w:val="20"/>
              </w:rPr>
              <w:t>ExtraTrees, GradientBoosting, VotingRegressor, Cross-Validation</w:t>
            </w:r>
          </w:p>
        </w:tc>
      </w:tr>
      <w:tr>
        <w:tc>
          <w:tcPr>
            <w:tcW w:type="dxa" w:w="2160"/>
            <w:shd w:fill="FFFFFF"/>
            <w:tcMar>
              <w:top w:w="90" w:type="dxa"/>
              <w:left w:w="120" w:type="dxa"/>
              <w:bottom w:w="90" w:type="dxa"/>
              <w:right w:w="120" w:type="dxa"/>
            </w:tcMar>
          </w:tcPr>
          <w:p>
            <w:pPr>
              <w:spacing w:before="0" w:after="0"/>
              <w:jc w:val="left"/>
            </w:pPr>
            <w:r/>
            <w:r>
              <w:rPr>
                <w:rFonts w:ascii="Times New Roman" w:hAnsi="Times New Roman"/>
                <w:color w:val="222222"/>
                <w:sz w:val="20"/>
              </w:rPr>
              <w:t>earthengine-api</w:t>
            </w:r>
          </w:p>
        </w:tc>
        <w:tc>
          <w:tcPr>
            <w:tcW w:type="dxa" w:w="1440"/>
            <w:shd w:fill="FFFFFF"/>
            <w:tcMar>
              <w:top w:w="90" w:type="dxa"/>
              <w:left w:w="120" w:type="dxa"/>
              <w:bottom w:w="90" w:type="dxa"/>
              <w:right w:w="120" w:type="dxa"/>
            </w:tcMar>
          </w:tcPr>
          <w:p>
            <w:pPr>
              <w:spacing w:before="0" w:after="0"/>
              <w:jc w:val="center"/>
            </w:pPr>
            <w:r/>
            <w:r>
              <w:rPr>
                <w:rFonts w:ascii="Times New Roman" w:hAnsi="Times New Roman"/>
                <w:color w:val="222222"/>
                <w:sz w:val="20"/>
              </w:rPr>
              <w:t>0.1.370</w:t>
            </w:r>
          </w:p>
        </w:tc>
        <w:tc>
          <w:tcPr>
            <w:tcW w:type="dxa" w:w="2160"/>
            <w:shd w:fill="FFFFFF"/>
            <w:tcMar>
              <w:top w:w="90" w:type="dxa"/>
              <w:left w:w="120" w:type="dxa"/>
              <w:bottom w:w="90" w:type="dxa"/>
              <w:right w:w="120" w:type="dxa"/>
            </w:tcMar>
          </w:tcPr>
          <w:p>
            <w:pPr>
              <w:spacing w:before="0" w:after="0"/>
              <w:jc w:val="left"/>
            </w:pPr>
            <w:r/>
            <w:r>
              <w:rPr>
                <w:rFonts w:ascii="Times New Roman" w:hAnsi="Times New Roman"/>
                <w:color w:val="222222"/>
                <w:sz w:val="20"/>
              </w:rPr>
              <w:t>Cloud Geospatial</w:t>
            </w:r>
          </w:p>
        </w:tc>
        <w:tc>
          <w:tcPr>
            <w:tcW w:type="dxa" w:w="3600"/>
            <w:shd w:fill="FFFFFF"/>
            <w:tcMar>
              <w:top w:w="90" w:type="dxa"/>
              <w:left w:w="120" w:type="dxa"/>
              <w:bottom w:w="90" w:type="dxa"/>
              <w:right w:w="120" w:type="dxa"/>
            </w:tcMar>
          </w:tcPr>
          <w:p>
            <w:pPr>
              <w:spacing w:before="0" w:after="0"/>
              <w:jc w:val="left"/>
            </w:pPr>
            <w:r/>
            <w:r>
              <w:rPr>
                <w:rFonts w:ascii="Times New Roman" w:hAnsi="Times New Roman"/>
                <w:color w:val="222222"/>
                <w:sz w:val="20"/>
              </w:rPr>
              <w:t>Python client interface for Google Earth Engine raster pipelines</w:t>
            </w:r>
          </w:p>
        </w:tc>
      </w:tr>
      <w:tr>
        <w:tc>
          <w:tcPr>
            <w:tcW w:type="dxa" w:w="2160"/>
            <w:shd w:fill="F4F6F9"/>
            <w:tcMar>
              <w:top w:w="90" w:type="dxa"/>
              <w:left w:w="120" w:type="dxa"/>
              <w:bottom w:w="90" w:type="dxa"/>
              <w:right w:w="120" w:type="dxa"/>
            </w:tcMar>
          </w:tcPr>
          <w:p>
            <w:pPr>
              <w:spacing w:before="0" w:after="0"/>
              <w:jc w:val="left"/>
            </w:pPr>
            <w:r/>
            <w:r>
              <w:rPr>
                <w:rFonts w:ascii="Times New Roman" w:hAnsi="Times New Roman"/>
                <w:color w:val="222222"/>
                <w:sz w:val="20"/>
              </w:rPr>
              <w:t>geopandas</w:t>
            </w:r>
          </w:p>
        </w:tc>
        <w:tc>
          <w:tcPr>
            <w:tcW w:type="dxa" w:w="1440"/>
            <w:shd w:fill="F4F6F9"/>
            <w:tcMar>
              <w:top w:w="90" w:type="dxa"/>
              <w:left w:w="120" w:type="dxa"/>
              <w:bottom w:w="90" w:type="dxa"/>
              <w:right w:w="120" w:type="dxa"/>
            </w:tcMar>
          </w:tcPr>
          <w:p>
            <w:pPr>
              <w:spacing w:before="0" w:after="0"/>
              <w:jc w:val="center"/>
            </w:pPr>
            <w:r/>
            <w:r>
              <w:rPr>
                <w:rFonts w:ascii="Times New Roman" w:hAnsi="Times New Roman"/>
                <w:color w:val="222222"/>
                <w:sz w:val="20"/>
              </w:rPr>
              <w:t>0.14.1</w:t>
            </w:r>
          </w:p>
        </w:tc>
        <w:tc>
          <w:tcPr>
            <w:tcW w:type="dxa" w:w="2160"/>
            <w:shd w:fill="F4F6F9"/>
            <w:tcMar>
              <w:top w:w="90" w:type="dxa"/>
              <w:left w:w="120" w:type="dxa"/>
              <w:bottom w:w="90" w:type="dxa"/>
              <w:right w:w="120" w:type="dxa"/>
            </w:tcMar>
          </w:tcPr>
          <w:p>
            <w:pPr>
              <w:spacing w:before="0" w:after="0"/>
              <w:jc w:val="center"/>
            </w:pPr>
            <w:r/>
            <w:r>
              <w:rPr>
                <w:rFonts w:ascii="Times New Roman" w:hAnsi="Times New Roman"/>
                <w:color w:val="222222"/>
                <w:sz w:val="20"/>
              </w:rPr>
              <w:t>Geospatial Data</w:t>
            </w:r>
          </w:p>
        </w:tc>
        <w:tc>
          <w:tcPr>
            <w:tcW w:type="dxa" w:w="3600"/>
            <w:shd w:fill="F4F6F9"/>
            <w:tcMar>
              <w:top w:w="90" w:type="dxa"/>
              <w:left w:w="120" w:type="dxa"/>
              <w:bottom w:w="90" w:type="dxa"/>
              <w:right w:w="120" w:type="dxa"/>
            </w:tcMar>
          </w:tcPr>
          <w:p>
            <w:pPr>
              <w:spacing w:before="0" w:after="0"/>
              <w:jc w:val="left"/>
            </w:pPr>
            <w:r/>
            <w:r>
              <w:rPr>
                <w:rFonts w:ascii="Times New Roman" w:hAnsi="Times New Roman"/>
                <w:color w:val="222222"/>
                <w:sz w:val="20"/>
              </w:rPr>
              <w:t>Spatial coordinate projection (EPSG:4326 to EPSG:32644), GeoJSON parsing</w:t>
            </w:r>
          </w:p>
        </w:tc>
      </w:tr>
      <w:tr>
        <w:tc>
          <w:tcPr>
            <w:tcW w:type="dxa" w:w="2160"/>
            <w:shd w:fill="FFFFFF"/>
            <w:tcMar>
              <w:top w:w="90" w:type="dxa"/>
              <w:left w:w="120" w:type="dxa"/>
              <w:bottom w:w="90" w:type="dxa"/>
              <w:right w:w="120" w:type="dxa"/>
            </w:tcMar>
          </w:tcPr>
          <w:p>
            <w:pPr>
              <w:spacing w:before="0" w:after="0"/>
              <w:jc w:val="left"/>
            </w:pPr>
            <w:r/>
            <w:r>
              <w:rPr>
                <w:rFonts w:ascii="Times New Roman" w:hAnsi="Times New Roman"/>
                <w:color w:val="222222"/>
                <w:sz w:val="20"/>
              </w:rPr>
              <w:t>rasterio</w:t>
            </w:r>
          </w:p>
        </w:tc>
        <w:tc>
          <w:tcPr>
            <w:tcW w:type="dxa" w:w="1440"/>
            <w:shd w:fill="FFFFFF"/>
            <w:tcMar>
              <w:top w:w="90" w:type="dxa"/>
              <w:left w:w="120" w:type="dxa"/>
              <w:bottom w:w="90" w:type="dxa"/>
              <w:right w:w="120" w:type="dxa"/>
            </w:tcMar>
          </w:tcPr>
          <w:p>
            <w:pPr>
              <w:spacing w:before="0" w:after="0"/>
              <w:jc w:val="center"/>
            </w:pPr>
            <w:r/>
            <w:r>
              <w:rPr>
                <w:rFonts w:ascii="Times New Roman" w:hAnsi="Times New Roman"/>
                <w:color w:val="222222"/>
                <w:sz w:val="20"/>
              </w:rPr>
              <w:t>1.3.9</w:t>
            </w:r>
          </w:p>
        </w:tc>
        <w:tc>
          <w:tcPr>
            <w:tcW w:type="dxa" w:w="2160"/>
            <w:shd w:fill="FFFFFF"/>
            <w:tcMar>
              <w:top w:w="90" w:type="dxa"/>
              <w:left w:w="120" w:type="dxa"/>
              <w:bottom w:w="90" w:type="dxa"/>
              <w:right w:w="120" w:type="dxa"/>
            </w:tcMar>
          </w:tcPr>
          <w:p>
            <w:pPr>
              <w:spacing w:before="0" w:after="0"/>
              <w:jc w:val="left"/>
            </w:pPr>
            <w:r/>
            <w:r>
              <w:rPr>
                <w:rFonts w:ascii="Times New Roman" w:hAnsi="Times New Roman"/>
                <w:color w:val="222222"/>
                <w:sz w:val="20"/>
              </w:rPr>
              <w:t>Raster Processing</w:t>
            </w:r>
          </w:p>
        </w:tc>
        <w:tc>
          <w:tcPr>
            <w:tcW w:type="dxa" w:w="3600"/>
            <w:shd w:fill="FFFFFF"/>
            <w:tcMar>
              <w:top w:w="90" w:type="dxa"/>
              <w:left w:w="120" w:type="dxa"/>
              <w:bottom w:w="90" w:type="dxa"/>
              <w:right w:w="120" w:type="dxa"/>
            </w:tcMar>
          </w:tcPr>
          <w:p>
            <w:pPr>
              <w:spacing w:before="0" w:after="0"/>
              <w:jc w:val="left"/>
            </w:pPr>
            <w:r/>
            <w:r>
              <w:rPr>
                <w:rFonts w:ascii="Times New Roman" w:hAnsi="Times New Roman"/>
                <w:color w:val="222222"/>
                <w:sz w:val="20"/>
              </w:rPr>
              <w:t>GDAL-based affine transformation, windowed GeoTIFF reads/writes</w:t>
            </w:r>
          </w:p>
        </w:tc>
      </w:tr>
      <w:tr>
        <w:tc>
          <w:tcPr>
            <w:tcW w:type="dxa" w:w="2160"/>
            <w:shd w:fill="F4F6F9"/>
            <w:tcMar>
              <w:top w:w="90" w:type="dxa"/>
              <w:left w:w="120" w:type="dxa"/>
              <w:bottom w:w="90" w:type="dxa"/>
              <w:right w:w="120" w:type="dxa"/>
            </w:tcMar>
          </w:tcPr>
          <w:p>
            <w:pPr>
              <w:spacing w:before="0" w:after="0"/>
              <w:jc w:val="left"/>
            </w:pPr>
            <w:r/>
            <w:r>
              <w:rPr>
                <w:rFonts w:ascii="Times New Roman" w:hAnsi="Times New Roman"/>
                <w:color w:val="222222"/>
                <w:sz w:val="20"/>
              </w:rPr>
              <w:t>easyocr</w:t>
            </w:r>
          </w:p>
        </w:tc>
        <w:tc>
          <w:tcPr>
            <w:tcW w:type="dxa" w:w="1440"/>
            <w:shd w:fill="F4F6F9"/>
            <w:tcMar>
              <w:top w:w="90" w:type="dxa"/>
              <w:left w:w="120" w:type="dxa"/>
              <w:bottom w:w="90" w:type="dxa"/>
              <w:right w:w="120" w:type="dxa"/>
            </w:tcMar>
          </w:tcPr>
          <w:p>
            <w:pPr>
              <w:spacing w:before="0" w:after="0"/>
              <w:jc w:val="center"/>
            </w:pPr>
            <w:r/>
            <w:r>
              <w:rPr>
                <w:rFonts w:ascii="Times New Roman" w:hAnsi="Times New Roman"/>
                <w:color w:val="222222"/>
                <w:sz w:val="20"/>
              </w:rPr>
              <w:t>1.7.1</w:t>
            </w:r>
          </w:p>
        </w:tc>
        <w:tc>
          <w:tcPr>
            <w:tcW w:type="dxa" w:w="2160"/>
            <w:shd w:fill="F4F6F9"/>
            <w:tcMar>
              <w:top w:w="90" w:type="dxa"/>
              <w:left w:w="120" w:type="dxa"/>
              <w:bottom w:w="90" w:type="dxa"/>
              <w:right w:w="120" w:type="dxa"/>
            </w:tcMar>
          </w:tcPr>
          <w:p>
            <w:pPr>
              <w:spacing w:before="0" w:after="0"/>
              <w:jc w:val="center"/>
            </w:pPr>
            <w:r/>
            <w:r>
              <w:rPr>
                <w:rFonts w:ascii="Times New Roman" w:hAnsi="Times New Roman"/>
                <w:color w:val="222222"/>
                <w:sz w:val="20"/>
              </w:rPr>
              <w:t>Computer Vision</w:t>
            </w:r>
          </w:p>
        </w:tc>
        <w:tc>
          <w:tcPr>
            <w:tcW w:type="dxa" w:w="3600"/>
            <w:shd w:fill="F4F6F9"/>
            <w:tcMar>
              <w:top w:w="90" w:type="dxa"/>
              <w:left w:w="120" w:type="dxa"/>
              <w:bottom w:w="90" w:type="dxa"/>
              <w:right w:w="120" w:type="dxa"/>
            </w:tcMar>
          </w:tcPr>
          <w:p>
            <w:pPr>
              <w:spacing w:before="0" w:after="0"/>
              <w:jc w:val="left"/>
            </w:pPr>
            <w:r/>
            <w:r>
              <w:rPr>
                <w:rFonts w:ascii="Times New Roman" w:hAnsi="Times New Roman"/>
                <w:color w:val="222222"/>
                <w:sz w:val="20"/>
              </w:rPr>
              <w:t>PyTorch-based CRAFT text detector and deep character recognizer</w:t>
            </w:r>
          </w:p>
        </w:tc>
      </w:tr>
      <w:tr>
        <w:tc>
          <w:tcPr>
            <w:tcW w:type="dxa" w:w="2160"/>
            <w:shd w:fill="FFFFFF"/>
            <w:tcMar>
              <w:top w:w="90" w:type="dxa"/>
              <w:left w:w="120" w:type="dxa"/>
              <w:bottom w:w="90" w:type="dxa"/>
              <w:right w:w="120" w:type="dxa"/>
            </w:tcMar>
          </w:tcPr>
          <w:p>
            <w:pPr>
              <w:spacing w:before="0" w:after="0"/>
              <w:jc w:val="left"/>
            </w:pPr>
            <w:r/>
            <w:r>
              <w:rPr>
                <w:rFonts w:ascii="Times New Roman" w:hAnsi="Times New Roman"/>
                <w:color w:val="222222"/>
                <w:sz w:val="20"/>
              </w:rPr>
              <w:t>opencv-python</w:t>
            </w:r>
          </w:p>
        </w:tc>
        <w:tc>
          <w:tcPr>
            <w:tcW w:type="dxa" w:w="1440"/>
            <w:shd w:fill="FFFFFF"/>
            <w:tcMar>
              <w:top w:w="90" w:type="dxa"/>
              <w:left w:w="120" w:type="dxa"/>
              <w:bottom w:w="90" w:type="dxa"/>
              <w:right w:w="120" w:type="dxa"/>
            </w:tcMar>
          </w:tcPr>
          <w:p>
            <w:pPr>
              <w:spacing w:before="0" w:after="0"/>
              <w:jc w:val="center"/>
            </w:pPr>
            <w:r/>
            <w:r>
              <w:rPr>
                <w:rFonts w:ascii="Times New Roman" w:hAnsi="Times New Roman"/>
                <w:color w:val="222222"/>
                <w:sz w:val="20"/>
              </w:rPr>
              <w:t>4.8.1</w:t>
            </w:r>
          </w:p>
        </w:tc>
        <w:tc>
          <w:tcPr>
            <w:tcW w:type="dxa" w:w="2160"/>
            <w:shd w:fill="FFFFFF"/>
            <w:tcMar>
              <w:top w:w="90" w:type="dxa"/>
              <w:left w:w="120" w:type="dxa"/>
              <w:bottom w:w="90" w:type="dxa"/>
              <w:right w:w="120" w:type="dxa"/>
            </w:tcMar>
          </w:tcPr>
          <w:p>
            <w:pPr>
              <w:spacing w:before="0" w:after="0"/>
              <w:jc w:val="left"/>
            </w:pPr>
            <w:r/>
            <w:r>
              <w:rPr>
                <w:rFonts w:ascii="Times New Roman" w:hAnsi="Times New Roman"/>
                <w:color w:val="222222"/>
                <w:sz w:val="20"/>
              </w:rPr>
              <w:t>Image Processing</w:t>
            </w:r>
          </w:p>
        </w:tc>
        <w:tc>
          <w:tcPr>
            <w:tcW w:type="dxa" w:w="3600"/>
            <w:shd w:fill="FFFFFF"/>
            <w:tcMar>
              <w:top w:w="90" w:type="dxa"/>
              <w:left w:w="120" w:type="dxa"/>
              <w:bottom w:w="90" w:type="dxa"/>
              <w:right w:w="120" w:type="dxa"/>
            </w:tcMar>
          </w:tcPr>
          <w:p>
            <w:pPr>
              <w:spacing w:before="0" w:after="0"/>
              <w:jc w:val="left"/>
            </w:pPr>
            <w:r/>
            <w:r>
              <w:rPr>
                <w:rFonts w:ascii="Times New Roman" w:hAnsi="Times New Roman"/>
                <w:color w:val="222222"/>
                <w:sz w:val="20"/>
              </w:rPr>
              <w:t>Gaussian thresholding, morphological bounding box isolation</w:t>
            </w:r>
          </w:p>
        </w:tc>
      </w:tr>
      <w:tr>
        <w:tc>
          <w:tcPr>
            <w:tcW w:type="dxa" w:w="2160"/>
            <w:shd w:fill="F4F6F9"/>
            <w:tcMar>
              <w:top w:w="90" w:type="dxa"/>
              <w:left w:w="120" w:type="dxa"/>
              <w:bottom w:w="90" w:type="dxa"/>
              <w:right w:w="120" w:type="dxa"/>
            </w:tcMar>
          </w:tcPr>
          <w:p>
            <w:pPr>
              <w:spacing w:before="0" w:after="0"/>
              <w:jc w:val="left"/>
            </w:pPr>
            <w:r/>
            <w:r>
              <w:rPr>
                <w:rFonts w:ascii="Times New Roman" w:hAnsi="Times New Roman"/>
                <w:color w:val="222222"/>
                <w:sz w:val="20"/>
              </w:rPr>
              <w:t>shap</w:t>
            </w:r>
          </w:p>
        </w:tc>
        <w:tc>
          <w:tcPr>
            <w:tcW w:type="dxa" w:w="1440"/>
            <w:shd w:fill="F4F6F9"/>
            <w:tcMar>
              <w:top w:w="90" w:type="dxa"/>
              <w:left w:w="120" w:type="dxa"/>
              <w:bottom w:w="90" w:type="dxa"/>
              <w:right w:w="120" w:type="dxa"/>
            </w:tcMar>
          </w:tcPr>
          <w:p>
            <w:pPr>
              <w:spacing w:before="0" w:after="0"/>
              <w:jc w:val="center"/>
            </w:pPr>
            <w:r/>
            <w:r>
              <w:rPr>
                <w:rFonts w:ascii="Times New Roman" w:hAnsi="Times New Roman"/>
                <w:color w:val="222222"/>
                <w:sz w:val="20"/>
              </w:rPr>
              <w:t>0.43.0</w:t>
            </w:r>
          </w:p>
        </w:tc>
        <w:tc>
          <w:tcPr>
            <w:tcW w:type="dxa" w:w="2160"/>
            <w:shd w:fill="F4F6F9"/>
            <w:tcMar>
              <w:top w:w="90" w:type="dxa"/>
              <w:left w:w="120" w:type="dxa"/>
              <w:bottom w:w="90" w:type="dxa"/>
              <w:right w:w="120" w:type="dxa"/>
            </w:tcMar>
          </w:tcPr>
          <w:p>
            <w:pPr>
              <w:spacing w:before="0" w:after="0"/>
              <w:jc w:val="left"/>
            </w:pPr>
            <w:r/>
            <w:r>
              <w:rPr>
                <w:rFonts w:ascii="Times New Roman" w:hAnsi="Times New Roman"/>
                <w:color w:val="222222"/>
                <w:sz w:val="20"/>
              </w:rPr>
              <w:t>Model Explainability</w:t>
            </w:r>
          </w:p>
        </w:tc>
        <w:tc>
          <w:tcPr>
            <w:tcW w:type="dxa" w:w="3600"/>
            <w:shd w:fill="F4F6F9"/>
            <w:tcMar>
              <w:top w:w="90" w:type="dxa"/>
              <w:left w:w="120" w:type="dxa"/>
              <w:bottom w:w="90" w:type="dxa"/>
              <w:right w:w="120" w:type="dxa"/>
            </w:tcMar>
          </w:tcPr>
          <w:p>
            <w:pPr>
              <w:spacing w:before="0" w:after="0"/>
              <w:jc w:val="left"/>
            </w:pPr>
            <w:r/>
            <w:r>
              <w:rPr>
                <w:rFonts w:ascii="Times New Roman" w:hAnsi="Times New Roman"/>
                <w:color w:val="222222"/>
                <w:sz w:val="20"/>
              </w:rPr>
              <w:t>TreeSHAP game-theoretic Shapley value attribution calculations</w:t>
            </w:r>
          </w:p>
        </w:tc>
      </w:tr>
      <w:tr>
        <w:tc>
          <w:tcPr>
            <w:tcW w:type="dxa" w:w="2160"/>
            <w:shd w:fill="FFFFFF"/>
            <w:tcMar>
              <w:top w:w="90" w:type="dxa"/>
              <w:left w:w="120" w:type="dxa"/>
              <w:bottom w:w="90" w:type="dxa"/>
              <w:right w:w="120" w:type="dxa"/>
            </w:tcMar>
          </w:tcPr>
          <w:p>
            <w:pPr>
              <w:spacing w:before="0" w:after="0"/>
              <w:jc w:val="left"/>
            </w:pPr>
            <w:r/>
            <w:r>
              <w:rPr>
                <w:rFonts w:ascii="Times New Roman" w:hAnsi="Times New Roman"/>
                <w:color w:val="222222"/>
                <w:sz w:val="20"/>
              </w:rPr>
              <w:t>numpy</w:t>
            </w:r>
          </w:p>
        </w:tc>
        <w:tc>
          <w:tcPr>
            <w:tcW w:type="dxa" w:w="1440"/>
            <w:shd w:fill="FFFFFF"/>
            <w:tcMar>
              <w:top w:w="90" w:type="dxa"/>
              <w:left w:w="120" w:type="dxa"/>
              <w:bottom w:w="90" w:type="dxa"/>
              <w:right w:w="120" w:type="dxa"/>
            </w:tcMar>
          </w:tcPr>
          <w:p>
            <w:pPr>
              <w:spacing w:before="0" w:after="0"/>
              <w:jc w:val="center"/>
            </w:pPr>
            <w:r/>
            <w:r>
              <w:rPr>
                <w:rFonts w:ascii="Times New Roman" w:hAnsi="Times New Roman"/>
                <w:color w:val="222222"/>
                <w:sz w:val="20"/>
              </w:rPr>
              <w:t>1.24.3</w:t>
            </w:r>
          </w:p>
        </w:tc>
        <w:tc>
          <w:tcPr>
            <w:tcW w:type="dxa" w:w="2160"/>
            <w:shd w:fill="FFFFFF"/>
            <w:tcMar>
              <w:top w:w="90" w:type="dxa"/>
              <w:left w:w="120" w:type="dxa"/>
              <w:bottom w:w="90" w:type="dxa"/>
              <w:right w:w="120" w:type="dxa"/>
            </w:tcMar>
          </w:tcPr>
          <w:p>
            <w:pPr>
              <w:spacing w:before="0" w:after="0"/>
              <w:jc w:val="center"/>
            </w:pPr>
            <w:r/>
            <w:r>
              <w:rPr>
                <w:rFonts w:ascii="Times New Roman" w:hAnsi="Times New Roman"/>
                <w:color w:val="222222"/>
                <w:sz w:val="20"/>
              </w:rPr>
              <w:t>Numerical Math</w:t>
            </w:r>
          </w:p>
        </w:tc>
        <w:tc>
          <w:tcPr>
            <w:tcW w:type="dxa" w:w="3600"/>
            <w:shd w:fill="FFFFFF"/>
            <w:tcMar>
              <w:top w:w="90" w:type="dxa"/>
              <w:left w:w="120" w:type="dxa"/>
              <w:bottom w:w="90" w:type="dxa"/>
              <w:right w:w="120" w:type="dxa"/>
            </w:tcMar>
          </w:tcPr>
          <w:p>
            <w:pPr>
              <w:spacing w:before="0" w:after="0"/>
              <w:jc w:val="left"/>
            </w:pPr>
            <w:r/>
            <w:r>
              <w:rPr>
                <w:rFonts w:ascii="Times New Roman" w:hAnsi="Times New Roman"/>
                <w:color w:val="222222"/>
                <w:sz w:val="20"/>
              </w:rPr>
              <w:t>Array operations, vector algebra, spectral index calculations</w:t>
            </w:r>
          </w:p>
        </w:tc>
      </w:tr>
      <w:tr>
        <w:tc>
          <w:tcPr>
            <w:tcW w:type="dxa" w:w="2160"/>
            <w:shd w:fill="F4F6F9"/>
            <w:tcMar>
              <w:top w:w="90" w:type="dxa"/>
              <w:left w:w="120" w:type="dxa"/>
              <w:bottom w:w="90" w:type="dxa"/>
              <w:right w:w="120" w:type="dxa"/>
            </w:tcMar>
          </w:tcPr>
          <w:p>
            <w:pPr>
              <w:spacing w:before="0" w:after="0"/>
              <w:jc w:val="left"/>
            </w:pPr>
            <w:r/>
            <w:r>
              <w:rPr>
                <w:rFonts w:ascii="Times New Roman" w:hAnsi="Times New Roman"/>
                <w:color w:val="222222"/>
                <w:sz w:val="20"/>
              </w:rPr>
              <w:t>pandas</w:t>
            </w:r>
          </w:p>
        </w:tc>
        <w:tc>
          <w:tcPr>
            <w:tcW w:type="dxa" w:w="1440"/>
            <w:shd w:fill="F4F6F9"/>
            <w:tcMar>
              <w:top w:w="90" w:type="dxa"/>
              <w:left w:w="120" w:type="dxa"/>
              <w:bottom w:w="90" w:type="dxa"/>
              <w:right w:w="120" w:type="dxa"/>
            </w:tcMar>
          </w:tcPr>
          <w:p>
            <w:pPr>
              <w:spacing w:before="0" w:after="0"/>
              <w:jc w:val="center"/>
            </w:pPr>
            <w:r/>
            <w:r>
              <w:rPr>
                <w:rFonts w:ascii="Times New Roman" w:hAnsi="Times New Roman"/>
                <w:color w:val="222222"/>
                <w:sz w:val="20"/>
              </w:rPr>
              <w:t>2.1.3</w:t>
            </w:r>
          </w:p>
        </w:tc>
        <w:tc>
          <w:tcPr>
            <w:tcW w:type="dxa" w:w="2160"/>
            <w:shd w:fill="F4F6F9"/>
            <w:tcMar>
              <w:top w:w="90" w:type="dxa"/>
              <w:left w:w="120" w:type="dxa"/>
              <w:bottom w:w="90" w:type="dxa"/>
              <w:right w:w="120" w:type="dxa"/>
            </w:tcMar>
          </w:tcPr>
          <w:p>
            <w:pPr>
              <w:spacing w:before="0" w:after="0"/>
              <w:jc w:val="left"/>
            </w:pPr>
            <w:r/>
            <w:r>
              <w:rPr>
                <w:rFonts w:ascii="Times New Roman" w:hAnsi="Times New Roman"/>
                <w:color w:val="222222"/>
                <w:sz w:val="20"/>
              </w:rPr>
              <w:t>Data Engineering</w:t>
            </w:r>
          </w:p>
        </w:tc>
        <w:tc>
          <w:tcPr>
            <w:tcW w:type="dxa" w:w="3600"/>
            <w:shd w:fill="F4F6F9"/>
            <w:tcMar>
              <w:top w:w="90" w:type="dxa"/>
              <w:left w:w="120" w:type="dxa"/>
              <w:bottom w:w="90" w:type="dxa"/>
              <w:right w:w="120" w:type="dxa"/>
            </w:tcMar>
          </w:tcPr>
          <w:p>
            <w:pPr>
              <w:spacing w:before="0" w:after="0"/>
              <w:jc w:val="left"/>
            </w:pPr>
            <w:r/>
            <w:r>
              <w:rPr>
                <w:rFonts w:ascii="Times New Roman" w:hAnsi="Times New Roman"/>
                <w:color w:val="222222"/>
                <w:sz w:val="20"/>
              </w:rPr>
              <w:t>Tabular data cleaning, join operations, CSV/Excel serialization</w:t>
            </w:r>
          </w:p>
        </w:tc>
      </w:tr>
      <w:tr>
        <w:tc>
          <w:tcPr>
            <w:tcW w:type="dxa" w:w="2160"/>
            <w:shd w:fill="FFFFFF"/>
            <w:tcMar>
              <w:top w:w="90" w:type="dxa"/>
              <w:left w:w="120" w:type="dxa"/>
              <w:bottom w:w="90" w:type="dxa"/>
              <w:right w:w="120" w:type="dxa"/>
            </w:tcMar>
          </w:tcPr>
          <w:p>
            <w:pPr>
              <w:spacing w:before="0" w:after="0"/>
              <w:jc w:val="left"/>
            </w:pPr>
            <w:r/>
            <w:r>
              <w:rPr>
                <w:rFonts w:ascii="Times New Roman" w:hAnsi="Times New Roman"/>
                <w:color w:val="222222"/>
                <w:sz w:val="20"/>
              </w:rPr>
              <w:t>joblib</w:t>
            </w:r>
          </w:p>
        </w:tc>
        <w:tc>
          <w:tcPr>
            <w:tcW w:type="dxa" w:w="1440"/>
            <w:shd w:fill="FFFFFF"/>
            <w:tcMar>
              <w:top w:w="90" w:type="dxa"/>
              <w:left w:w="120" w:type="dxa"/>
              <w:bottom w:w="90" w:type="dxa"/>
              <w:right w:w="120" w:type="dxa"/>
            </w:tcMar>
          </w:tcPr>
          <w:p>
            <w:pPr>
              <w:spacing w:before="0" w:after="0"/>
              <w:jc w:val="center"/>
            </w:pPr>
            <w:r/>
            <w:r>
              <w:rPr>
                <w:rFonts w:ascii="Times New Roman" w:hAnsi="Times New Roman"/>
                <w:color w:val="222222"/>
                <w:sz w:val="20"/>
              </w:rPr>
              <w:t>1.3.2</w:t>
            </w:r>
          </w:p>
        </w:tc>
        <w:tc>
          <w:tcPr>
            <w:tcW w:type="dxa" w:w="2160"/>
            <w:shd w:fill="FFFFFF"/>
            <w:tcMar>
              <w:top w:w="90" w:type="dxa"/>
              <w:left w:w="120" w:type="dxa"/>
              <w:bottom w:w="90" w:type="dxa"/>
              <w:right w:w="120" w:type="dxa"/>
            </w:tcMar>
          </w:tcPr>
          <w:p>
            <w:pPr>
              <w:spacing w:before="0" w:after="0"/>
              <w:jc w:val="left"/>
            </w:pPr>
            <w:r/>
            <w:r>
              <w:rPr>
                <w:rFonts w:ascii="Times New Roman" w:hAnsi="Times New Roman"/>
                <w:color w:val="222222"/>
                <w:sz w:val="20"/>
              </w:rPr>
              <w:t>Model Persistence</w:t>
            </w:r>
          </w:p>
        </w:tc>
        <w:tc>
          <w:tcPr>
            <w:tcW w:type="dxa" w:w="3600"/>
            <w:shd w:fill="FFFFFF"/>
            <w:tcMar>
              <w:top w:w="90" w:type="dxa"/>
              <w:left w:w="120" w:type="dxa"/>
              <w:bottom w:w="90" w:type="dxa"/>
              <w:right w:w="120" w:type="dxa"/>
            </w:tcMar>
          </w:tcPr>
          <w:p>
            <w:pPr>
              <w:spacing w:before="0" w:after="0"/>
              <w:jc w:val="left"/>
            </w:pPr>
            <w:r/>
            <w:r>
              <w:rPr>
                <w:rFonts w:ascii="Times New Roman" w:hAnsi="Times New Roman"/>
                <w:color w:val="222222"/>
                <w:sz w:val="20"/>
              </w:rPr>
              <w:t>High-efficiency binary serialization of trained estimators and scalers</w:t>
            </w:r>
          </w:p>
        </w:tc>
      </w:tr>
      <w:tr>
        <w:tc>
          <w:tcPr>
            <w:tcW w:type="dxa" w:w="2160"/>
            <w:shd w:fill="F4F6F9"/>
            <w:tcMar>
              <w:top w:w="90" w:type="dxa"/>
              <w:left w:w="120" w:type="dxa"/>
              <w:bottom w:w="90" w:type="dxa"/>
              <w:right w:w="120" w:type="dxa"/>
            </w:tcMar>
          </w:tcPr>
          <w:p>
            <w:pPr>
              <w:spacing w:before="0" w:after="0"/>
              <w:jc w:val="left"/>
            </w:pPr>
            <w:r/>
            <w:r>
              <w:rPr>
                <w:rFonts w:ascii="Times New Roman" w:hAnsi="Times New Roman"/>
                <w:color w:val="222222"/>
                <w:sz w:val="20"/>
              </w:rPr>
              <w:t>python-docx</w:t>
            </w:r>
          </w:p>
        </w:tc>
        <w:tc>
          <w:tcPr>
            <w:tcW w:type="dxa" w:w="1440"/>
            <w:shd w:fill="F4F6F9"/>
            <w:tcMar>
              <w:top w:w="90" w:type="dxa"/>
              <w:left w:w="120" w:type="dxa"/>
              <w:bottom w:w="90" w:type="dxa"/>
              <w:right w:w="120" w:type="dxa"/>
            </w:tcMar>
          </w:tcPr>
          <w:p>
            <w:pPr>
              <w:spacing w:before="0" w:after="0"/>
              <w:jc w:val="center"/>
            </w:pPr>
            <w:r/>
            <w:r>
              <w:rPr>
                <w:rFonts w:ascii="Times New Roman" w:hAnsi="Times New Roman"/>
                <w:color w:val="222222"/>
                <w:sz w:val="20"/>
              </w:rPr>
              <w:t>1.2.0</w:t>
            </w:r>
          </w:p>
        </w:tc>
        <w:tc>
          <w:tcPr>
            <w:tcW w:type="dxa" w:w="2160"/>
            <w:shd w:fill="F4F6F9"/>
            <w:tcMar>
              <w:top w:w="90" w:type="dxa"/>
              <w:left w:w="120" w:type="dxa"/>
              <w:bottom w:w="90" w:type="dxa"/>
              <w:right w:w="120" w:type="dxa"/>
            </w:tcMar>
          </w:tcPr>
          <w:p>
            <w:pPr>
              <w:spacing w:before="0" w:after="0"/>
              <w:jc w:val="left"/>
            </w:pPr>
            <w:r/>
            <w:r>
              <w:rPr>
                <w:rFonts w:ascii="Times New Roman" w:hAnsi="Times New Roman"/>
                <w:color w:val="222222"/>
                <w:sz w:val="20"/>
              </w:rPr>
              <w:t>Document Automation</w:t>
            </w:r>
          </w:p>
        </w:tc>
        <w:tc>
          <w:tcPr>
            <w:tcW w:type="dxa" w:w="3600"/>
            <w:shd w:fill="F4F6F9"/>
            <w:tcMar>
              <w:top w:w="90" w:type="dxa"/>
              <w:left w:w="120" w:type="dxa"/>
              <w:bottom w:w="90" w:type="dxa"/>
              <w:right w:w="120" w:type="dxa"/>
            </w:tcMar>
          </w:tcPr>
          <w:p>
            <w:pPr>
              <w:spacing w:before="0" w:after="0"/>
              <w:jc w:val="left"/>
            </w:pPr>
            <w:r/>
            <w:r>
              <w:rPr>
                <w:rFonts w:ascii="Times New Roman" w:hAnsi="Times New Roman"/>
                <w:color w:val="222222"/>
                <w:sz w:val="20"/>
              </w:rPr>
              <w:t>Programmatic generation of academic reports and XML styling</w:t>
            </w:r>
          </w:p>
        </w:tc>
      </w:tr>
      <w:tr>
        <w:tc>
          <w:tcPr>
            <w:tcW w:type="dxa" w:w="2160"/>
            <w:shd w:fill="FFFFFF"/>
            <w:tcMar>
              <w:top w:w="90" w:type="dxa"/>
              <w:left w:w="120" w:type="dxa"/>
              <w:bottom w:w="90" w:type="dxa"/>
              <w:right w:w="120" w:type="dxa"/>
            </w:tcMar>
          </w:tcPr>
          <w:p>
            <w:pPr>
              <w:spacing w:before="0" w:after="0"/>
              <w:jc w:val="left"/>
            </w:pPr>
            <w:r/>
            <w:r>
              <w:rPr>
                <w:rFonts w:ascii="Times New Roman" w:hAnsi="Times New Roman"/>
                <w:color w:val="222222"/>
                <w:sz w:val="20"/>
              </w:rPr>
              <w:t>python-pptx</w:t>
            </w:r>
          </w:p>
        </w:tc>
        <w:tc>
          <w:tcPr>
            <w:tcW w:type="dxa" w:w="1440"/>
            <w:shd w:fill="FFFFFF"/>
            <w:tcMar>
              <w:top w:w="90" w:type="dxa"/>
              <w:left w:w="120" w:type="dxa"/>
              <w:bottom w:w="90" w:type="dxa"/>
              <w:right w:w="120" w:type="dxa"/>
            </w:tcMar>
          </w:tcPr>
          <w:p>
            <w:pPr>
              <w:spacing w:before="0" w:after="0"/>
              <w:jc w:val="center"/>
            </w:pPr>
            <w:r/>
            <w:r>
              <w:rPr>
                <w:rFonts w:ascii="Times New Roman" w:hAnsi="Times New Roman"/>
                <w:color w:val="222222"/>
                <w:sz w:val="20"/>
              </w:rPr>
              <w:t>1.0.2</w:t>
            </w:r>
          </w:p>
        </w:tc>
        <w:tc>
          <w:tcPr>
            <w:tcW w:type="dxa" w:w="2160"/>
            <w:shd w:fill="FFFFFF"/>
            <w:tcMar>
              <w:top w:w="90" w:type="dxa"/>
              <w:left w:w="120" w:type="dxa"/>
              <w:bottom w:w="90" w:type="dxa"/>
              <w:right w:w="120" w:type="dxa"/>
            </w:tcMar>
          </w:tcPr>
          <w:p>
            <w:pPr>
              <w:spacing w:before="0" w:after="0"/>
              <w:jc w:val="left"/>
            </w:pPr>
            <w:r/>
            <w:r>
              <w:rPr>
                <w:rFonts w:ascii="Times New Roman" w:hAnsi="Times New Roman"/>
                <w:color w:val="222222"/>
                <w:sz w:val="20"/>
              </w:rPr>
              <w:t>Presentation Engine</w:t>
            </w:r>
          </w:p>
        </w:tc>
        <w:tc>
          <w:tcPr>
            <w:tcW w:type="dxa" w:w="3600"/>
            <w:shd w:fill="FFFFFF"/>
            <w:tcMar>
              <w:top w:w="90" w:type="dxa"/>
              <w:left w:w="120" w:type="dxa"/>
              <w:bottom w:w="90" w:type="dxa"/>
              <w:right w:w="120" w:type="dxa"/>
            </w:tcMar>
          </w:tcPr>
          <w:p>
            <w:pPr>
              <w:spacing w:before="0" w:after="0"/>
              <w:jc w:val="left"/>
            </w:pPr>
            <w:r/>
            <w:r>
              <w:rPr>
                <w:rFonts w:ascii="Times New Roman" w:hAnsi="Times New Roman"/>
                <w:color w:val="222222"/>
                <w:sz w:val="20"/>
              </w:rPr>
              <w:t>Automated slide generation and Wingdings formatting</w:t>
            </w:r>
          </w:p>
        </w:tc>
      </w:tr>
      <w:tr>
        <w:tc>
          <w:tcPr>
            <w:tcW w:type="dxa" w:w="2160"/>
            <w:shd w:fill="F4F6F9"/>
            <w:tcMar>
              <w:top w:w="90" w:type="dxa"/>
              <w:left w:w="120" w:type="dxa"/>
              <w:bottom w:w="90" w:type="dxa"/>
              <w:right w:w="120" w:type="dxa"/>
            </w:tcMar>
          </w:tcPr>
          <w:p>
            <w:pPr>
              <w:spacing w:before="0" w:after="0"/>
              <w:jc w:val="left"/>
            </w:pPr>
            <w:r/>
            <w:r>
              <w:rPr>
                <w:rFonts w:ascii="Times New Roman" w:hAnsi="Times New Roman"/>
                <w:color w:val="222222"/>
                <w:sz w:val="20"/>
              </w:rPr>
              <w:t>matplotlib</w:t>
            </w:r>
          </w:p>
        </w:tc>
        <w:tc>
          <w:tcPr>
            <w:tcW w:type="dxa" w:w="1440"/>
            <w:shd w:fill="F4F6F9"/>
            <w:tcMar>
              <w:top w:w="90" w:type="dxa"/>
              <w:left w:w="120" w:type="dxa"/>
              <w:bottom w:w="90" w:type="dxa"/>
              <w:right w:w="120" w:type="dxa"/>
            </w:tcMar>
          </w:tcPr>
          <w:p>
            <w:pPr>
              <w:spacing w:before="0" w:after="0"/>
              <w:jc w:val="center"/>
            </w:pPr>
            <w:r/>
            <w:r>
              <w:rPr>
                <w:rFonts w:ascii="Times New Roman" w:hAnsi="Times New Roman"/>
                <w:color w:val="222222"/>
                <w:sz w:val="20"/>
              </w:rPr>
              <w:t>3.8.2</w:t>
            </w:r>
          </w:p>
        </w:tc>
        <w:tc>
          <w:tcPr>
            <w:tcW w:type="dxa" w:w="2160"/>
            <w:shd w:fill="F4F6F9"/>
            <w:tcMar>
              <w:top w:w="90" w:type="dxa"/>
              <w:left w:w="120" w:type="dxa"/>
              <w:bottom w:w="90" w:type="dxa"/>
              <w:right w:w="120" w:type="dxa"/>
            </w:tcMar>
          </w:tcPr>
          <w:p>
            <w:pPr>
              <w:spacing w:before="0" w:after="0"/>
              <w:jc w:val="left"/>
            </w:pPr>
            <w:r/>
            <w:r>
              <w:rPr>
                <w:rFonts w:ascii="Times New Roman" w:hAnsi="Times New Roman"/>
                <w:color w:val="222222"/>
                <w:sz w:val="20"/>
              </w:rPr>
              <w:t>Scientific Plotting</w:t>
            </w:r>
          </w:p>
        </w:tc>
        <w:tc>
          <w:tcPr>
            <w:tcW w:type="dxa" w:w="3600"/>
            <w:shd w:fill="F4F6F9"/>
            <w:tcMar>
              <w:top w:w="90" w:type="dxa"/>
              <w:left w:w="120" w:type="dxa"/>
              <w:bottom w:w="90" w:type="dxa"/>
              <w:right w:w="120" w:type="dxa"/>
            </w:tcMar>
          </w:tcPr>
          <w:p>
            <w:pPr>
              <w:spacing w:before="0" w:after="0"/>
              <w:jc w:val="left"/>
            </w:pPr>
            <w:r/>
            <w:r>
              <w:rPr>
                <w:rFonts w:ascii="Times New Roman" w:hAnsi="Times New Roman"/>
                <w:color w:val="222222"/>
                <w:sz w:val="20"/>
              </w:rPr>
              <w:t>Generation of publication-grade scatter plots and scree curves</w:t>
            </w:r>
          </w:p>
        </w:tc>
      </w:tr>
      <w:tr>
        <w:tc>
          <w:tcPr>
            <w:tcW w:type="dxa" w:w="2160"/>
            <w:shd w:fill="FFFFFF"/>
            <w:tcMar>
              <w:top w:w="90" w:type="dxa"/>
              <w:left w:w="120" w:type="dxa"/>
              <w:bottom w:w="90" w:type="dxa"/>
              <w:right w:w="120" w:type="dxa"/>
            </w:tcMar>
          </w:tcPr>
          <w:p>
            <w:pPr>
              <w:spacing w:before="0" w:after="0"/>
              <w:jc w:val="left"/>
            </w:pPr>
            <w:r/>
            <w:r>
              <w:rPr>
                <w:rFonts w:ascii="Times New Roman" w:hAnsi="Times New Roman"/>
                <w:color w:val="222222"/>
                <w:sz w:val="20"/>
              </w:rPr>
              <w:t>seaborn</w:t>
            </w:r>
          </w:p>
        </w:tc>
        <w:tc>
          <w:tcPr>
            <w:tcW w:type="dxa" w:w="1440"/>
            <w:shd w:fill="FFFFFF"/>
            <w:tcMar>
              <w:top w:w="90" w:type="dxa"/>
              <w:left w:w="120" w:type="dxa"/>
              <w:bottom w:w="90" w:type="dxa"/>
              <w:right w:w="120" w:type="dxa"/>
            </w:tcMar>
          </w:tcPr>
          <w:p>
            <w:pPr>
              <w:spacing w:before="0" w:after="0"/>
              <w:jc w:val="center"/>
            </w:pPr>
            <w:r/>
            <w:r>
              <w:rPr>
                <w:rFonts w:ascii="Times New Roman" w:hAnsi="Times New Roman"/>
                <w:color w:val="222222"/>
                <w:sz w:val="20"/>
              </w:rPr>
              <w:t>0.13.0</w:t>
            </w:r>
          </w:p>
        </w:tc>
        <w:tc>
          <w:tcPr>
            <w:tcW w:type="dxa" w:w="2160"/>
            <w:shd w:fill="FFFFFF"/>
            <w:tcMar>
              <w:top w:w="90" w:type="dxa"/>
              <w:left w:w="120" w:type="dxa"/>
              <w:bottom w:w="90" w:type="dxa"/>
              <w:right w:w="120" w:type="dxa"/>
            </w:tcMar>
          </w:tcPr>
          <w:p>
            <w:pPr>
              <w:spacing w:before="0" w:after="0"/>
              <w:jc w:val="left"/>
            </w:pPr>
            <w:r/>
            <w:r>
              <w:rPr>
                <w:rFonts w:ascii="Times New Roman" w:hAnsi="Times New Roman"/>
                <w:color w:val="222222"/>
                <w:sz w:val="20"/>
              </w:rPr>
              <w:t>Statistical Graphics</w:t>
            </w:r>
          </w:p>
        </w:tc>
        <w:tc>
          <w:tcPr>
            <w:tcW w:type="dxa" w:w="3600"/>
            <w:shd w:fill="FFFFFF"/>
            <w:tcMar>
              <w:top w:w="90" w:type="dxa"/>
              <w:left w:w="120" w:type="dxa"/>
              <w:bottom w:w="90" w:type="dxa"/>
              <w:right w:w="120" w:type="dxa"/>
            </w:tcMar>
          </w:tcPr>
          <w:p>
            <w:pPr>
              <w:spacing w:before="0" w:after="0"/>
              <w:jc w:val="left"/>
            </w:pPr>
            <w:r/>
            <w:r>
              <w:rPr>
                <w:rFonts w:ascii="Times New Roman" w:hAnsi="Times New Roman"/>
                <w:color w:val="222222"/>
                <w:sz w:val="20"/>
              </w:rPr>
              <w:t>Bivariate correlation heatmaps and violin distributions</w:t>
            </w:r>
          </w:p>
        </w:tc>
      </w:tr>
    </w:tbl>
    <w:p>
      <w:pPr>
        <w:spacing w:before="0" w:after="160"/>
      </w:pPr>
    </w:p>
    <w:p>
      <w:pPr>
        <w:spacing w:before="280" w:after="120" w:line="276" w:lineRule="auto"/>
        <w:jc w:val="left"/>
      </w:pPr>
      <w:r>
        <w:rPr>
          <w:rFonts w:ascii="Times New Roman" w:hAnsi="Times New Roman"/>
          <w:b/>
          <w:color w:val="800000"/>
          <w:sz w:val="28"/>
        </w:rPr>
        <w:t>4.3 Dataset Details and Preprocessing Steps</w:t>
      </w:r>
    </w:p>
    <w:p>
      <w:pPr>
        <w:spacing w:line="360" w:lineRule="auto" w:after="120" w:before="0"/>
        <w:jc w:val="both"/>
      </w:pPr>
      <w:r>
        <w:rPr>
          <w:rFonts w:ascii="Times New Roman" w:hAnsi="Times New Roman"/>
          <w:color w:val="222222"/>
          <w:sz w:val="24"/>
        </w:rPr>
        <w:t>The ground-truth dataset for this study comprises 909 authenticated soil sampling points geographically distributed across 46 mandals of SPSR Nellore District, Andhra Pradesh. Each record represents a physical field sample analyzed by government-certified District Soil Testing Laboratories under standard chemical extraction protocols. Table 4.3 provides the descriptive statistical summary of the four target soil properties.</w:t>
      </w:r>
    </w:p>
    <w:p>
      <w:pPr>
        <w:spacing w:before="200" w:after="80"/>
        <w:jc w:val="center"/>
      </w:pPr>
      <w:r>
        <w:rPr>
          <w:rFonts w:ascii="Times New Roman" w:hAnsi="Times New Roman"/>
          <w:b/>
          <w:color w:val="1E1E1E"/>
          <w:sz w:val="22"/>
        </w:rPr>
        <w:t>Table 4.3: Descriptive Statistical Summary of Ground-Truth Soil Fertility Targets</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rPr>
          <w:tblHeader/>
        </w:trPr>
        <w:tc>
          <w:tcPr>
            <w:tcW w:type="dxa" w:w="2592"/>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Soil Property</w:t>
            </w:r>
          </w:p>
        </w:tc>
        <w:tc>
          <w:tcPr>
            <w:tcW w:type="dxa" w:w="2016"/>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Analytical Method</w:t>
            </w:r>
          </w:p>
        </w:tc>
        <w:tc>
          <w:tcPr>
            <w:tcW w:type="dxa" w:w="864"/>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Min</w:t>
            </w:r>
          </w:p>
        </w:tc>
        <w:tc>
          <w:tcPr>
            <w:tcW w:type="dxa" w:w="864"/>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Max</w:t>
            </w:r>
          </w:p>
        </w:tc>
        <w:tc>
          <w:tcPr>
            <w:tcW w:type="dxa" w:w="864"/>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Mean</w:t>
            </w:r>
          </w:p>
        </w:tc>
        <w:tc>
          <w:tcPr>
            <w:tcW w:type="dxa" w:w="864"/>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Median</w:t>
            </w:r>
          </w:p>
        </w:tc>
        <w:tc>
          <w:tcPr>
            <w:tcW w:type="dxa" w:w="864"/>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Std Dev</w:t>
            </w:r>
          </w:p>
        </w:tc>
        <w:tc>
          <w:tcPr>
            <w:tcW w:type="dxa" w:w="864"/>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Skewness</w:t>
            </w:r>
          </w:p>
        </w:tc>
        <w:tc>
          <w:tcPr>
            <w:tcW w:type="dxa" w:w="864"/>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Kurtosis</w:t>
            </w:r>
          </w:p>
        </w:tc>
      </w:tr>
      <w:tr>
        <w:tc>
          <w:tcPr>
            <w:tcW w:type="dxa" w:w="2592"/>
            <w:shd w:fill="FFFFFF"/>
            <w:tcMar>
              <w:top w:w="90" w:type="dxa"/>
              <w:left w:w="120" w:type="dxa"/>
              <w:bottom w:w="90" w:type="dxa"/>
              <w:right w:w="120" w:type="dxa"/>
            </w:tcMar>
          </w:tcPr>
          <w:p>
            <w:pPr>
              <w:spacing w:before="0" w:after="0"/>
              <w:jc w:val="left"/>
            </w:pPr>
            <w:r/>
            <w:r>
              <w:rPr>
                <w:rFonts w:ascii="Times New Roman" w:hAnsi="Times New Roman"/>
                <w:color w:val="222222"/>
                <w:sz w:val="20"/>
              </w:rPr>
              <w:t>Available Nitrogen (N, kg/ha)</w:t>
            </w:r>
          </w:p>
        </w:tc>
        <w:tc>
          <w:tcPr>
            <w:tcW w:type="dxa" w:w="2016"/>
            <w:shd w:fill="FFFFFF"/>
            <w:tcMar>
              <w:top w:w="90" w:type="dxa"/>
              <w:left w:w="120" w:type="dxa"/>
              <w:bottom w:w="90" w:type="dxa"/>
              <w:right w:w="120" w:type="dxa"/>
            </w:tcMar>
          </w:tcPr>
          <w:p>
            <w:pPr>
              <w:spacing w:before="0" w:after="0"/>
              <w:jc w:val="left"/>
            </w:pPr>
            <w:r/>
            <w:r>
              <w:rPr>
                <w:rFonts w:ascii="Times New Roman" w:hAnsi="Times New Roman"/>
                <w:color w:val="222222"/>
                <w:sz w:val="20"/>
              </w:rPr>
              <w:t>Alkaline KMnO4 Distillation</w:t>
            </w:r>
          </w:p>
        </w:tc>
        <w:tc>
          <w:tcPr>
            <w:tcW w:type="dxa" w:w="864"/>
            <w:shd w:fill="FFFFFF"/>
            <w:tcMar>
              <w:top w:w="90" w:type="dxa"/>
              <w:left w:w="120" w:type="dxa"/>
              <w:bottom w:w="90" w:type="dxa"/>
              <w:right w:w="120" w:type="dxa"/>
            </w:tcMar>
          </w:tcPr>
          <w:p>
            <w:pPr>
              <w:spacing w:before="0" w:after="0"/>
              <w:jc w:val="center"/>
            </w:pPr>
            <w:r/>
            <w:r>
              <w:rPr>
                <w:rFonts w:ascii="Times New Roman" w:hAnsi="Times New Roman"/>
                <w:color w:val="222222"/>
                <w:sz w:val="20"/>
              </w:rPr>
              <w:t>14.50</w:t>
            </w:r>
          </w:p>
        </w:tc>
        <w:tc>
          <w:tcPr>
            <w:tcW w:type="dxa" w:w="864"/>
            <w:shd w:fill="FFFFFF"/>
            <w:tcMar>
              <w:top w:w="90" w:type="dxa"/>
              <w:left w:w="120" w:type="dxa"/>
              <w:bottom w:w="90" w:type="dxa"/>
              <w:right w:w="120" w:type="dxa"/>
            </w:tcMar>
          </w:tcPr>
          <w:p>
            <w:pPr>
              <w:spacing w:before="0" w:after="0"/>
              <w:jc w:val="center"/>
            </w:pPr>
            <w:r/>
            <w:r>
              <w:rPr>
                <w:rFonts w:ascii="Times New Roman" w:hAnsi="Times New Roman"/>
                <w:color w:val="222222"/>
                <w:sz w:val="20"/>
              </w:rPr>
              <w:t>385.00</w:t>
            </w:r>
          </w:p>
        </w:tc>
        <w:tc>
          <w:tcPr>
            <w:tcW w:type="dxa" w:w="864"/>
            <w:shd w:fill="FFFFFF"/>
            <w:tcMar>
              <w:top w:w="90" w:type="dxa"/>
              <w:left w:w="120" w:type="dxa"/>
              <w:bottom w:w="90" w:type="dxa"/>
              <w:right w:w="120" w:type="dxa"/>
            </w:tcMar>
          </w:tcPr>
          <w:p>
            <w:pPr>
              <w:spacing w:before="0" w:after="0"/>
              <w:jc w:val="center"/>
            </w:pPr>
            <w:r/>
            <w:r>
              <w:rPr>
                <w:rFonts w:ascii="Times New Roman" w:hAnsi="Times New Roman"/>
                <w:color w:val="222222"/>
                <w:sz w:val="20"/>
              </w:rPr>
              <w:t>122.40</w:t>
            </w:r>
          </w:p>
        </w:tc>
        <w:tc>
          <w:tcPr>
            <w:tcW w:type="dxa" w:w="864"/>
            <w:shd w:fill="FFFFFF"/>
            <w:tcMar>
              <w:top w:w="90" w:type="dxa"/>
              <w:left w:w="120" w:type="dxa"/>
              <w:bottom w:w="90" w:type="dxa"/>
              <w:right w:w="120" w:type="dxa"/>
            </w:tcMar>
          </w:tcPr>
          <w:p>
            <w:pPr>
              <w:spacing w:before="0" w:after="0"/>
              <w:jc w:val="center"/>
            </w:pPr>
            <w:r/>
            <w:r>
              <w:rPr>
                <w:rFonts w:ascii="Times New Roman" w:hAnsi="Times New Roman"/>
                <w:color w:val="222222"/>
                <w:sz w:val="20"/>
              </w:rPr>
              <w:t>118.00</w:t>
            </w:r>
          </w:p>
        </w:tc>
        <w:tc>
          <w:tcPr>
            <w:tcW w:type="dxa" w:w="864"/>
            <w:shd w:fill="FFFFFF"/>
            <w:tcMar>
              <w:top w:w="90" w:type="dxa"/>
              <w:left w:w="120" w:type="dxa"/>
              <w:bottom w:w="90" w:type="dxa"/>
              <w:right w:w="120" w:type="dxa"/>
            </w:tcMar>
          </w:tcPr>
          <w:p>
            <w:pPr>
              <w:spacing w:before="0" w:after="0"/>
              <w:jc w:val="center"/>
            </w:pPr>
            <w:r/>
            <w:r>
              <w:rPr>
                <w:rFonts w:ascii="Times New Roman" w:hAnsi="Times New Roman"/>
                <w:color w:val="222222"/>
                <w:sz w:val="20"/>
              </w:rPr>
              <w:t>48.74</w:t>
            </w:r>
          </w:p>
        </w:tc>
        <w:tc>
          <w:tcPr>
            <w:tcW w:type="dxa" w:w="864"/>
            <w:shd w:fill="FFFFFF"/>
            <w:tcMar>
              <w:top w:w="90" w:type="dxa"/>
              <w:left w:w="120" w:type="dxa"/>
              <w:bottom w:w="90" w:type="dxa"/>
              <w:right w:w="120" w:type="dxa"/>
            </w:tcMar>
          </w:tcPr>
          <w:p>
            <w:pPr>
              <w:spacing w:before="0" w:after="0"/>
              <w:jc w:val="center"/>
            </w:pPr>
            <w:r/>
            <w:r>
              <w:rPr>
                <w:rFonts w:ascii="Times New Roman" w:hAnsi="Times New Roman"/>
                <w:color w:val="222222"/>
                <w:sz w:val="20"/>
              </w:rPr>
              <w:t>0.62</w:t>
            </w:r>
          </w:p>
        </w:tc>
        <w:tc>
          <w:tcPr>
            <w:tcW w:type="dxa" w:w="864"/>
            <w:shd w:fill="FFFFFF"/>
            <w:tcMar>
              <w:top w:w="90" w:type="dxa"/>
              <w:left w:w="120" w:type="dxa"/>
              <w:bottom w:w="90" w:type="dxa"/>
              <w:right w:w="120" w:type="dxa"/>
            </w:tcMar>
          </w:tcPr>
          <w:p>
            <w:pPr>
              <w:spacing w:before="0" w:after="0"/>
              <w:jc w:val="center"/>
            </w:pPr>
            <w:r/>
            <w:r>
              <w:rPr>
                <w:rFonts w:ascii="Times New Roman" w:hAnsi="Times New Roman"/>
                <w:color w:val="222222"/>
                <w:sz w:val="20"/>
              </w:rPr>
              <w:t>0.45</w:t>
            </w:r>
          </w:p>
        </w:tc>
      </w:tr>
      <w:tr>
        <w:tc>
          <w:tcPr>
            <w:tcW w:type="dxa" w:w="2592"/>
            <w:shd w:fill="F4F6F9"/>
            <w:tcMar>
              <w:top w:w="90" w:type="dxa"/>
              <w:left w:w="120" w:type="dxa"/>
              <w:bottom w:w="90" w:type="dxa"/>
              <w:right w:w="120" w:type="dxa"/>
            </w:tcMar>
          </w:tcPr>
          <w:p>
            <w:pPr>
              <w:spacing w:before="0" w:after="0"/>
              <w:jc w:val="left"/>
            </w:pPr>
            <w:r/>
            <w:r>
              <w:rPr>
                <w:rFonts w:ascii="Times New Roman" w:hAnsi="Times New Roman"/>
                <w:color w:val="222222"/>
                <w:sz w:val="20"/>
              </w:rPr>
              <w:t>Available Phosphorus (P, kg/ha)</w:t>
            </w:r>
          </w:p>
        </w:tc>
        <w:tc>
          <w:tcPr>
            <w:tcW w:type="dxa" w:w="2016"/>
            <w:shd w:fill="F4F6F9"/>
            <w:tcMar>
              <w:top w:w="90" w:type="dxa"/>
              <w:left w:w="120" w:type="dxa"/>
              <w:bottom w:w="90" w:type="dxa"/>
              <w:right w:w="120" w:type="dxa"/>
            </w:tcMar>
          </w:tcPr>
          <w:p>
            <w:pPr>
              <w:spacing w:before="0" w:after="0"/>
              <w:jc w:val="left"/>
            </w:pPr>
            <w:r/>
            <w:r>
              <w:rPr>
                <w:rFonts w:ascii="Times New Roman" w:hAnsi="Times New Roman"/>
                <w:color w:val="222222"/>
                <w:sz w:val="20"/>
              </w:rPr>
              <w:t>Olsen 0.5M NaHCO3 / Bray-1</w:t>
            </w:r>
          </w:p>
        </w:tc>
        <w:tc>
          <w:tcPr>
            <w:tcW w:type="dxa" w:w="864"/>
            <w:shd w:fill="F4F6F9"/>
            <w:tcMar>
              <w:top w:w="90" w:type="dxa"/>
              <w:left w:w="120" w:type="dxa"/>
              <w:bottom w:w="90" w:type="dxa"/>
              <w:right w:w="120" w:type="dxa"/>
            </w:tcMar>
          </w:tcPr>
          <w:p>
            <w:pPr>
              <w:spacing w:before="0" w:after="0"/>
              <w:jc w:val="center"/>
            </w:pPr>
            <w:r/>
            <w:r>
              <w:rPr>
                <w:rFonts w:ascii="Times New Roman" w:hAnsi="Times New Roman"/>
                <w:color w:val="222222"/>
                <w:sz w:val="20"/>
              </w:rPr>
              <w:t>0.50</w:t>
            </w:r>
          </w:p>
        </w:tc>
        <w:tc>
          <w:tcPr>
            <w:tcW w:type="dxa" w:w="864"/>
            <w:shd w:fill="F4F6F9"/>
            <w:tcMar>
              <w:top w:w="90" w:type="dxa"/>
              <w:left w:w="120" w:type="dxa"/>
              <w:bottom w:w="90" w:type="dxa"/>
              <w:right w:w="120" w:type="dxa"/>
            </w:tcMar>
          </w:tcPr>
          <w:p>
            <w:pPr>
              <w:spacing w:before="0" w:after="0"/>
              <w:jc w:val="center"/>
            </w:pPr>
            <w:r/>
            <w:r>
              <w:rPr>
                <w:rFonts w:ascii="Times New Roman" w:hAnsi="Times New Roman"/>
                <w:color w:val="222222"/>
                <w:sz w:val="20"/>
              </w:rPr>
              <w:t>142.00</w:t>
            </w:r>
          </w:p>
        </w:tc>
        <w:tc>
          <w:tcPr>
            <w:tcW w:type="dxa" w:w="864"/>
            <w:shd w:fill="F4F6F9"/>
            <w:tcMar>
              <w:top w:w="90" w:type="dxa"/>
              <w:left w:w="120" w:type="dxa"/>
              <w:bottom w:w="90" w:type="dxa"/>
              <w:right w:w="120" w:type="dxa"/>
            </w:tcMar>
          </w:tcPr>
          <w:p>
            <w:pPr>
              <w:spacing w:before="0" w:after="0"/>
              <w:jc w:val="center"/>
            </w:pPr>
            <w:r/>
            <w:r>
              <w:rPr>
                <w:rFonts w:ascii="Times New Roman" w:hAnsi="Times New Roman"/>
                <w:color w:val="222222"/>
                <w:sz w:val="20"/>
              </w:rPr>
              <w:t>21.80</w:t>
            </w:r>
          </w:p>
        </w:tc>
        <w:tc>
          <w:tcPr>
            <w:tcW w:type="dxa" w:w="864"/>
            <w:shd w:fill="F4F6F9"/>
            <w:tcMar>
              <w:top w:w="90" w:type="dxa"/>
              <w:left w:w="120" w:type="dxa"/>
              <w:bottom w:w="90" w:type="dxa"/>
              <w:right w:w="120" w:type="dxa"/>
            </w:tcMar>
          </w:tcPr>
          <w:p>
            <w:pPr>
              <w:spacing w:before="0" w:after="0"/>
              <w:jc w:val="center"/>
            </w:pPr>
            <w:r/>
            <w:r>
              <w:rPr>
                <w:rFonts w:ascii="Times New Roman" w:hAnsi="Times New Roman"/>
                <w:color w:val="222222"/>
                <w:sz w:val="20"/>
              </w:rPr>
              <w:t>16.50</w:t>
            </w:r>
          </w:p>
        </w:tc>
        <w:tc>
          <w:tcPr>
            <w:tcW w:type="dxa" w:w="864"/>
            <w:shd w:fill="F4F6F9"/>
            <w:tcMar>
              <w:top w:w="90" w:type="dxa"/>
              <w:left w:w="120" w:type="dxa"/>
              <w:bottom w:w="90" w:type="dxa"/>
              <w:right w:w="120" w:type="dxa"/>
            </w:tcMar>
          </w:tcPr>
          <w:p>
            <w:pPr>
              <w:spacing w:before="0" w:after="0"/>
              <w:jc w:val="center"/>
            </w:pPr>
            <w:r/>
            <w:r>
              <w:rPr>
                <w:rFonts w:ascii="Times New Roman" w:hAnsi="Times New Roman"/>
                <w:color w:val="222222"/>
                <w:sz w:val="20"/>
              </w:rPr>
              <w:t>20.75</w:t>
            </w:r>
          </w:p>
        </w:tc>
        <w:tc>
          <w:tcPr>
            <w:tcW w:type="dxa" w:w="864"/>
            <w:shd w:fill="F4F6F9"/>
            <w:tcMar>
              <w:top w:w="90" w:type="dxa"/>
              <w:left w:w="120" w:type="dxa"/>
              <w:bottom w:w="90" w:type="dxa"/>
              <w:right w:w="120" w:type="dxa"/>
            </w:tcMar>
          </w:tcPr>
          <w:p>
            <w:pPr>
              <w:spacing w:before="0" w:after="0"/>
              <w:jc w:val="center"/>
            </w:pPr>
            <w:r/>
            <w:r>
              <w:rPr>
                <w:rFonts w:ascii="Times New Roman" w:hAnsi="Times New Roman"/>
                <w:color w:val="222222"/>
                <w:sz w:val="20"/>
              </w:rPr>
              <w:t>2.34</w:t>
            </w:r>
          </w:p>
        </w:tc>
        <w:tc>
          <w:tcPr>
            <w:tcW w:type="dxa" w:w="864"/>
            <w:shd w:fill="F4F6F9"/>
            <w:tcMar>
              <w:top w:w="90" w:type="dxa"/>
              <w:left w:w="120" w:type="dxa"/>
              <w:bottom w:w="90" w:type="dxa"/>
              <w:right w:w="120" w:type="dxa"/>
            </w:tcMar>
          </w:tcPr>
          <w:p>
            <w:pPr>
              <w:spacing w:before="0" w:after="0"/>
              <w:jc w:val="center"/>
            </w:pPr>
            <w:r/>
            <w:r>
              <w:rPr>
                <w:rFonts w:ascii="Times New Roman" w:hAnsi="Times New Roman"/>
                <w:color w:val="222222"/>
                <w:sz w:val="20"/>
              </w:rPr>
              <w:t>6.81</w:t>
            </w:r>
          </w:p>
        </w:tc>
      </w:tr>
      <w:tr>
        <w:tc>
          <w:tcPr>
            <w:tcW w:type="dxa" w:w="2592"/>
            <w:shd w:fill="FFFFFF"/>
            <w:tcMar>
              <w:top w:w="90" w:type="dxa"/>
              <w:left w:w="120" w:type="dxa"/>
              <w:bottom w:w="90" w:type="dxa"/>
              <w:right w:w="120" w:type="dxa"/>
            </w:tcMar>
          </w:tcPr>
          <w:p>
            <w:pPr>
              <w:spacing w:before="0" w:after="0"/>
              <w:jc w:val="left"/>
            </w:pPr>
            <w:r/>
            <w:r>
              <w:rPr>
                <w:rFonts w:ascii="Times New Roman" w:hAnsi="Times New Roman"/>
                <w:color w:val="222222"/>
                <w:sz w:val="20"/>
              </w:rPr>
              <w:t>Available Potassium (K, kg/ha)</w:t>
            </w:r>
          </w:p>
        </w:tc>
        <w:tc>
          <w:tcPr>
            <w:tcW w:type="dxa" w:w="2016"/>
            <w:shd w:fill="FFFFFF"/>
            <w:tcMar>
              <w:top w:w="90" w:type="dxa"/>
              <w:left w:w="120" w:type="dxa"/>
              <w:bottom w:w="90" w:type="dxa"/>
              <w:right w:w="120" w:type="dxa"/>
            </w:tcMar>
          </w:tcPr>
          <w:p>
            <w:pPr>
              <w:spacing w:before="0" w:after="0"/>
              <w:jc w:val="left"/>
            </w:pPr>
            <w:r/>
            <w:r>
              <w:rPr>
                <w:rFonts w:ascii="Times New Roman" w:hAnsi="Times New Roman"/>
                <w:color w:val="222222"/>
                <w:sz w:val="20"/>
              </w:rPr>
              <w:t>1N Neutral Ammonium Acetate</w:t>
            </w:r>
          </w:p>
        </w:tc>
        <w:tc>
          <w:tcPr>
            <w:tcW w:type="dxa" w:w="864"/>
            <w:shd w:fill="FFFFFF"/>
            <w:tcMar>
              <w:top w:w="90" w:type="dxa"/>
              <w:left w:w="120" w:type="dxa"/>
              <w:bottom w:w="90" w:type="dxa"/>
              <w:right w:w="120" w:type="dxa"/>
            </w:tcMar>
          </w:tcPr>
          <w:p>
            <w:pPr>
              <w:spacing w:before="0" w:after="0"/>
              <w:jc w:val="center"/>
            </w:pPr>
            <w:r/>
            <w:r>
              <w:rPr>
                <w:rFonts w:ascii="Times New Roman" w:hAnsi="Times New Roman"/>
                <w:color w:val="222222"/>
                <w:sz w:val="20"/>
              </w:rPr>
              <w:t>42.00</w:t>
            </w:r>
          </w:p>
        </w:tc>
        <w:tc>
          <w:tcPr>
            <w:tcW w:type="dxa" w:w="864"/>
            <w:shd w:fill="FFFFFF"/>
            <w:tcMar>
              <w:top w:w="90" w:type="dxa"/>
              <w:left w:w="120" w:type="dxa"/>
              <w:bottom w:w="90" w:type="dxa"/>
              <w:right w:w="120" w:type="dxa"/>
            </w:tcMar>
          </w:tcPr>
          <w:p>
            <w:pPr>
              <w:spacing w:before="0" w:after="0"/>
              <w:jc w:val="center"/>
            </w:pPr>
            <w:r/>
            <w:r>
              <w:rPr>
                <w:rFonts w:ascii="Times New Roman" w:hAnsi="Times New Roman"/>
                <w:color w:val="222222"/>
                <w:sz w:val="20"/>
              </w:rPr>
              <w:t>780.00</w:t>
            </w:r>
          </w:p>
        </w:tc>
        <w:tc>
          <w:tcPr>
            <w:tcW w:type="dxa" w:w="864"/>
            <w:shd w:fill="FFFFFF"/>
            <w:tcMar>
              <w:top w:w="90" w:type="dxa"/>
              <w:left w:w="120" w:type="dxa"/>
              <w:bottom w:w="90" w:type="dxa"/>
              <w:right w:w="120" w:type="dxa"/>
            </w:tcMar>
          </w:tcPr>
          <w:p>
            <w:pPr>
              <w:spacing w:before="0" w:after="0"/>
              <w:jc w:val="center"/>
            </w:pPr>
            <w:r/>
            <w:r>
              <w:rPr>
                <w:rFonts w:ascii="Times New Roman" w:hAnsi="Times New Roman"/>
                <w:color w:val="222222"/>
                <w:sz w:val="20"/>
              </w:rPr>
              <w:t>236.70</w:t>
            </w:r>
          </w:p>
        </w:tc>
        <w:tc>
          <w:tcPr>
            <w:tcW w:type="dxa" w:w="864"/>
            <w:shd w:fill="FFFFFF"/>
            <w:tcMar>
              <w:top w:w="90" w:type="dxa"/>
              <w:left w:w="120" w:type="dxa"/>
              <w:bottom w:w="90" w:type="dxa"/>
              <w:right w:w="120" w:type="dxa"/>
            </w:tcMar>
          </w:tcPr>
          <w:p>
            <w:pPr>
              <w:spacing w:before="0" w:after="0"/>
              <w:jc w:val="center"/>
            </w:pPr>
            <w:r/>
            <w:r>
              <w:rPr>
                <w:rFonts w:ascii="Times New Roman" w:hAnsi="Times New Roman"/>
                <w:color w:val="222222"/>
                <w:sz w:val="20"/>
              </w:rPr>
              <w:t>210.00</w:t>
            </w:r>
          </w:p>
        </w:tc>
        <w:tc>
          <w:tcPr>
            <w:tcW w:type="dxa" w:w="864"/>
            <w:shd w:fill="FFFFFF"/>
            <w:tcMar>
              <w:top w:w="90" w:type="dxa"/>
              <w:left w:w="120" w:type="dxa"/>
              <w:bottom w:w="90" w:type="dxa"/>
              <w:right w:w="120" w:type="dxa"/>
            </w:tcMar>
          </w:tcPr>
          <w:p>
            <w:pPr>
              <w:spacing w:before="0" w:after="0"/>
              <w:jc w:val="center"/>
            </w:pPr>
            <w:r/>
            <w:r>
              <w:rPr>
                <w:rFonts w:ascii="Times New Roman" w:hAnsi="Times New Roman"/>
                <w:color w:val="222222"/>
                <w:sz w:val="20"/>
              </w:rPr>
              <w:t>94.57</w:t>
            </w:r>
          </w:p>
        </w:tc>
        <w:tc>
          <w:tcPr>
            <w:tcW w:type="dxa" w:w="864"/>
            <w:shd w:fill="FFFFFF"/>
            <w:tcMar>
              <w:top w:w="90" w:type="dxa"/>
              <w:left w:w="120" w:type="dxa"/>
              <w:bottom w:w="90" w:type="dxa"/>
              <w:right w:w="120" w:type="dxa"/>
            </w:tcMar>
          </w:tcPr>
          <w:p>
            <w:pPr>
              <w:spacing w:before="0" w:after="0"/>
              <w:jc w:val="center"/>
            </w:pPr>
            <w:r/>
            <w:r>
              <w:rPr>
                <w:rFonts w:ascii="Times New Roman" w:hAnsi="Times New Roman"/>
                <w:color w:val="222222"/>
                <w:sz w:val="20"/>
              </w:rPr>
              <w:t>1.89</w:t>
            </w:r>
          </w:p>
        </w:tc>
        <w:tc>
          <w:tcPr>
            <w:tcW w:type="dxa" w:w="864"/>
            <w:shd w:fill="FFFFFF"/>
            <w:tcMar>
              <w:top w:w="90" w:type="dxa"/>
              <w:left w:w="120" w:type="dxa"/>
              <w:bottom w:w="90" w:type="dxa"/>
              <w:right w:w="120" w:type="dxa"/>
            </w:tcMar>
          </w:tcPr>
          <w:p>
            <w:pPr>
              <w:spacing w:before="0" w:after="0"/>
              <w:jc w:val="center"/>
            </w:pPr>
            <w:r/>
            <w:r>
              <w:rPr>
                <w:rFonts w:ascii="Times New Roman" w:hAnsi="Times New Roman"/>
                <w:color w:val="222222"/>
                <w:sz w:val="20"/>
              </w:rPr>
              <w:t>4.52</w:t>
            </w:r>
          </w:p>
        </w:tc>
      </w:tr>
      <w:tr>
        <w:tc>
          <w:tcPr>
            <w:tcW w:type="dxa" w:w="2592"/>
            <w:shd w:fill="F4F6F9"/>
            <w:tcMar>
              <w:top w:w="90" w:type="dxa"/>
              <w:left w:w="120" w:type="dxa"/>
              <w:bottom w:w="90" w:type="dxa"/>
              <w:right w:w="120" w:type="dxa"/>
            </w:tcMar>
          </w:tcPr>
          <w:p>
            <w:pPr>
              <w:spacing w:before="0" w:after="0"/>
              <w:jc w:val="left"/>
            </w:pPr>
            <w:r/>
            <w:r>
              <w:rPr>
                <w:rFonts w:ascii="Times New Roman" w:hAnsi="Times New Roman"/>
                <w:color w:val="222222"/>
                <w:sz w:val="20"/>
              </w:rPr>
              <w:t>Organic Carbon (OC, %)</w:t>
            </w:r>
          </w:p>
        </w:tc>
        <w:tc>
          <w:tcPr>
            <w:tcW w:type="dxa" w:w="2016"/>
            <w:shd w:fill="F4F6F9"/>
            <w:tcMar>
              <w:top w:w="90" w:type="dxa"/>
              <w:left w:w="120" w:type="dxa"/>
              <w:bottom w:w="90" w:type="dxa"/>
              <w:right w:w="120" w:type="dxa"/>
            </w:tcMar>
          </w:tcPr>
          <w:p>
            <w:pPr>
              <w:spacing w:before="0" w:after="0"/>
              <w:jc w:val="left"/>
            </w:pPr>
            <w:r/>
            <w:r>
              <w:rPr>
                <w:rFonts w:ascii="Times New Roman" w:hAnsi="Times New Roman"/>
                <w:color w:val="222222"/>
                <w:sz w:val="20"/>
              </w:rPr>
              <w:t>Walkley-Black Wet Oxidation</w:t>
            </w:r>
          </w:p>
        </w:tc>
        <w:tc>
          <w:tcPr>
            <w:tcW w:type="dxa" w:w="864"/>
            <w:shd w:fill="F4F6F9"/>
            <w:tcMar>
              <w:top w:w="90" w:type="dxa"/>
              <w:left w:w="120" w:type="dxa"/>
              <w:bottom w:w="90" w:type="dxa"/>
              <w:right w:w="120" w:type="dxa"/>
            </w:tcMar>
          </w:tcPr>
          <w:p>
            <w:pPr>
              <w:spacing w:before="0" w:after="0"/>
              <w:jc w:val="center"/>
            </w:pPr>
            <w:r/>
            <w:r>
              <w:rPr>
                <w:rFonts w:ascii="Times New Roman" w:hAnsi="Times New Roman"/>
                <w:color w:val="222222"/>
                <w:sz w:val="20"/>
              </w:rPr>
              <w:t>0.08</w:t>
            </w:r>
          </w:p>
        </w:tc>
        <w:tc>
          <w:tcPr>
            <w:tcW w:type="dxa" w:w="864"/>
            <w:shd w:fill="F4F6F9"/>
            <w:tcMar>
              <w:top w:w="90" w:type="dxa"/>
              <w:left w:w="120" w:type="dxa"/>
              <w:bottom w:w="90" w:type="dxa"/>
              <w:right w:w="120" w:type="dxa"/>
            </w:tcMar>
          </w:tcPr>
          <w:p>
            <w:pPr>
              <w:spacing w:before="0" w:after="0"/>
              <w:jc w:val="center"/>
            </w:pPr>
            <w:r/>
            <w:r>
              <w:rPr>
                <w:rFonts w:ascii="Times New Roman" w:hAnsi="Times New Roman"/>
                <w:color w:val="222222"/>
                <w:sz w:val="20"/>
              </w:rPr>
              <w:t>1.25</w:t>
            </w:r>
          </w:p>
        </w:tc>
        <w:tc>
          <w:tcPr>
            <w:tcW w:type="dxa" w:w="864"/>
            <w:shd w:fill="F4F6F9"/>
            <w:tcMar>
              <w:top w:w="90" w:type="dxa"/>
              <w:left w:w="120" w:type="dxa"/>
              <w:bottom w:w="90" w:type="dxa"/>
              <w:right w:w="120" w:type="dxa"/>
            </w:tcMar>
          </w:tcPr>
          <w:p>
            <w:pPr>
              <w:spacing w:before="0" w:after="0"/>
              <w:jc w:val="center"/>
            </w:pPr>
            <w:r/>
            <w:r>
              <w:rPr>
                <w:rFonts w:ascii="Times New Roman" w:hAnsi="Times New Roman"/>
                <w:color w:val="222222"/>
                <w:sz w:val="20"/>
              </w:rPr>
              <w:t>0.46</w:t>
            </w:r>
          </w:p>
        </w:tc>
        <w:tc>
          <w:tcPr>
            <w:tcW w:type="dxa" w:w="864"/>
            <w:shd w:fill="F4F6F9"/>
            <w:tcMar>
              <w:top w:w="90" w:type="dxa"/>
              <w:left w:w="120" w:type="dxa"/>
              <w:bottom w:w="90" w:type="dxa"/>
              <w:right w:w="120" w:type="dxa"/>
            </w:tcMar>
          </w:tcPr>
          <w:p>
            <w:pPr>
              <w:spacing w:before="0" w:after="0"/>
              <w:jc w:val="center"/>
            </w:pPr>
            <w:r/>
            <w:r>
              <w:rPr>
                <w:rFonts w:ascii="Times New Roman" w:hAnsi="Times New Roman"/>
                <w:color w:val="222222"/>
                <w:sz w:val="20"/>
              </w:rPr>
              <w:t>0.42</w:t>
            </w:r>
          </w:p>
        </w:tc>
        <w:tc>
          <w:tcPr>
            <w:tcW w:type="dxa" w:w="864"/>
            <w:shd w:fill="F4F6F9"/>
            <w:tcMar>
              <w:top w:w="90" w:type="dxa"/>
              <w:left w:w="120" w:type="dxa"/>
              <w:bottom w:w="90" w:type="dxa"/>
              <w:right w:w="120" w:type="dxa"/>
            </w:tcMar>
          </w:tcPr>
          <w:p>
            <w:pPr>
              <w:spacing w:before="0" w:after="0"/>
              <w:jc w:val="center"/>
            </w:pPr>
            <w:r/>
            <w:r>
              <w:rPr>
                <w:rFonts w:ascii="Times New Roman" w:hAnsi="Times New Roman"/>
                <w:color w:val="222222"/>
                <w:sz w:val="20"/>
              </w:rPr>
              <w:t>0.17</w:t>
            </w:r>
          </w:p>
        </w:tc>
        <w:tc>
          <w:tcPr>
            <w:tcW w:type="dxa" w:w="864"/>
            <w:shd w:fill="F4F6F9"/>
            <w:tcMar>
              <w:top w:w="90" w:type="dxa"/>
              <w:left w:w="120" w:type="dxa"/>
              <w:bottom w:w="90" w:type="dxa"/>
              <w:right w:w="120" w:type="dxa"/>
            </w:tcMar>
          </w:tcPr>
          <w:p>
            <w:pPr>
              <w:spacing w:before="0" w:after="0"/>
              <w:jc w:val="center"/>
            </w:pPr>
            <w:r/>
            <w:r>
              <w:rPr>
                <w:rFonts w:ascii="Times New Roman" w:hAnsi="Times New Roman"/>
                <w:color w:val="222222"/>
                <w:sz w:val="20"/>
              </w:rPr>
              <w:t>0.85</w:t>
            </w:r>
          </w:p>
        </w:tc>
        <w:tc>
          <w:tcPr>
            <w:tcW w:type="dxa" w:w="864"/>
            <w:shd w:fill="F4F6F9"/>
            <w:tcMar>
              <w:top w:w="90" w:type="dxa"/>
              <w:left w:w="120" w:type="dxa"/>
              <w:bottom w:w="90" w:type="dxa"/>
              <w:right w:w="120" w:type="dxa"/>
            </w:tcMar>
          </w:tcPr>
          <w:p>
            <w:pPr>
              <w:spacing w:before="0" w:after="0"/>
              <w:jc w:val="center"/>
            </w:pPr>
            <w:r/>
            <w:r>
              <w:rPr>
                <w:rFonts w:ascii="Times New Roman" w:hAnsi="Times New Roman"/>
                <w:color w:val="222222"/>
                <w:sz w:val="20"/>
              </w:rPr>
              <w:t>0.92</w:t>
            </w:r>
          </w:p>
        </w:tc>
      </w:tr>
    </w:tbl>
    <w:p>
      <w:pPr>
        <w:spacing w:before="0" w:after="160"/>
      </w:pPr>
    </w:p>
    <w:p>
      <w:pPr>
        <w:spacing w:line="360" w:lineRule="auto" w:after="120" w:before="0"/>
        <w:jc w:val="both"/>
      </w:pPr>
      <w:r>
        <w:rPr>
          <w:rFonts w:ascii="Times New Roman" w:hAnsi="Times New Roman"/>
          <w:color w:val="222222"/>
          <w:sz w:val="24"/>
        </w:rPr>
        <w:t>The extracted raw tabular features were processed through four rigorous mathematical preprocessing steps:</w:t>
      </w:r>
    </w:p>
    <w:p>
      <w:pPr>
        <w:pStyle w:val="ListBullet"/>
        <w:spacing w:line="360" w:lineRule="auto" w:after="80" w:before="0"/>
        <w:jc w:val="both"/>
      </w:pPr>
      <w:r>
        <w:rPr>
          <w:rFonts w:ascii="Times New Roman" w:hAnsi="Times New Roman"/>
          <w:b/>
          <w:sz w:val="24"/>
        </w:rPr>
        <w:t xml:space="preserve">1. Median Imputation: </w:t>
      </w:r>
      <w:r>
        <w:rPr>
          <w:rFonts w:ascii="Times New Roman" w:hAnsi="Times New Roman"/>
          <w:sz w:val="24"/>
        </w:rPr>
        <w:t>Missing values in environmental covariates (accounting for &lt; 1.2% of total cells, caused by cloud masking edge effects or localized DEM voids) were imputed using iterative median imputation, which preserves distributional medians without introducing outlier bias.</w:t>
      </w:r>
    </w:p>
    <w:p>
      <w:pPr>
        <w:pStyle w:val="ListBullet"/>
        <w:spacing w:line="360" w:lineRule="auto" w:after="80" w:before="0"/>
        <w:jc w:val="both"/>
      </w:pPr>
      <w:r>
        <w:rPr>
          <w:rFonts w:ascii="Times New Roman" w:hAnsi="Times New Roman"/>
          <w:b/>
          <w:sz w:val="24"/>
        </w:rPr>
        <w:t xml:space="preserve">2. Logarithmic Skewness Mitigation: </w:t>
      </w:r>
      <w:r>
        <w:rPr>
          <w:rFonts w:ascii="Times New Roman" w:hAnsi="Times New Roman"/>
          <w:sz w:val="24"/>
        </w:rPr>
        <w:t>As established in Table 4.3, Available Phosphorus and Potassium exhibit severe positive skewness (skewness = 2.34 and 1.89, with heavy right tails). Fitting linear or standard tree models directly on skewed targets produces massive residual errors at the upper distribution end. A logarithmic transformation y_trans = ln(1 + y) was applied to P and K, compressing right-tail variance and normalizing error distributions during gradient updates.</w:t>
      </w:r>
    </w:p>
    <w:p>
      <w:pPr>
        <w:pStyle w:val="ListBullet"/>
        <w:spacing w:line="360" w:lineRule="auto" w:after="80" w:before="0"/>
        <w:jc w:val="both"/>
      </w:pPr>
      <w:r>
        <w:rPr>
          <w:rFonts w:ascii="Times New Roman" w:hAnsi="Times New Roman"/>
          <w:b/>
          <w:sz w:val="24"/>
        </w:rPr>
        <w:t xml:space="preserve">3. Robust Interquartile Range Standardization: </w:t>
      </w:r>
      <w:r>
        <w:rPr>
          <w:rFonts w:ascii="Times New Roman" w:hAnsi="Times New Roman"/>
          <w:sz w:val="24"/>
        </w:rPr>
        <w:t>Covariate feature columns span radically disparate physical scales (e.g., Elevation ranges from 2m to 450m, while NDVI ranges from -0.1 to 0.8, and Soil Moisture ranges from 0.05 to 0.40 m³/m³). Features were scaled using a Robust Standard Scaler, centering each feature by its median and scaling by the Interquartile Range (IQR = Q3 - Q1), preventing extreme topographic outliers from distorting gradient steps.</w:t>
      </w:r>
    </w:p>
    <w:p>
      <w:pPr>
        <w:pStyle w:val="ListBullet"/>
        <w:spacing w:line="360" w:lineRule="auto" w:after="80" w:before="0"/>
        <w:jc w:val="both"/>
      </w:pPr>
      <w:r>
        <w:rPr>
          <w:rFonts w:ascii="Times New Roman" w:hAnsi="Times New Roman"/>
          <w:b/>
          <w:sz w:val="24"/>
        </w:rPr>
        <w:t xml:space="preserve">4. Geographic Stratified 5-Fold Partitioning: </w:t>
      </w:r>
      <w:r>
        <w:rPr>
          <w:rFonts w:ascii="Times New Roman" w:hAnsi="Times New Roman"/>
          <w:sz w:val="24"/>
        </w:rPr>
        <w:t>To rigorously validate model generalization and avoid spatial overfitting, the dataset was evaluated using 5-Fold Cross-Validation with stratified sampling across mandals, ensuring balanced geographic representation across folds.</w:t>
      </w:r>
    </w:p>
    <w:p>
      <w:pPr>
        <w:spacing w:before="280" w:after="120" w:line="276" w:lineRule="auto"/>
        <w:jc w:val="left"/>
      </w:pPr>
      <w:r>
        <w:rPr>
          <w:rFonts w:ascii="Times New Roman" w:hAnsi="Times New Roman"/>
          <w:b/>
          <w:color w:val="800000"/>
          <w:sz w:val="28"/>
        </w:rPr>
        <w:t>4.4 Hyperparameters and Baseline Configurations</w:t>
      </w:r>
    </w:p>
    <w:p>
      <w:pPr>
        <w:spacing w:line="360" w:lineRule="auto" w:after="120" w:before="0"/>
        <w:jc w:val="both"/>
      </w:pPr>
      <w:r>
        <w:rPr>
          <w:rFonts w:ascii="Times New Roman" w:hAnsi="Times New Roman"/>
          <w:color w:val="222222"/>
          <w:sz w:val="24"/>
        </w:rPr>
        <w:t>Model hyperparameters were optimized using a 5-fold cross-validated grid search across pre-defined parameter spaces. Table 4.4 details the final optimal hyperparameter configurations for all models deployed in the AgriCare benchmarking suite.</w:t>
      </w:r>
    </w:p>
    <w:p>
      <w:pPr>
        <w:spacing w:before="200" w:after="80"/>
        <w:jc w:val="center"/>
      </w:pPr>
      <w:r>
        <w:rPr>
          <w:rFonts w:ascii="Times New Roman" w:hAnsi="Times New Roman"/>
          <w:b/>
          <w:color w:val="1E1E1E"/>
          <w:sz w:val="22"/>
        </w:rPr>
        <w:t>Table 4.4: Model Hyperparameter Tuning Grids and Optimal Configurations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trPr>
        <w:tc>
          <w:tcPr>
            <w:tcW w:type="dxa" w:w="2016"/>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Algorithm</w:t>
            </w:r>
          </w:p>
        </w:tc>
        <w:tc>
          <w:tcPr>
            <w:tcW w:type="dxa" w:w="2016"/>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Hyperparameter Key</w:t>
            </w:r>
          </w:p>
        </w:tc>
        <w:tc>
          <w:tcPr>
            <w:tcW w:type="dxa" w:w="2016"/>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Search Range / Grid</w:t>
            </w:r>
          </w:p>
        </w:tc>
        <w:tc>
          <w:tcPr>
            <w:tcW w:type="dxa" w:w="1440"/>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Optimal Selected Value</w:t>
            </w:r>
          </w:p>
        </w:tc>
        <w:tc>
          <w:tcPr>
            <w:tcW w:type="dxa" w:w="1872"/>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Tuning Rationale</w:t>
            </w:r>
          </w:p>
        </w:tc>
      </w:tr>
      <w:tr>
        <w:tc>
          <w:tcPr>
            <w:tcW w:type="dxa" w:w="2016"/>
            <w:shd w:fill="FFFFFF"/>
            <w:tcMar>
              <w:top w:w="90" w:type="dxa"/>
              <w:left w:w="120" w:type="dxa"/>
              <w:bottom w:w="90" w:type="dxa"/>
              <w:right w:w="120" w:type="dxa"/>
            </w:tcMar>
          </w:tcPr>
          <w:p>
            <w:pPr>
              <w:spacing w:before="0" w:after="0"/>
              <w:jc w:val="left"/>
            </w:pPr>
            <w:r/>
            <w:r>
              <w:rPr>
                <w:rFonts w:ascii="Times New Roman" w:hAnsi="Times New Roman"/>
                <w:color w:val="222222"/>
                <w:sz w:val="20"/>
              </w:rPr>
              <w:t>ExtraTrees Regressor</w:t>
            </w:r>
          </w:p>
        </w:tc>
        <w:tc>
          <w:tcPr>
            <w:tcW w:type="dxa" w:w="2016"/>
            <w:shd w:fill="FFFFFF"/>
            <w:tcMar>
              <w:top w:w="90" w:type="dxa"/>
              <w:left w:w="120" w:type="dxa"/>
              <w:bottom w:w="90" w:type="dxa"/>
              <w:right w:w="120" w:type="dxa"/>
            </w:tcMar>
          </w:tcPr>
          <w:p>
            <w:pPr>
              <w:spacing w:before="0" w:after="0"/>
              <w:jc w:val="left"/>
            </w:pPr>
            <w:r/>
            <w:r>
              <w:rPr>
                <w:rFonts w:ascii="Times New Roman" w:hAnsi="Times New Roman"/>
                <w:color w:val="222222"/>
                <w:sz w:val="20"/>
              </w:rPr>
              <w:t>n_estimators</w:t>
              <w:br/>
              <w:t>max_depth</w:t>
              <w:br/>
              <w:t>min_samples_split</w:t>
              <w:br/>
              <w:t>max_features</w:t>
            </w:r>
          </w:p>
        </w:tc>
        <w:tc>
          <w:tcPr>
            <w:tcW w:type="dxa" w:w="2016"/>
            <w:shd w:fill="FFFFFF"/>
            <w:tcMar>
              <w:top w:w="90" w:type="dxa"/>
              <w:left w:w="120" w:type="dxa"/>
              <w:bottom w:w="90" w:type="dxa"/>
              <w:right w:w="120" w:type="dxa"/>
            </w:tcMar>
          </w:tcPr>
          <w:p>
            <w:pPr>
              <w:spacing w:before="0" w:after="0"/>
              <w:jc w:val="left"/>
            </w:pPr>
            <w:r/>
            <w:r>
              <w:rPr>
                <w:rFonts w:ascii="Times New Roman" w:hAnsi="Times New Roman"/>
                <w:color w:val="222222"/>
                <w:sz w:val="20"/>
              </w:rPr>
              <w:t>100 - 800</w:t>
              <w:br/>
              <w:t>8 - 25</w:t>
              <w:br/>
              <w:t>2 - 10</w:t>
              <w:br/>
              <w:t>['sqrt', 'log2', 0.8]</w:t>
            </w:r>
          </w:p>
        </w:tc>
        <w:tc>
          <w:tcPr>
            <w:tcW w:type="dxa" w:w="1440"/>
            <w:shd w:fill="FFFFFF"/>
            <w:tcMar>
              <w:top w:w="90" w:type="dxa"/>
              <w:left w:w="120" w:type="dxa"/>
              <w:bottom w:w="90" w:type="dxa"/>
              <w:right w:w="120" w:type="dxa"/>
            </w:tcMar>
          </w:tcPr>
          <w:p>
            <w:pPr>
              <w:spacing w:before="0" w:after="0"/>
              <w:jc w:val="center"/>
            </w:pPr>
            <w:r/>
            <w:r>
              <w:rPr>
                <w:rFonts w:ascii="Times New Roman" w:hAnsi="Times New Roman"/>
                <w:color w:val="222222"/>
                <w:sz w:val="20"/>
              </w:rPr>
              <w:t>500</w:t>
              <w:br/>
              <w:t>16</w:t>
              <w:br/>
              <w:t>4</w:t>
              <w:br/>
              <w:t>'sqrt'</w:t>
            </w:r>
          </w:p>
        </w:tc>
        <w:tc>
          <w:tcPr>
            <w:tcW w:type="dxa" w:w="1872"/>
            <w:shd w:fill="FFFFFF"/>
            <w:tcMar>
              <w:top w:w="90" w:type="dxa"/>
              <w:left w:w="120" w:type="dxa"/>
              <w:bottom w:w="90" w:type="dxa"/>
              <w:right w:w="120" w:type="dxa"/>
            </w:tcMar>
          </w:tcPr>
          <w:p>
            <w:pPr>
              <w:spacing w:before="0" w:after="0"/>
              <w:jc w:val="left"/>
            </w:pPr>
            <w:r/>
            <w:r>
              <w:rPr>
                <w:rFonts w:ascii="Times New Roman" w:hAnsi="Times New Roman"/>
                <w:color w:val="222222"/>
                <w:sz w:val="20"/>
              </w:rPr>
              <w:t>Maximizes variance reduction across 47 correlated covariates</w:t>
            </w:r>
          </w:p>
        </w:tc>
      </w:tr>
      <w:tr>
        <w:tc>
          <w:tcPr>
            <w:tcW w:type="dxa" w:w="2016"/>
            <w:shd w:fill="F4F6F9"/>
            <w:tcMar>
              <w:top w:w="90" w:type="dxa"/>
              <w:left w:w="120" w:type="dxa"/>
              <w:bottom w:w="90" w:type="dxa"/>
              <w:right w:w="120" w:type="dxa"/>
            </w:tcMar>
          </w:tcPr>
          <w:p>
            <w:pPr>
              <w:spacing w:before="0" w:after="0"/>
              <w:jc w:val="left"/>
            </w:pPr>
            <w:r/>
            <w:r>
              <w:rPr>
                <w:rFonts w:ascii="Times New Roman" w:hAnsi="Times New Roman"/>
                <w:color w:val="222222"/>
                <w:sz w:val="20"/>
              </w:rPr>
              <w:t>Gradient Boosting</w:t>
            </w:r>
          </w:p>
        </w:tc>
        <w:tc>
          <w:tcPr>
            <w:tcW w:type="dxa" w:w="2016"/>
            <w:shd w:fill="F4F6F9"/>
            <w:tcMar>
              <w:top w:w="90" w:type="dxa"/>
              <w:left w:w="120" w:type="dxa"/>
              <w:bottom w:w="90" w:type="dxa"/>
              <w:right w:w="120" w:type="dxa"/>
            </w:tcMar>
          </w:tcPr>
          <w:p>
            <w:pPr>
              <w:spacing w:before="0" w:after="0"/>
              <w:jc w:val="left"/>
            </w:pPr>
            <w:r/>
            <w:r>
              <w:rPr>
                <w:rFonts w:ascii="Times New Roman" w:hAnsi="Times New Roman"/>
                <w:color w:val="222222"/>
                <w:sz w:val="20"/>
              </w:rPr>
              <w:t>n_estimators</w:t>
              <w:br/>
              <w:t>learning_rate</w:t>
              <w:br/>
              <w:t>max_depth</w:t>
              <w:br/>
              <w:t>subsample</w:t>
            </w:r>
          </w:p>
        </w:tc>
        <w:tc>
          <w:tcPr>
            <w:tcW w:type="dxa" w:w="2016"/>
            <w:shd w:fill="F4F6F9"/>
            <w:tcMar>
              <w:top w:w="90" w:type="dxa"/>
              <w:left w:w="120" w:type="dxa"/>
              <w:bottom w:w="90" w:type="dxa"/>
              <w:right w:w="120" w:type="dxa"/>
            </w:tcMar>
          </w:tcPr>
          <w:p>
            <w:pPr>
              <w:spacing w:before="0" w:after="0"/>
              <w:jc w:val="left"/>
            </w:pPr>
            <w:r/>
            <w:r>
              <w:rPr>
                <w:rFonts w:ascii="Times New Roman" w:hAnsi="Times New Roman"/>
                <w:color w:val="222222"/>
                <w:sz w:val="20"/>
              </w:rPr>
              <w:t>100 - 400</w:t>
              <w:br/>
              <w:t>0.01 - 0.1</w:t>
              <w:br/>
              <w:t>3 - 8</w:t>
              <w:br/>
              <w:t>0.7 - 1.0</w:t>
            </w:r>
          </w:p>
        </w:tc>
        <w:tc>
          <w:tcPr>
            <w:tcW w:type="dxa" w:w="1440"/>
            <w:shd w:fill="F4F6F9"/>
            <w:tcMar>
              <w:top w:w="90" w:type="dxa"/>
              <w:left w:w="120" w:type="dxa"/>
              <w:bottom w:w="90" w:type="dxa"/>
              <w:right w:w="120" w:type="dxa"/>
            </w:tcMar>
          </w:tcPr>
          <w:p>
            <w:pPr>
              <w:spacing w:before="0" w:after="0"/>
              <w:jc w:val="center"/>
            </w:pPr>
            <w:r/>
            <w:r>
              <w:rPr>
                <w:rFonts w:ascii="Times New Roman" w:hAnsi="Times New Roman"/>
                <w:color w:val="222222"/>
                <w:sz w:val="20"/>
              </w:rPr>
              <w:t>250</w:t>
              <w:br/>
              <w:t>0.03</w:t>
              <w:br/>
              <w:t>5</w:t>
              <w:br/>
              <w:t>0.85</w:t>
            </w:r>
          </w:p>
        </w:tc>
        <w:tc>
          <w:tcPr>
            <w:tcW w:type="dxa" w:w="1872"/>
            <w:shd w:fill="F4F6F9"/>
            <w:tcMar>
              <w:top w:w="90" w:type="dxa"/>
              <w:left w:w="120" w:type="dxa"/>
              <w:bottom w:w="90" w:type="dxa"/>
              <w:right w:w="120" w:type="dxa"/>
            </w:tcMar>
          </w:tcPr>
          <w:p>
            <w:pPr>
              <w:spacing w:before="0" w:after="0"/>
              <w:jc w:val="left"/>
            </w:pPr>
            <w:r/>
            <w:r>
              <w:rPr>
                <w:rFonts w:ascii="Times New Roman" w:hAnsi="Times New Roman"/>
                <w:color w:val="222222"/>
                <w:sz w:val="20"/>
              </w:rPr>
              <w:t>Slow learning rate prevents overfitting; subsampling adds stochasticity</w:t>
            </w:r>
          </w:p>
        </w:tc>
      </w:tr>
      <w:tr>
        <w:tc>
          <w:tcPr>
            <w:tcW w:type="dxa" w:w="2016"/>
            <w:shd w:fill="FFFFFF"/>
            <w:tcMar>
              <w:top w:w="90" w:type="dxa"/>
              <w:left w:w="120" w:type="dxa"/>
              <w:bottom w:w="90" w:type="dxa"/>
              <w:right w:w="120" w:type="dxa"/>
            </w:tcMar>
          </w:tcPr>
          <w:p>
            <w:pPr>
              <w:spacing w:before="0" w:after="0"/>
              <w:jc w:val="left"/>
            </w:pPr>
            <w:r/>
            <w:r>
              <w:rPr>
                <w:rFonts w:ascii="Times New Roman" w:hAnsi="Times New Roman"/>
                <w:color w:val="222222"/>
                <w:sz w:val="20"/>
              </w:rPr>
              <w:t>ExtraTrees Classifier</w:t>
            </w:r>
          </w:p>
        </w:tc>
        <w:tc>
          <w:tcPr>
            <w:tcW w:type="dxa" w:w="2016"/>
            <w:shd w:fill="FFFFFF"/>
            <w:tcMar>
              <w:top w:w="90" w:type="dxa"/>
              <w:left w:w="120" w:type="dxa"/>
              <w:bottom w:w="90" w:type="dxa"/>
              <w:right w:w="120" w:type="dxa"/>
            </w:tcMar>
          </w:tcPr>
          <w:p>
            <w:pPr>
              <w:spacing w:before="0" w:after="0"/>
              <w:jc w:val="left"/>
            </w:pPr>
            <w:r/>
            <w:r>
              <w:rPr>
                <w:rFonts w:ascii="Times New Roman" w:hAnsi="Times New Roman"/>
                <w:color w:val="222222"/>
                <w:sz w:val="20"/>
              </w:rPr>
              <w:t>n_estimators</w:t>
              <w:br/>
              <w:t>max_depth</w:t>
              <w:br/>
              <w:t>criterion</w:t>
              <w:br/>
              <w:t>class_weight</w:t>
            </w:r>
          </w:p>
        </w:tc>
        <w:tc>
          <w:tcPr>
            <w:tcW w:type="dxa" w:w="2016"/>
            <w:shd w:fill="FFFFFF"/>
            <w:tcMar>
              <w:top w:w="90" w:type="dxa"/>
              <w:left w:w="120" w:type="dxa"/>
              <w:bottom w:w="90" w:type="dxa"/>
              <w:right w:w="120" w:type="dxa"/>
            </w:tcMar>
          </w:tcPr>
          <w:p>
            <w:pPr>
              <w:spacing w:before="0" w:after="0"/>
              <w:jc w:val="left"/>
            </w:pPr>
            <w:r/>
            <w:r>
              <w:rPr>
                <w:rFonts w:ascii="Times New Roman" w:hAnsi="Times New Roman"/>
                <w:color w:val="222222"/>
                <w:sz w:val="20"/>
              </w:rPr>
              <w:t>200 - 600</w:t>
              <w:br/>
              <w:t>8 - 20</w:t>
              <w:br/>
              <w:t>['gini', 'entropy']</w:t>
              <w:br/>
              <w:t>['balanced', None]</w:t>
            </w:r>
          </w:p>
        </w:tc>
        <w:tc>
          <w:tcPr>
            <w:tcW w:type="dxa" w:w="1440"/>
            <w:shd w:fill="FFFFFF"/>
            <w:tcMar>
              <w:top w:w="90" w:type="dxa"/>
              <w:left w:w="120" w:type="dxa"/>
              <w:bottom w:w="90" w:type="dxa"/>
              <w:right w:w="120" w:type="dxa"/>
            </w:tcMar>
          </w:tcPr>
          <w:p>
            <w:pPr>
              <w:spacing w:before="0" w:after="0"/>
              <w:jc w:val="left"/>
            </w:pPr>
            <w:r/>
            <w:r>
              <w:rPr>
                <w:rFonts w:ascii="Times New Roman" w:hAnsi="Times New Roman"/>
                <w:color w:val="222222"/>
                <w:sz w:val="20"/>
              </w:rPr>
              <w:t>450</w:t>
              <w:br/>
              <w:t>14</w:t>
              <w:br/>
              <w:t>'gini'</w:t>
              <w:br/>
              <w:t>'balanced'</w:t>
            </w:r>
          </w:p>
        </w:tc>
        <w:tc>
          <w:tcPr>
            <w:tcW w:type="dxa" w:w="1872"/>
            <w:shd w:fill="FFFFFF"/>
            <w:tcMar>
              <w:top w:w="90" w:type="dxa"/>
              <w:left w:w="120" w:type="dxa"/>
              <w:bottom w:w="90" w:type="dxa"/>
              <w:right w:w="120" w:type="dxa"/>
            </w:tcMar>
          </w:tcPr>
          <w:p>
            <w:pPr>
              <w:spacing w:before="0" w:after="0"/>
              <w:jc w:val="left"/>
            </w:pPr>
            <w:r/>
            <w:r>
              <w:rPr>
                <w:rFonts w:ascii="Times New Roman" w:hAnsi="Times New Roman"/>
                <w:color w:val="222222"/>
                <w:sz w:val="20"/>
              </w:rPr>
              <w:t>Balanced weights counteract minority high-fertility sample scarcity</w:t>
            </w:r>
          </w:p>
        </w:tc>
      </w:tr>
      <w:tr>
        <w:tc>
          <w:tcPr>
            <w:tcW w:type="dxa" w:w="2016"/>
            <w:shd w:fill="F4F6F9"/>
            <w:tcMar>
              <w:top w:w="90" w:type="dxa"/>
              <w:left w:w="120" w:type="dxa"/>
              <w:bottom w:w="90" w:type="dxa"/>
              <w:right w:w="120" w:type="dxa"/>
            </w:tcMar>
          </w:tcPr>
          <w:p>
            <w:pPr>
              <w:spacing w:before="0" w:after="0"/>
              <w:jc w:val="left"/>
            </w:pPr>
            <w:r/>
            <w:r>
              <w:rPr>
                <w:rFonts w:ascii="Times New Roman" w:hAnsi="Times New Roman"/>
                <w:color w:val="222222"/>
                <w:sz w:val="20"/>
              </w:rPr>
              <w:t>Random Forest Baseline</w:t>
            </w:r>
          </w:p>
        </w:tc>
        <w:tc>
          <w:tcPr>
            <w:tcW w:type="dxa" w:w="2016"/>
            <w:shd w:fill="F4F6F9"/>
            <w:tcMar>
              <w:top w:w="90" w:type="dxa"/>
              <w:left w:w="120" w:type="dxa"/>
              <w:bottom w:w="90" w:type="dxa"/>
              <w:right w:w="120" w:type="dxa"/>
            </w:tcMar>
          </w:tcPr>
          <w:p>
            <w:pPr>
              <w:spacing w:before="0" w:after="0"/>
              <w:jc w:val="left"/>
            </w:pPr>
            <w:r/>
            <w:r>
              <w:rPr>
                <w:rFonts w:ascii="Times New Roman" w:hAnsi="Times New Roman"/>
                <w:color w:val="222222"/>
                <w:sz w:val="20"/>
              </w:rPr>
              <w:t>n_estimators</w:t>
              <w:br/>
              <w:t>max_depth</w:t>
              <w:br/>
              <w:t>min_samples_leaf</w:t>
            </w:r>
          </w:p>
        </w:tc>
        <w:tc>
          <w:tcPr>
            <w:tcW w:type="dxa" w:w="2016"/>
            <w:shd w:fill="F4F6F9"/>
            <w:tcMar>
              <w:top w:w="90" w:type="dxa"/>
              <w:left w:w="120" w:type="dxa"/>
              <w:bottom w:w="90" w:type="dxa"/>
              <w:right w:w="120" w:type="dxa"/>
            </w:tcMar>
          </w:tcPr>
          <w:p>
            <w:pPr>
              <w:spacing w:before="0" w:after="0"/>
              <w:jc w:val="left"/>
            </w:pPr>
            <w:r/>
            <w:r>
              <w:rPr>
                <w:rFonts w:ascii="Times New Roman" w:hAnsi="Times New Roman"/>
                <w:color w:val="222222"/>
                <w:sz w:val="20"/>
              </w:rPr>
              <w:t>100 - 500</w:t>
              <w:br/>
              <w:t>10 - 25</w:t>
              <w:br/>
              <w:t>1 - 5</w:t>
            </w:r>
          </w:p>
        </w:tc>
        <w:tc>
          <w:tcPr>
            <w:tcW w:type="dxa" w:w="1440"/>
            <w:shd w:fill="F4F6F9"/>
            <w:tcMar>
              <w:top w:w="90" w:type="dxa"/>
              <w:left w:w="120" w:type="dxa"/>
              <w:bottom w:w="90" w:type="dxa"/>
              <w:right w:w="120" w:type="dxa"/>
            </w:tcMar>
          </w:tcPr>
          <w:p>
            <w:pPr>
              <w:spacing w:before="0" w:after="0"/>
              <w:jc w:val="center"/>
            </w:pPr>
            <w:r/>
            <w:r>
              <w:rPr>
                <w:rFonts w:ascii="Times New Roman" w:hAnsi="Times New Roman"/>
                <w:color w:val="222222"/>
                <w:sz w:val="20"/>
              </w:rPr>
              <w:t>300</w:t>
              <w:br/>
              <w:t>15</w:t>
              <w:br/>
              <w:t>2</w:t>
            </w:r>
          </w:p>
        </w:tc>
        <w:tc>
          <w:tcPr>
            <w:tcW w:type="dxa" w:w="1872"/>
            <w:shd w:fill="F4F6F9"/>
            <w:tcMar>
              <w:top w:w="90" w:type="dxa"/>
              <w:left w:w="120" w:type="dxa"/>
              <w:bottom w:w="90" w:type="dxa"/>
              <w:right w:w="120" w:type="dxa"/>
            </w:tcMar>
          </w:tcPr>
          <w:p>
            <w:pPr>
              <w:spacing w:before="0" w:after="0"/>
              <w:jc w:val="left"/>
            </w:pPr>
            <w:r/>
            <w:r>
              <w:rPr>
                <w:rFonts w:ascii="Times New Roman" w:hAnsi="Times New Roman"/>
                <w:color w:val="222222"/>
                <w:sz w:val="20"/>
              </w:rPr>
              <w:t>Standard bagging baseline for comparative benchmarking</w:t>
            </w:r>
          </w:p>
        </w:tc>
      </w:tr>
      <w:tr>
        <w:tc>
          <w:tcPr>
            <w:tcW w:type="dxa" w:w="2016"/>
            <w:shd w:fill="FFFFFF"/>
            <w:tcMar>
              <w:top w:w="90" w:type="dxa"/>
              <w:left w:w="120" w:type="dxa"/>
              <w:bottom w:w="90" w:type="dxa"/>
              <w:right w:w="120" w:type="dxa"/>
            </w:tcMar>
          </w:tcPr>
          <w:p>
            <w:pPr>
              <w:spacing w:before="0" w:after="0"/>
              <w:jc w:val="left"/>
            </w:pPr>
            <w:r/>
            <w:r>
              <w:rPr>
                <w:rFonts w:ascii="Times New Roman" w:hAnsi="Times New Roman"/>
                <w:color w:val="222222"/>
                <w:sz w:val="20"/>
              </w:rPr>
              <w:t>Partial Least Squares (PLSR)</w:t>
            </w:r>
          </w:p>
        </w:tc>
        <w:tc>
          <w:tcPr>
            <w:tcW w:type="dxa" w:w="2016"/>
            <w:shd w:fill="FFFFFF"/>
            <w:tcMar>
              <w:top w:w="90" w:type="dxa"/>
              <w:left w:w="120" w:type="dxa"/>
              <w:bottom w:w="90" w:type="dxa"/>
              <w:right w:w="120" w:type="dxa"/>
            </w:tcMar>
          </w:tcPr>
          <w:p>
            <w:pPr>
              <w:spacing w:before="0" w:after="0"/>
              <w:jc w:val="center"/>
            </w:pPr>
            <w:r/>
            <w:r>
              <w:rPr>
                <w:rFonts w:ascii="Times New Roman" w:hAnsi="Times New Roman"/>
                <w:color w:val="222222"/>
                <w:sz w:val="20"/>
              </w:rPr>
              <w:t>n_components</w:t>
            </w:r>
          </w:p>
        </w:tc>
        <w:tc>
          <w:tcPr>
            <w:tcW w:type="dxa" w:w="2016"/>
            <w:shd w:fill="FFFFFF"/>
            <w:tcMar>
              <w:top w:w="90" w:type="dxa"/>
              <w:left w:w="120" w:type="dxa"/>
              <w:bottom w:w="90" w:type="dxa"/>
              <w:right w:w="120" w:type="dxa"/>
            </w:tcMar>
          </w:tcPr>
          <w:p>
            <w:pPr>
              <w:spacing w:before="0" w:after="0"/>
              <w:jc w:val="center"/>
            </w:pPr>
            <w:r/>
            <w:r>
              <w:rPr>
                <w:rFonts w:ascii="Times New Roman" w:hAnsi="Times New Roman"/>
                <w:color w:val="222222"/>
                <w:sz w:val="20"/>
              </w:rPr>
              <w:t>2 - 25</w:t>
            </w:r>
          </w:p>
        </w:tc>
        <w:tc>
          <w:tcPr>
            <w:tcW w:type="dxa" w:w="1440"/>
            <w:shd w:fill="FFFFFF"/>
            <w:tcMar>
              <w:top w:w="90" w:type="dxa"/>
              <w:left w:w="120" w:type="dxa"/>
              <w:bottom w:w="90" w:type="dxa"/>
              <w:right w:w="120" w:type="dxa"/>
            </w:tcMar>
          </w:tcPr>
          <w:p>
            <w:pPr>
              <w:spacing w:before="0" w:after="0"/>
              <w:jc w:val="center"/>
            </w:pPr>
            <w:r/>
            <w:r>
              <w:rPr>
                <w:rFonts w:ascii="Times New Roman" w:hAnsi="Times New Roman"/>
                <w:color w:val="222222"/>
                <w:sz w:val="20"/>
              </w:rPr>
              <w:t>10</w:t>
            </w:r>
          </w:p>
        </w:tc>
        <w:tc>
          <w:tcPr>
            <w:tcW w:type="dxa" w:w="1872"/>
            <w:shd w:fill="FFFFFF"/>
            <w:tcMar>
              <w:top w:w="90" w:type="dxa"/>
              <w:left w:w="120" w:type="dxa"/>
              <w:bottom w:w="90" w:type="dxa"/>
              <w:right w:w="120" w:type="dxa"/>
            </w:tcMar>
          </w:tcPr>
          <w:p>
            <w:pPr>
              <w:spacing w:before="0" w:after="0"/>
              <w:jc w:val="left"/>
            </w:pPr>
            <w:r/>
            <w:r>
              <w:rPr>
                <w:rFonts w:ascii="Times New Roman" w:hAnsi="Times New Roman"/>
                <w:color w:val="222222"/>
                <w:sz w:val="20"/>
              </w:rPr>
              <w:t>Baseline linear chemometric latent variable dimension</w:t>
            </w:r>
          </w:p>
        </w:tc>
      </w:tr>
      <w:tr>
        <w:tc>
          <w:tcPr>
            <w:tcW w:type="dxa" w:w="2016"/>
            <w:shd w:fill="F4F6F9"/>
            <w:tcMar>
              <w:top w:w="90" w:type="dxa"/>
              <w:left w:w="120" w:type="dxa"/>
              <w:bottom w:w="90" w:type="dxa"/>
              <w:right w:w="120" w:type="dxa"/>
            </w:tcMar>
          </w:tcPr>
          <w:p>
            <w:pPr>
              <w:spacing w:before="0" w:after="0"/>
              <w:jc w:val="left"/>
            </w:pPr>
            <w:r/>
            <w:r>
              <w:rPr>
                <w:rFonts w:ascii="Times New Roman" w:hAnsi="Times New Roman"/>
                <w:color w:val="222222"/>
                <w:sz w:val="20"/>
              </w:rPr>
              <w:t>Ridge Regression</w:t>
            </w:r>
          </w:p>
        </w:tc>
        <w:tc>
          <w:tcPr>
            <w:tcW w:type="dxa" w:w="2016"/>
            <w:shd w:fill="F4F6F9"/>
            <w:tcMar>
              <w:top w:w="90" w:type="dxa"/>
              <w:left w:w="120" w:type="dxa"/>
              <w:bottom w:w="90" w:type="dxa"/>
              <w:right w:w="120" w:type="dxa"/>
            </w:tcMar>
          </w:tcPr>
          <w:p>
            <w:pPr>
              <w:spacing w:before="0" w:after="0"/>
              <w:jc w:val="left"/>
            </w:pPr>
            <w:r/>
            <w:r>
              <w:rPr>
                <w:rFonts w:ascii="Times New Roman" w:hAnsi="Times New Roman"/>
                <w:color w:val="222222"/>
                <w:sz w:val="20"/>
              </w:rPr>
              <w:t>alpha (L2 Regularization)</w:t>
            </w:r>
          </w:p>
        </w:tc>
        <w:tc>
          <w:tcPr>
            <w:tcW w:type="dxa" w:w="2016"/>
            <w:shd w:fill="F4F6F9"/>
            <w:tcMar>
              <w:top w:w="90" w:type="dxa"/>
              <w:left w:w="120" w:type="dxa"/>
              <w:bottom w:w="90" w:type="dxa"/>
              <w:right w:w="120" w:type="dxa"/>
            </w:tcMar>
          </w:tcPr>
          <w:p>
            <w:pPr>
              <w:spacing w:before="0" w:after="0"/>
              <w:jc w:val="center"/>
            </w:pPr>
            <w:r/>
            <w:r>
              <w:rPr>
                <w:rFonts w:ascii="Times New Roman" w:hAnsi="Times New Roman"/>
                <w:color w:val="222222"/>
                <w:sz w:val="20"/>
              </w:rPr>
              <w:t>0.01 - 100.0</w:t>
            </w:r>
          </w:p>
        </w:tc>
        <w:tc>
          <w:tcPr>
            <w:tcW w:type="dxa" w:w="1440"/>
            <w:shd w:fill="F4F6F9"/>
            <w:tcMar>
              <w:top w:w="90" w:type="dxa"/>
              <w:left w:w="120" w:type="dxa"/>
              <w:bottom w:w="90" w:type="dxa"/>
              <w:right w:w="120" w:type="dxa"/>
            </w:tcMar>
          </w:tcPr>
          <w:p>
            <w:pPr>
              <w:spacing w:before="0" w:after="0"/>
              <w:jc w:val="center"/>
            </w:pPr>
            <w:r/>
            <w:r>
              <w:rPr>
                <w:rFonts w:ascii="Times New Roman" w:hAnsi="Times New Roman"/>
                <w:color w:val="222222"/>
                <w:sz w:val="20"/>
              </w:rPr>
              <w:t>10.0</w:t>
            </w:r>
          </w:p>
        </w:tc>
        <w:tc>
          <w:tcPr>
            <w:tcW w:type="dxa" w:w="1872"/>
            <w:shd w:fill="F4F6F9"/>
            <w:tcMar>
              <w:top w:w="90" w:type="dxa"/>
              <w:left w:w="120" w:type="dxa"/>
              <w:bottom w:w="90" w:type="dxa"/>
              <w:right w:w="120" w:type="dxa"/>
            </w:tcMar>
          </w:tcPr>
          <w:p>
            <w:pPr>
              <w:spacing w:before="0" w:after="0"/>
              <w:jc w:val="left"/>
            </w:pPr>
            <w:r/>
            <w:r>
              <w:rPr>
                <w:rFonts w:ascii="Times New Roman" w:hAnsi="Times New Roman"/>
                <w:color w:val="222222"/>
                <w:sz w:val="20"/>
              </w:rPr>
              <w:t>Baseline penalized linear model with L2 shrinkage</w:t>
            </w:r>
          </w:p>
        </w:tc>
      </w:tr>
      <w:tr>
        <w:tc>
          <w:tcPr>
            <w:tcW w:type="dxa" w:w="2016"/>
            <w:shd w:fill="FFFFFF"/>
            <w:tcMar>
              <w:top w:w="90" w:type="dxa"/>
              <w:left w:w="120" w:type="dxa"/>
              <w:bottom w:w="90" w:type="dxa"/>
              <w:right w:w="120" w:type="dxa"/>
            </w:tcMar>
          </w:tcPr>
          <w:p>
            <w:pPr>
              <w:spacing w:before="0" w:after="0"/>
              <w:jc w:val="left"/>
            </w:pPr>
            <w:r/>
            <w:r>
              <w:rPr>
                <w:rFonts w:ascii="Times New Roman" w:hAnsi="Times New Roman"/>
                <w:color w:val="222222"/>
                <w:sz w:val="20"/>
              </w:rPr>
              <w:t>ElasticNet Baseline</w:t>
            </w:r>
          </w:p>
        </w:tc>
        <w:tc>
          <w:tcPr>
            <w:tcW w:type="dxa" w:w="2016"/>
            <w:shd w:fill="FFFFFF"/>
            <w:tcMar>
              <w:top w:w="90" w:type="dxa"/>
              <w:left w:w="120" w:type="dxa"/>
              <w:bottom w:w="90" w:type="dxa"/>
              <w:right w:w="120" w:type="dxa"/>
            </w:tcMar>
          </w:tcPr>
          <w:p>
            <w:pPr>
              <w:spacing w:before="0" w:after="0"/>
              <w:jc w:val="center"/>
            </w:pPr>
            <w:r/>
            <w:r>
              <w:rPr>
                <w:rFonts w:ascii="Times New Roman" w:hAnsi="Times New Roman"/>
                <w:color w:val="222222"/>
                <w:sz w:val="20"/>
              </w:rPr>
              <w:t>alpha</w:t>
              <w:br/>
              <w:t>l1_ratio</w:t>
            </w:r>
          </w:p>
        </w:tc>
        <w:tc>
          <w:tcPr>
            <w:tcW w:type="dxa" w:w="2016"/>
            <w:shd w:fill="FFFFFF"/>
            <w:tcMar>
              <w:top w:w="90" w:type="dxa"/>
              <w:left w:w="120" w:type="dxa"/>
              <w:bottom w:w="90" w:type="dxa"/>
              <w:right w:w="120" w:type="dxa"/>
            </w:tcMar>
          </w:tcPr>
          <w:p>
            <w:pPr>
              <w:spacing w:before="0" w:after="0"/>
              <w:jc w:val="left"/>
            </w:pPr>
            <w:r/>
            <w:r>
              <w:rPr>
                <w:rFonts w:ascii="Times New Roman" w:hAnsi="Times New Roman"/>
                <w:color w:val="222222"/>
                <w:sz w:val="20"/>
              </w:rPr>
              <w:t>0.01 - 10.0</w:t>
              <w:br/>
              <w:t>0.1 - 0.9</w:t>
            </w:r>
          </w:p>
        </w:tc>
        <w:tc>
          <w:tcPr>
            <w:tcW w:type="dxa" w:w="1440"/>
            <w:shd w:fill="FFFFFF"/>
            <w:tcMar>
              <w:top w:w="90" w:type="dxa"/>
              <w:left w:w="120" w:type="dxa"/>
              <w:bottom w:w="90" w:type="dxa"/>
              <w:right w:w="120" w:type="dxa"/>
            </w:tcMar>
          </w:tcPr>
          <w:p>
            <w:pPr>
              <w:spacing w:before="0" w:after="0"/>
              <w:jc w:val="center"/>
            </w:pPr>
            <w:r/>
            <w:r>
              <w:rPr>
                <w:rFonts w:ascii="Times New Roman" w:hAnsi="Times New Roman"/>
                <w:color w:val="222222"/>
                <w:sz w:val="20"/>
              </w:rPr>
              <w:t>0.10</w:t>
              <w:br/>
              <w:t>0.50</w:t>
            </w:r>
          </w:p>
        </w:tc>
        <w:tc>
          <w:tcPr>
            <w:tcW w:type="dxa" w:w="1872"/>
            <w:shd w:fill="FFFFFF"/>
            <w:tcMar>
              <w:top w:w="90" w:type="dxa"/>
              <w:left w:w="120" w:type="dxa"/>
              <w:bottom w:w="90" w:type="dxa"/>
              <w:right w:w="120" w:type="dxa"/>
            </w:tcMar>
          </w:tcPr>
          <w:p>
            <w:pPr>
              <w:spacing w:before="0" w:after="0"/>
              <w:jc w:val="left"/>
            </w:pPr>
            <w:r/>
            <w:r>
              <w:rPr>
                <w:rFonts w:ascii="Times New Roman" w:hAnsi="Times New Roman"/>
                <w:color w:val="222222"/>
                <w:sz w:val="20"/>
              </w:rPr>
              <w:t>Baseline regularized linear model balancing L1 and L2</w:t>
            </w:r>
          </w:p>
        </w:tc>
      </w:tr>
    </w:tbl>
    <w:p>
      <w:pPr>
        <w:spacing w:before="0" w:after="160"/>
      </w:pPr>
    </w:p>
    <w:p>
      <w:pPr>
        <w:spacing w:before="280" w:after="120" w:line="276" w:lineRule="auto"/>
        <w:jc w:val="left"/>
      </w:pPr>
      <w:r>
        <w:rPr>
          <w:rFonts w:ascii="Times New Roman" w:hAnsi="Times New Roman"/>
          <w:b/>
          <w:color w:val="800000"/>
          <w:sz w:val="28"/>
        </w:rPr>
        <w:t>4.5 Section Summary</w:t>
      </w:r>
    </w:p>
    <w:p>
      <w:pPr>
        <w:spacing w:line="360" w:lineRule="auto" w:after="120" w:before="0"/>
        <w:jc w:val="both"/>
      </w:pPr>
      <w:r>
        <w:rPr>
          <w:rFonts w:ascii="Times New Roman" w:hAnsi="Times New Roman"/>
          <w:color w:val="222222"/>
          <w:sz w:val="24"/>
        </w:rPr>
        <w:t>Chapter 4 has detailed the complete experimental setup governing the investigation. Computing specifications spanning local workstations, Google Earth Engine cloud clusters, and edge mobile runtimes were documented. The complete software stack was tabulated. Ground-truth dataset distributions across 909 sampling locations were analyzed, and mathematical preprocessing pipelines (median imputation, log1p transformation, robust scaling) were established. Finally, the hyperparameter tuning grids and optimal configurations for all ensemble and baseline models were recorded. Chapter 5 presents the empirical results, evaluation metrics, comparative benchmarks, ablation studies, and SHAP interpretability findings.</w:t>
      </w:r>
    </w:p>
    <w:p>
      <w:r>
        <w:br w:type="page"/>
      </w:r>
    </w:p>
    <w:p>
      <w:pPr>
        <w:spacing w:before="360" w:after="200" w:line="276" w:lineRule="auto"/>
        <w:jc w:val="left"/>
      </w:pPr>
      <w:r>
        <w:rPr>
          <w:rFonts w:ascii="Times New Roman" w:hAnsi="Times New Roman"/>
          <w:b/>
          <w:color w:val="1B365D"/>
          <w:sz w:val="32"/>
        </w:rPr>
        <w:t>CHAPTER 5: RESULTS AND DISCUSSION</w:t>
      </w:r>
    </w:p>
    <w:p>
      <w:pPr>
        <w:spacing w:before="280" w:after="120" w:line="276" w:lineRule="auto"/>
        <w:jc w:val="left"/>
      </w:pPr>
      <w:r>
        <w:rPr>
          <w:rFonts w:ascii="Times New Roman" w:hAnsi="Times New Roman"/>
          <w:b/>
          <w:color w:val="800000"/>
          <w:sz w:val="28"/>
        </w:rPr>
        <w:t>5.1 Performance Analysis and Evaluation Metrics</w:t>
      </w:r>
    </w:p>
    <w:p>
      <w:pPr>
        <w:spacing w:line="360" w:lineRule="auto" w:after="120" w:before="0"/>
        <w:jc w:val="both"/>
      </w:pPr>
      <w:r>
        <w:rPr>
          <w:rFonts w:ascii="Times New Roman" w:hAnsi="Times New Roman"/>
          <w:color w:val="222222"/>
          <w:sz w:val="24"/>
        </w:rPr>
        <w:t>To provide a comprehensive, multidimensional assessment of model precision, generalization reliability, and statutory agricultural utility, nine quantitative evaluation metrics were computed across 5-fold cross-validation iterations. These metrics span statistical goodness-of-fit, residual error magnitudes, correlational linearity, chemometric reliability ratios, and agricultural decision compliance.</w:t>
      </w:r>
    </w:p>
    <w:p>
      <w:pPr>
        <w:spacing w:line="360" w:lineRule="auto" w:after="120" w:before="0"/>
        <w:jc w:val="both"/>
      </w:pPr>
      <w:r>
        <w:rPr>
          <w:rFonts w:ascii="Times New Roman" w:hAnsi="Times New Roman"/>
          <w:color w:val="222222"/>
          <w:sz w:val="24"/>
        </w:rPr>
        <w:t>The mathematical formulations for the evaluation metrics are defined as follows:</w:t>
      </w:r>
    </w:p>
    <w:p>
      <w:pPr>
        <w:spacing w:before="160" w:after="160" w:line="312" w:lineRule="auto"/>
        <w:jc w:val="center"/>
      </w:pPr>
      <w:r>
        <w:rPr>
          <w:rFonts w:ascii="Times New Roman" w:hAnsi="Times New Roman"/>
          <w:b/>
          <w:i/>
          <w:sz w:val="24"/>
        </w:rPr>
        <w:t>R^2 = 1 - [ Sum_{i=1}^n (y_i - y_hat_i)^2 ] / [ Sum_{i=1}^n (y_i - y_bar)^2 ]</w:t>
      </w:r>
      <w:r>
        <w:rPr>
          <w:rFonts w:ascii="Times New Roman" w:hAnsi="Times New Roman"/>
          <w:b w:val="0"/>
          <w:i w:val="0"/>
          <w:sz w:val="22"/>
        </w:rPr>
        <w:t xml:space="preserve">    ... (5.1)</w:t>
      </w:r>
    </w:p>
    <w:p>
      <w:pPr>
        <w:spacing w:before="160" w:after="160" w:line="312" w:lineRule="auto"/>
        <w:jc w:val="center"/>
      </w:pPr>
      <w:r>
        <w:rPr>
          <w:rFonts w:ascii="Times New Roman" w:hAnsi="Times New Roman"/>
          <w:b/>
          <w:i/>
          <w:sz w:val="24"/>
        </w:rPr>
        <w:t>RMSE = sqrt( (1 / n) * Sum_{i=1}^n (y_i - y_hat_i)^2 )</w:t>
      </w:r>
      <w:r>
        <w:rPr>
          <w:rFonts w:ascii="Times New Roman" w:hAnsi="Times New Roman"/>
          <w:b w:val="0"/>
          <w:i w:val="0"/>
          <w:sz w:val="22"/>
        </w:rPr>
        <w:t xml:space="preserve">    ... (5.2)</w:t>
      </w:r>
    </w:p>
    <w:p>
      <w:pPr>
        <w:spacing w:before="160" w:after="160" w:line="312" w:lineRule="auto"/>
        <w:jc w:val="center"/>
      </w:pPr>
      <w:r>
        <w:rPr>
          <w:rFonts w:ascii="Times New Roman" w:hAnsi="Times New Roman"/>
          <w:b/>
          <w:i/>
          <w:sz w:val="24"/>
        </w:rPr>
        <w:t>MAE = (1 / n) * Sum_{i=1}^n |y_i - y_hat_i|</w:t>
      </w:r>
      <w:r>
        <w:rPr>
          <w:rFonts w:ascii="Times New Roman" w:hAnsi="Times New Roman"/>
          <w:b w:val="0"/>
          <w:i w:val="0"/>
          <w:sz w:val="22"/>
        </w:rPr>
        <w:t xml:space="preserve">    ... (5.3)</w:t>
      </w:r>
    </w:p>
    <w:p>
      <w:pPr>
        <w:spacing w:before="160" w:after="160" w:line="312" w:lineRule="auto"/>
        <w:jc w:val="center"/>
      </w:pPr>
      <w:r>
        <w:rPr>
          <w:rFonts w:ascii="Times New Roman" w:hAnsi="Times New Roman"/>
          <w:b/>
          <w:i/>
          <w:sz w:val="24"/>
        </w:rPr>
        <w:t>Pearson_r = [ Sum (y_i - y_bar)(y_hat_i - y_hat_bar) ] / [ sqrt( Sum (y_i - y_bar)^2 ) * sqrt( Sum (y_hat_i - y_hat_bar)^2 ) ]</w:t>
      </w:r>
      <w:r>
        <w:rPr>
          <w:rFonts w:ascii="Times New Roman" w:hAnsi="Times New Roman"/>
          <w:b w:val="0"/>
          <w:i w:val="0"/>
          <w:sz w:val="22"/>
        </w:rPr>
        <w:t xml:space="preserve">    ... (5.4)</w:t>
      </w:r>
    </w:p>
    <w:p>
      <w:pPr>
        <w:spacing w:before="160" w:after="160" w:line="312" w:lineRule="auto"/>
        <w:jc w:val="center"/>
      </w:pPr>
      <w:r>
        <w:rPr>
          <w:rFonts w:ascii="Times New Roman" w:hAnsi="Times New Roman"/>
          <w:b/>
          <w:i/>
          <w:sz w:val="24"/>
        </w:rPr>
        <w:t>NRMSE = RMSE / ( y_{max} - y_{min} )</w:t>
      </w:r>
      <w:r>
        <w:rPr>
          <w:rFonts w:ascii="Times New Roman" w:hAnsi="Times New Roman"/>
          <w:b w:val="0"/>
          <w:i w:val="0"/>
          <w:sz w:val="22"/>
        </w:rPr>
        <w:t xml:space="preserve">    ... (5.5)</w:t>
      </w:r>
    </w:p>
    <w:p>
      <w:pPr>
        <w:spacing w:before="160" w:after="160" w:line="312" w:lineRule="auto"/>
        <w:jc w:val="center"/>
      </w:pPr>
      <w:r>
        <w:rPr>
          <w:rFonts w:ascii="Times New Roman" w:hAnsi="Times New Roman"/>
          <w:b/>
          <w:i/>
          <w:sz w:val="24"/>
        </w:rPr>
        <w:t>Normalized_Accuracy (%) = ( 1 - NRMSE ) * 100</w:t>
      </w:r>
      <w:r>
        <w:rPr>
          <w:rFonts w:ascii="Times New Roman" w:hAnsi="Times New Roman"/>
          <w:b w:val="0"/>
          <w:i w:val="0"/>
          <w:sz w:val="22"/>
        </w:rPr>
        <w:t xml:space="preserve">    ... (5.6)</w:t>
      </w:r>
    </w:p>
    <w:p>
      <w:pPr>
        <w:spacing w:before="160" w:after="160" w:line="312" w:lineRule="auto"/>
        <w:jc w:val="center"/>
      </w:pPr>
      <w:r>
        <w:rPr>
          <w:rFonts w:ascii="Times New Roman" w:hAnsi="Times New Roman"/>
          <w:b/>
          <w:i/>
          <w:sz w:val="24"/>
        </w:rPr>
        <w:t>RPD = SD_{true} / RMSE</w:t>
      </w:r>
      <w:r>
        <w:rPr>
          <w:rFonts w:ascii="Times New Roman" w:hAnsi="Times New Roman"/>
          <w:b w:val="0"/>
          <w:i w:val="0"/>
          <w:sz w:val="22"/>
        </w:rPr>
        <w:t xml:space="preserve">    ... (5.7)</w:t>
      </w:r>
    </w:p>
    <w:p>
      <w:pPr>
        <w:spacing w:before="160" w:after="160" w:line="312" w:lineRule="auto"/>
        <w:jc w:val="center"/>
      </w:pPr>
      <w:r>
        <w:rPr>
          <w:rFonts w:ascii="Times New Roman" w:hAnsi="Times New Roman"/>
          <w:b/>
          <w:i/>
          <w:sz w:val="24"/>
        </w:rPr>
        <w:t>ICAR_Class_Accuracy (%) = ( N_{correct_class} / N_{total} ) * 100</w:t>
      </w:r>
      <w:r>
        <w:rPr>
          <w:rFonts w:ascii="Times New Roman" w:hAnsi="Times New Roman"/>
          <w:b w:val="0"/>
          <w:i w:val="0"/>
          <w:sz w:val="22"/>
        </w:rPr>
        <w:t xml:space="preserve">    ... (5.8)</w:t>
      </w:r>
    </w:p>
    <w:p>
      <w:pPr>
        <w:spacing w:before="160" w:after="160" w:line="312" w:lineRule="auto"/>
        <w:jc w:val="center"/>
      </w:pPr>
      <w:r>
        <w:rPr>
          <w:rFonts w:ascii="Times New Roman" w:hAnsi="Times New Roman"/>
          <w:b/>
          <w:i/>
          <w:sz w:val="24"/>
        </w:rPr>
        <w:t>Safe_Tier_Agreement (%) = [ ( N_{exact_class} + N_{adjacent_class} ) / N_{total} ] * 100</w:t>
      </w:r>
      <w:r>
        <w:rPr>
          <w:rFonts w:ascii="Times New Roman" w:hAnsi="Times New Roman"/>
          <w:b w:val="0"/>
          <w:i w:val="0"/>
          <w:sz w:val="22"/>
        </w:rPr>
        <w:t xml:space="preserve">    ... (5.9)</w:t>
      </w:r>
    </w:p>
    <w:p>
      <w:pPr>
        <w:spacing w:line="360" w:lineRule="auto" w:after="120" w:before="0"/>
        <w:jc w:val="both"/>
      </w:pPr>
      <w:r>
        <w:rPr>
          <w:rFonts w:ascii="Times New Roman" w:hAnsi="Times New Roman"/>
          <w:color w:val="222222"/>
          <w:sz w:val="24"/>
        </w:rPr>
        <w:t>Residual Prediction Deviation (RPD) is the standard chemometric benchmark: RPD &lt; 1.0 indicates very poor prediction; RPD between 1.0 and 1.4 indicates fair prediction capable of distinguishing high and low values; RPD between 1.4 and 2.0 indicates good quantitative prediction; and RPD &gt; 2.0 indicates excellent prediction. Safe-Tier Agreement measures the percentage of predictions where the model assigns either the exact ICAR class or an adjacent class (e.g., Low predicted as Medium), while strictly penalizing catastrophic opposite-tier inversions (e.g., Low predicted as High), which would lead to dangerous agronomic under-fertilization.</w:t>
      </w:r>
    </w:p>
    <w:p>
      <w:pPr>
        <w:spacing w:before="200" w:after="80"/>
        <w:jc w:val="center"/>
      </w:pPr>
      <w:r>
        <w:rPr>
          <w:rFonts w:ascii="Times New Roman" w:hAnsi="Times New Roman"/>
          <w:b/>
          <w:color w:val="1E1E1E"/>
          <w:sz w:val="22"/>
        </w:rPr>
        <w:t>Table 5.1: 5-Fold Cross-Validation Performance Across 47 SCORPAN Features (N=909)</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rPr>
          <w:tblHeader/>
        </w:trPr>
        <w:tc>
          <w:tcPr>
            <w:tcW w:type="dxa" w:w="2160"/>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Target Nutrient</w:t>
            </w:r>
          </w:p>
        </w:tc>
        <w:tc>
          <w:tcPr>
            <w:tcW w:type="dxa" w:w="1008"/>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R² Score</w:t>
            </w:r>
          </w:p>
        </w:tc>
        <w:tc>
          <w:tcPr>
            <w:tcW w:type="dxa" w:w="1008"/>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Pearson (r)</w:t>
            </w:r>
          </w:p>
        </w:tc>
        <w:tc>
          <w:tcPr>
            <w:tcW w:type="dxa" w:w="1152"/>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Normalized Acc (%)</w:t>
            </w:r>
          </w:p>
        </w:tc>
        <w:tc>
          <w:tcPr>
            <w:tcW w:type="dxa" w:w="1152"/>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ICAR Class Acc (%)</w:t>
            </w:r>
          </w:p>
        </w:tc>
        <w:tc>
          <w:tcPr>
            <w:tcW w:type="dxa" w:w="1152"/>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Safe-Tier Agree (%)</w:t>
            </w:r>
          </w:p>
        </w:tc>
        <w:tc>
          <w:tcPr>
            <w:tcW w:type="dxa" w:w="864"/>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RMSE</w:t>
            </w:r>
          </w:p>
        </w:tc>
        <w:tc>
          <w:tcPr>
            <w:tcW w:type="dxa" w:w="864"/>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MAE</w:t>
            </w:r>
          </w:p>
        </w:tc>
        <w:tc>
          <w:tcPr>
            <w:tcW w:type="dxa" w:w="1296"/>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RPD</w:t>
            </w:r>
          </w:p>
        </w:tc>
      </w:tr>
      <w:tr>
        <w:tc>
          <w:tcPr>
            <w:tcW w:type="dxa" w:w="2160"/>
            <w:shd w:fill="FFFFFF"/>
            <w:tcMar>
              <w:top w:w="90" w:type="dxa"/>
              <w:left w:w="120" w:type="dxa"/>
              <w:bottom w:w="90" w:type="dxa"/>
              <w:right w:w="120" w:type="dxa"/>
            </w:tcMar>
          </w:tcPr>
          <w:p>
            <w:pPr>
              <w:spacing w:before="0" w:after="0"/>
              <w:jc w:val="left"/>
            </w:pPr>
            <w:r/>
            <w:r>
              <w:rPr>
                <w:rFonts w:ascii="Times New Roman" w:hAnsi="Times New Roman"/>
                <w:color w:val="222222"/>
                <w:sz w:val="20"/>
              </w:rPr>
              <w:t>Available Nitrogen (N, kg/ha)</w:t>
            </w:r>
          </w:p>
        </w:tc>
        <w:tc>
          <w:tcPr>
            <w:tcW w:type="dxa" w:w="1008"/>
            <w:shd w:fill="FFFFFF"/>
            <w:tcMar>
              <w:top w:w="90" w:type="dxa"/>
              <w:left w:w="120" w:type="dxa"/>
              <w:bottom w:w="90" w:type="dxa"/>
              <w:right w:w="120" w:type="dxa"/>
            </w:tcMar>
          </w:tcPr>
          <w:p>
            <w:pPr>
              <w:spacing w:before="0" w:after="0"/>
              <w:jc w:val="center"/>
            </w:pPr>
            <w:r/>
            <w:r>
              <w:rPr>
                <w:rFonts w:ascii="Times New Roman" w:hAnsi="Times New Roman"/>
                <w:color w:val="222222"/>
                <w:sz w:val="20"/>
              </w:rPr>
              <w:t>0.6081</w:t>
            </w:r>
          </w:p>
        </w:tc>
        <w:tc>
          <w:tcPr>
            <w:tcW w:type="dxa" w:w="1008"/>
            <w:shd w:fill="FFFFFF"/>
            <w:tcMar>
              <w:top w:w="90" w:type="dxa"/>
              <w:left w:w="120" w:type="dxa"/>
              <w:bottom w:w="90" w:type="dxa"/>
              <w:right w:w="120" w:type="dxa"/>
            </w:tcMar>
          </w:tcPr>
          <w:p>
            <w:pPr>
              <w:spacing w:before="0" w:after="0"/>
              <w:jc w:val="center"/>
            </w:pPr>
            <w:r/>
            <w:r>
              <w:rPr>
                <w:rFonts w:ascii="Times New Roman" w:hAnsi="Times New Roman"/>
                <w:color w:val="222222"/>
                <w:sz w:val="20"/>
              </w:rPr>
              <w:t>0.7816</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86.03 %</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96.92 %</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100.00 %</w:t>
            </w:r>
          </w:p>
        </w:tc>
        <w:tc>
          <w:tcPr>
            <w:tcW w:type="dxa" w:w="864"/>
            <w:shd w:fill="FFFFFF"/>
            <w:tcMar>
              <w:top w:w="90" w:type="dxa"/>
              <w:left w:w="120" w:type="dxa"/>
              <w:bottom w:w="90" w:type="dxa"/>
              <w:right w:w="120" w:type="dxa"/>
            </w:tcMar>
          </w:tcPr>
          <w:p>
            <w:pPr>
              <w:spacing w:before="0" w:after="0"/>
              <w:jc w:val="center"/>
            </w:pPr>
            <w:r/>
            <w:r>
              <w:rPr>
                <w:rFonts w:ascii="Times New Roman" w:hAnsi="Times New Roman"/>
                <w:color w:val="222222"/>
                <w:sz w:val="20"/>
              </w:rPr>
              <w:t>48.74</w:t>
            </w:r>
          </w:p>
        </w:tc>
        <w:tc>
          <w:tcPr>
            <w:tcW w:type="dxa" w:w="864"/>
            <w:shd w:fill="FFFFFF"/>
            <w:tcMar>
              <w:top w:w="90" w:type="dxa"/>
              <w:left w:w="120" w:type="dxa"/>
              <w:bottom w:w="90" w:type="dxa"/>
              <w:right w:w="120" w:type="dxa"/>
            </w:tcMar>
          </w:tcPr>
          <w:p>
            <w:pPr>
              <w:spacing w:before="0" w:after="0"/>
              <w:jc w:val="center"/>
            </w:pPr>
            <w:r/>
            <w:r>
              <w:rPr>
                <w:rFonts w:ascii="Times New Roman" w:hAnsi="Times New Roman"/>
                <w:color w:val="222222"/>
                <w:sz w:val="20"/>
              </w:rPr>
              <w:t>35.58</w:t>
            </w:r>
          </w:p>
        </w:tc>
        <w:tc>
          <w:tcPr>
            <w:tcW w:type="dxa" w:w="1296"/>
            <w:shd w:fill="FFFFFF"/>
            <w:tcMar>
              <w:top w:w="90" w:type="dxa"/>
              <w:left w:w="120" w:type="dxa"/>
              <w:bottom w:w="90" w:type="dxa"/>
              <w:right w:w="120" w:type="dxa"/>
            </w:tcMar>
          </w:tcPr>
          <w:p>
            <w:pPr>
              <w:spacing w:before="0" w:after="0"/>
              <w:jc w:val="center"/>
            </w:pPr>
            <w:r/>
            <w:r>
              <w:rPr>
                <w:rFonts w:ascii="Times New Roman" w:hAnsi="Times New Roman"/>
                <w:color w:val="222222"/>
                <w:sz w:val="20"/>
              </w:rPr>
              <w:t>1.597 (Good)</w:t>
            </w:r>
          </w:p>
        </w:tc>
      </w:tr>
      <w:tr>
        <w:tc>
          <w:tcPr>
            <w:tcW w:type="dxa" w:w="2160"/>
            <w:shd w:fill="F4F6F9"/>
            <w:tcMar>
              <w:top w:w="90" w:type="dxa"/>
              <w:left w:w="120" w:type="dxa"/>
              <w:bottom w:w="90" w:type="dxa"/>
              <w:right w:w="120" w:type="dxa"/>
            </w:tcMar>
          </w:tcPr>
          <w:p>
            <w:pPr>
              <w:spacing w:before="0" w:after="0"/>
              <w:jc w:val="left"/>
            </w:pPr>
            <w:r/>
            <w:r>
              <w:rPr>
                <w:rFonts w:ascii="Times New Roman" w:hAnsi="Times New Roman"/>
                <w:color w:val="222222"/>
                <w:sz w:val="20"/>
              </w:rPr>
              <w:t>Available Phosphorus (P, kg/ha)</w:t>
            </w:r>
          </w:p>
        </w:tc>
        <w:tc>
          <w:tcPr>
            <w:tcW w:type="dxa" w:w="1008"/>
            <w:shd w:fill="F4F6F9"/>
            <w:tcMar>
              <w:top w:w="90" w:type="dxa"/>
              <w:left w:w="120" w:type="dxa"/>
              <w:bottom w:w="90" w:type="dxa"/>
              <w:right w:w="120" w:type="dxa"/>
            </w:tcMar>
          </w:tcPr>
          <w:p>
            <w:pPr>
              <w:spacing w:before="0" w:after="0"/>
              <w:jc w:val="center"/>
            </w:pPr>
            <w:r/>
            <w:r>
              <w:rPr>
                <w:rFonts w:ascii="Times New Roman" w:hAnsi="Times New Roman"/>
                <w:color w:val="222222"/>
                <w:sz w:val="20"/>
              </w:rPr>
              <w:t>0.4093</w:t>
            </w:r>
          </w:p>
        </w:tc>
        <w:tc>
          <w:tcPr>
            <w:tcW w:type="dxa" w:w="1008"/>
            <w:shd w:fill="F4F6F9"/>
            <w:tcMar>
              <w:top w:w="90" w:type="dxa"/>
              <w:left w:w="120" w:type="dxa"/>
              <w:bottom w:w="90" w:type="dxa"/>
              <w:right w:w="120" w:type="dxa"/>
            </w:tcMar>
          </w:tcPr>
          <w:p>
            <w:pPr>
              <w:spacing w:before="0" w:after="0"/>
              <w:jc w:val="center"/>
            </w:pPr>
            <w:r/>
            <w:r>
              <w:rPr>
                <w:rFonts w:ascii="Times New Roman" w:hAnsi="Times New Roman"/>
                <w:color w:val="222222"/>
                <w:sz w:val="20"/>
              </w:rPr>
              <w:t>0.6696</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87.65 %</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71.18 %</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94.50 %</w:t>
            </w:r>
          </w:p>
        </w:tc>
        <w:tc>
          <w:tcPr>
            <w:tcW w:type="dxa" w:w="864"/>
            <w:shd w:fill="F4F6F9"/>
            <w:tcMar>
              <w:top w:w="90" w:type="dxa"/>
              <w:left w:w="120" w:type="dxa"/>
              <w:bottom w:w="90" w:type="dxa"/>
              <w:right w:w="120" w:type="dxa"/>
            </w:tcMar>
          </w:tcPr>
          <w:p>
            <w:pPr>
              <w:spacing w:before="0" w:after="0"/>
              <w:jc w:val="center"/>
            </w:pPr>
            <w:r/>
            <w:r>
              <w:rPr>
                <w:rFonts w:ascii="Times New Roman" w:hAnsi="Times New Roman"/>
                <w:color w:val="222222"/>
                <w:sz w:val="20"/>
              </w:rPr>
              <w:t>20.75</w:t>
            </w:r>
          </w:p>
        </w:tc>
        <w:tc>
          <w:tcPr>
            <w:tcW w:type="dxa" w:w="864"/>
            <w:shd w:fill="F4F6F9"/>
            <w:tcMar>
              <w:top w:w="90" w:type="dxa"/>
              <w:left w:w="120" w:type="dxa"/>
              <w:bottom w:w="90" w:type="dxa"/>
              <w:right w:w="120" w:type="dxa"/>
            </w:tcMar>
          </w:tcPr>
          <w:p>
            <w:pPr>
              <w:spacing w:before="0" w:after="0"/>
              <w:jc w:val="center"/>
            </w:pPr>
            <w:r/>
            <w:r>
              <w:rPr>
                <w:rFonts w:ascii="Times New Roman" w:hAnsi="Times New Roman"/>
                <w:color w:val="222222"/>
                <w:sz w:val="20"/>
              </w:rPr>
              <w:t>10.44</w:t>
            </w:r>
          </w:p>
        </w:tc>
        <w:tc>
          <w:tcPr>
            <w:tcW w:type="dxa" w:w="1296"/>
            <w:shd w:fill="F4F6F9"/>
            <w:tcMar>
              <w:top w:w="90" w:type="dxa"/>
              <w:left w:w="120" w:type="dxa"/>
              <w:bottom w:w="90" w:type="dxa"/>
              <w:right w:w="120" w:type="dxa"/>
            </w:tcMar>
          </w:tcPr>
          <w:p>
            <w:pPr>
              <w:spacing w:before="0" w:after="0"/>
              <w:jc w:val="center"/>
            </w:pPr>
            <w:r/>
            <w:r>
              <w:rPr>
                <w:rFonts w:ascii="Times New Roman" w:hAnsi="Times New Roman"/>
                <w:color w:val="222222"/>
                <w:sz w:val="20"/>
              </w:rPr>
              <w:t>1.301 (Fair)</w:t>
            </w:r>
          </w:p>
        </w:tc>
      </w:tr>
      <w:tr>
        <w:tc>
          <w:tcPr>
            <w:tcW w:type="dxa" w:w="2160"/>
            <w:shd w:fill="FFFFFF"/>
            <w:tcMar>
              <w:top w:w="90" w:type="dxa"/>
              <w:left w:w="120" w:type="dxa"/>
              <w:bottom w:w="90" w:type="dxa"/>
              <w:right w:w="120" w:type="dxa"/>
            </w:tcMar>
          </w:tcPr>
          <w:p>
            <w:pPr>
              <w:spacing w:before="0" w:after="0"/>
              <w:jc w:val="left"/>
            </w:pPr>
            <w:r/>
            <w:r>
              <w:rPr>
                <w:rFonts w:ascii="Times New Roman" w:hAnsi="Times New Roman"/>
                <w:color w:val="222222"/>
                <w:sz w:val="20"/>
              </w:rPr>
              <w:t>Available Potassium (K, kg/ha)</w:t>
            </w:r>
          </w:p>
        </w:tc>
        <w:tc>
          <w:tcPr>
            <w:tcW w:type="dxa" w:w="1008"/>
            <w:shd w:fill="FFFFFF"/>
            <w:tcMar>
              <w:top w:w="90" w:type="dxa"/>
              <w:left w:w="120" w:type="dxa"/>
              <w:bottom w:w="90" w:type="dxa"/>
              <w:right w:w="120" w:type="dxa"/>
            </w:tcMar>
          </w:tcPr>
          <w:p>
            <w:pPr>
              <w:spacing w:before="0" w:after="0"/>
              <w:jc w:val="center"/>
            </w:pPr>
            <w:r/>
            <w:r>
              <w:rPr>
                <w:rFonts w:ascii="Times New Roman" w:hAnsi="Times New Roman"/>
                <w:color w:val="222222"/>
                <w:sz w:val="20"/>
              </w:rPr>
              <w:t>0.6896</w:t>
            </w:r>
          </w:p>
        </w:tc>
        <w:tc>
          <w:tcPr>
            <w:tcW w:type="dxa" w:w="1008"/>
            <w:shd w:fill="FFFFFF"/>
            <w:tcMar>
              <w:top w:w="90" w:type="dxa"/>
              <w:left w:w="120" w:type="dxa"/>
              <w:bottom w:w="90" w:type="dxa"/>
              <w:right w:w="120" w:type="dxa"/>
            </w:tcMar>
          </w:tcPr>
          <w:p>
            <w:pPr>
              <w:spacing w:before="0" w:after="0"/>
              <w:jc w:val="center"/>
            </w:pPr>
            <w:r/>
            <w:r>
              <w:rPr>
                <w:rFonts w:ascii="Times New Roman" w:hAnsi="Times New Roman"/>
                <w:color w:val="222222"/>
                <w:sz w:val="20"/>
              </w:rPr>
              <w:t>0.8420</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84.47 %</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79.32 %</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96.37 %</w:t>
            </w:r>
          </w:p>
        </w:tc>
        <w:tc>
          <w:tcPr>
            <w:tcW w:type="dxa" w:w="864"/>
            <w:shd w:fill="FFFFFF"/>
            <w:tcMar>
              <w:top w:w="90" w:type="dxa"/>
              <w:left w:w="120" w:type="dxa"/>
              <w:bottom w:w="90" w:type="dxa"/>
              <w:right w:w="120" w:type="dxa"/>
            </w:tcMar>
          </w:tcPr>
          <w:p>
            <w:pPr>
              <w:spacing w:before="0" w:after="0"/>
              <w:jc w:val="center"/>
            </w:pPr>
            <w:r/>
            <w:r>
              <w:rPr>
                <w:rFonts w:ascii="Times New Roman" w:hAnsi="Times New Roman"/>
                <w:color w:val="222222"/>
                <w:sz w:val="20"/>
              </w:rPr>
              <w:t>94.57</w:t>
            </w:r>
          </w:p>
        </w:tc>
        <w:tc>
          <w:tcPr>
            <w:tcW w:type="dxa" w:w="864"/>
            <w:shd w:fill="FFFFFF"/>
            <w:tcMar>
              <w:top w:w="90" w:type="dxa"/>
              <w:left w:w="120" w:type="dxa"/>
              <w:bottom w:w="90" w:type="dxa"/>
              <w:right w:w="120" w:type="dxa"/>
            </w:tcMar>
          </w:tcPr>
          <w:p>
            <w:pPr>
              <w:spacing w:before="0" w:after="0"/>
              <w:jc w:val="center"/>
            </w:pPr>
            <w:r/>
            <w:r>
              <w:rPr>
                <w:rFonts w:ascii="Times New Roman" w:hAnsi="Times New Roman"/>
                <w:color w:val="222222"/>
                <w:sz w:val="20"/>
              </w:rPr>
              <w:t>57.04</w:t>
            </w:r>
          </w:p>
        </w:tc>
        <w:tc>
          <w:tcPr>
            <w:tcW w:type="dxa" w:w="1296"/>
            <w:shd w:fill="FFFFFF"/>
            <w:tcMar>
              <w:top w:w="90" w:type="dxa"/>
              <w:left w:w="120" w:type="dxa"/>
              <w:bottom w:w="90" w:type="dxa"/>
              <w:right w:w="120" w:type="dxa"/>
            </w:tcMar>
          </w:tcPr>
          <w:p>
            <w:pPr>
              <w:spacing w:before="0" w:after="0"/>
              <w:jc w:val="center"/>
            </w:pPr>
            <w:r/>
            <w:r>
              <w:rPr>
                <w:rFonts w:ascii="Times New Roman" w:hAnsi="Times New Roman"/>
                <w:color w:val="222222"/>
                <w:sz w:val="20"/>
              </w:rPr>
              <w:t>1.795 (Good)</w:t>
            </w:r>
          </w:p>
        </w:tc>
      </w:tr>
      <w:tr>
        <w:tc>
          <w:tcPr>
            <w:tcW w:type="dxa" w:w="2160"/>
            <w:shd w:fill="F4F6F9"/>
            <w:tcMar>
              <w:top w:w="90" w:type="dxa"/>
              <w:left w:w="120" w:type="dxa"/>
              <w:bottom w:w="90" w:type="dxa"/>
              <w:right w:w="120" w:type="dxa"/>
            </w:tcMar>
          </w:tcPr>
          <w:p>
            <w:pPr>
              <w:spacing w:before="0" w:after="0"/>
              <w:jc w:val="left"/>
            </w:pPr>
            <w:r/>
            <w:r>
              <w:rPr>
                <w:rFonts w:ascii="Times New Roman" w:hAnsi="Times New Roman"/>
                <w:color w:val="222222"/>
                <w:sz w:val="20"/>
              </w:rPr>
              <w:t>Soil Organic Carbon (OC, %)</w:t>
            </w:r>
          </w:p>
        </w:tc>
        <w:tc>
          <w:tcPr>
            <w:tcW w:type="dxa" w:w="1008"/>
            <w:shd w:fill="F4F6F9"/>
            <w:tcMar>
              <w:top w:w="90" w:type="dxa"/>
              <w:left w:w="120" w:type="dxa"/>
              <w:bottom w:w="90" w:type="dxa"/>
              <w:right w:w="120" w:type="dxa"/>
            </w:tcMar>
          </w:tcPr>
          <w:p>
            <w:pPr>
              <w:spacing w:before="0" w:after="0"/>
              <w:jc w:val="center"/>
            </w:pPr>
            <w:r/>
            <w:r>
              <w:rPr>
                <w:rFonts w:ascii="Times New Roman" w:hAnsi="Times New Roman"/>
                <w:color w:val="222222"/>
                <w:sz w:val="20"/>
              </w:rPr>
              <w:t>0.3757</w:t>
            </w:r>
          </w:p>
        </w:tc>
        <w:tc>
          <w:tcPr>
            <w:tcW w:type="dxa" w:w="1008"/>
            <w:shd w:fill="F4F6F9"/>
            <w:tcMar>
              <w:top w:w="90" w:type="dxa"/>
              <w:left w:w="120" w:type="dxa"/>
              <w:bottom w:w="90" w:type="dxa"/>
              <w:right w:w="120" w:type="dxa"/>
            </w:tcMar>
          </w:tcPr>
          <w:p>
            <w:pPr>
              <w:spacing w:before="0" w:after="0"/>
              <w:jc w:val="center"/>
            </w:pPr>
            <w:r/>
            <w:r>
              <w:rPr>
                <w:rFonts w:ascii="Times New Roman" w:hAnsi="Times New Roman"/>
                <w:color w:val="222222"/>
                <w:sz w:val="20"/>
              </w:rPr>
              <w:t>0.6131</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85.70 %</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87.13 %</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96.48 %</w:t>
            </w:r>
          </w:p>
        </w:tc>
        <w:tc>
          <w:tcPr>
            <w:tcW w:type="dxa" w:w="864"/>
            <w:shd w:fill="F4F6F9"/>
            <w:tcMar>
              <w:top w:w="90" w:type="dxa"/>
              <w:left w:w="120" w:type="dxa"/>
              <w:bottom w:w="90" w:type="dxa"/>
              <w:right w:w="120" w:type="dxa"/>
            </w:tcMar>
          </w:tcPr>
          <w:p>
            <w:pPr>
              <w:spacing w:before="0" w:after="0"/>
              <w:jc w:val="center"/>
            </w:pPr>
            <w:r/>
            <w:r>
              <w:rPr>
                <w:rFonts w:ascii="Times New Roman" w:hAnsi="Times New Roman"/>
                <w:color w:val="222222"/>
                <w:sz w:val="20"/>
              </w:rPr>
              <w:t>0.166</w:t>
            </w:r>
          </w:p>
        </w:tc>
        <w:tc>
          <w:tcPr>
            <w:tcW w:type="dxa" w:w="864"/>
            <w:shd w:fill="F4F6F9"/>
            <w:tcMar>
              <w:top w:w="90" w:type="dxa"/>
              <w:left w:w="120" w:type="dxa"/>
              <w:bottom w:w="90" w:type="dxa"/>
              <w:right w:w="120" w:type="dxa"/>
            </w:tcMar>
          </w:tcPr>
          <w:p>
            <w:pPr>
              <w:spacing w:before="0" w:after="0"/>
              <w:jc w:val="center"/>
            </w:pPr>
            <w:r/>
            <w:r>
              <w:rPr>
                <w:rFonts w:ascii="Times New Roman" w:hAnsi="Times New Roman"/>
                <w:color w:val="222222"/>
                <w:sz w:val="20"/>
              </w:rPr>
              <w:t>0.107</w:t>
            </w:r>
          </w:p>
        </w:tc>
        <w:tc>
          <w:tcPr>
            <w:tcW w:type="dxa" w:w="1296"/>
            <w:shd w:fill="F4F6F9"/>
            <w:tcMar>
              <w:top w:w="90" w:type="dxa"/>
              <w:left w:w="120" w:type="dxa"/>
              <w:bottom w:w="90" w:type="dxa"/>
              <w:right w:w="120" w:type="dxa"/>
            </w:tcMar>
          </w:tcPr>
          <w:p>
            <w:pPr>
              <w:spacing w:before="0" w:after="0"/>
              <w:jc w:val="center"/>
            </w:pPr>
            <w:r/>
            <w:r>
              <w:rPr>
                <w:rFonts w:ascii="Times New Roman" w:hAnsi="Times New Roman"/>
                <w:color w:val="222222"/>
                <w:sz w:val="20"/>
              </w:rPr>
              <w:t>1.266 (Fair)</w:t>
            </w:r>
          </w:p>
        </w:tc>
      </w:tr>
    </w:tbl>
    <w:p>
      <w:pPr>
        <w:spacing w:before="0" w:after="160"/>
      </w:pPr>
    </w:p>
    <w:p>
      <w:pPr>
        <w:spacing w:line="360" w:lineRule="auto" w:after="120" w:before="0"/>
        <w:jc w:val="both"/>
      </w:pPr>
      <w:r>
        <w:rPr>
          <w:rFonts w:ascii="Times New Roman" w:hAnsi="Times New Roman"/>
          <w:color w:val="222222"/>
          <w:sz w:val="24"/>
        </w:rPr>
        <w:t>As demonstrated in Table 5.1, the AgriCare hybrid VotingRegressor achieves outstanding performance across the 909 ground-truth samples. Available Potassium (K) achieves the highest linear correlation and explained variance (R² = 0.6896, Pearson r = 0.8420, RPD = 1.795), driven by strong SWIR absorption in illite and smectite clay lattices. Available Nitrogen achieves an exceptional R² of 0.6081 (Pearson r = 0.7816), with an extraordinary ICAR classification accuracy of 96.92% and a perfect 100.0% Safe-Tier Agreement. Phosphorus (P) and Organic Carbon (OC), which are notoriously difficult to predict remotely due to low chemical concentrations and intricate soil mineral binding, achieve R² values of 0.4093 and 0.3757 respectively, with normalized accuracies exceeding 85.7%.</w:t>
      </w:r>
    </w:p>
    <w:p>
      <w:pPr>
        <w:spacing w:before="280" w:after="120" w:line="276" w:lineRule="auto"/>
        <w:jc w:val="left"/>
      </w:pPr>
      <w:r>
        <w:rPr>
          <w:rFonts w:ascii="Times New Roman" w:hAnsi="Times New Roman"/>
          <w:b/>
          <w:color w:val="800000"/>
          <w:sz w:val="28"/>
        </w:rPr>
        <w:t>5.2 Comparative Benchmarks Against Existing Machine Learning Baselines</w:t>
      </w:r>
    </w:p>
    <w:p>
      <w:pPr>
        <w:spacing w:line="360" w:lineRule="auto" w:after="120" w:before="0"/>
        <w:jc w:val="both"/>
      </w:pPr>
      <w:r>
        <w:rPr>
          <w:rFonts w:ascii="Times New Roman" w:hAnsi="Times New Roman"/>
          <w:color w:val="222222"/>
          <w:sz w:val="24"/>
        </w:rPr>
        <w:t>To quantify the empirical superiority of AgriCare's hybrid VotingRegressor architecture (70% ExtraTrees + 30% GradientBoosting), a rigorous benchmark was conducted against six widely deployed regression models in the literature: Single ExtraTrees, Random Forest Baseline, Gradient Boosting Regressor (GBDT), Ridge Regression (L2 penalized linear), ElasticNet, and Partial Least Squares Regression (PLSR). Table 5.2 summarizes the comparative results across all four soil properties.</w:t>
      </w:r>
    </w:p>
    <w:p>
      <w:pPr>
        <w:spacing w:before="200" w:after="80"/>
        <w:jc w:val="center"/>
      </w:pPr>
      <w:r>
        <w:rPr>
          <w:rFonts w:ascii="Times New Roman" w:hAnsi="Times New Roman"/>
          <w:b/>
          <w:color w:val="1E1E1E"/>
          <w:sz w:val="22"/>
        </w:rPr>
        <w:t>Table 5.2: Comparative Model Performance Benchmarks on SPSR Nellore Dataset</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trPr>
        <w:tc>
          <w:tcPr>
            <w:tcW w:type="dxa" w:w="2736"/>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Model Architecture</w:t>
            </w:r>
          </w:p>
        </w:tc>
        <w:tc>
          <w:tcPr>
            <w:tcW w:type="dxa" w:w="1152"/>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Available N (R²)</w:t>
            </w:r>
          </w:p>
        </w:tc>
        <w:tc>
          <w:tcPr>
            <w:tcW w:type="dxa" w:w="1152"/>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Available P (R²)</w:t>
            </w:r>
          </w:p>
        </w:tc>
        <w:tc>
          <w:tcPr>
            <w:tcW w:type="dxa" w:w="1152"/>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Available K (R²)</w:t>
            </w:r>
          </w:p>
        </w:tc>
        <w:tc>
          <w:tcPr>
            <w:tcW w:type="dxa" w:w="1152"/>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Organic Carbon (R²)</w:t>
            </w:r>
          </w:p>
        </w:tc>
        <w:tc>
          <w:tcPr>
            <w:tcW w:type="dxa" w:w="1152"/>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Mean R²</w:t>
            </w:r>
          </w:p>
        </w:tc>
        <w:tc>
          <w:tcPr>
            <w:tcW w:type="dxa" w:w="1152"/>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Mean RPD</w:t>
            </w:r>
          </w:p>
        </w:tc>
      </w:tr>
      <w:tr>
        <w:tc>
          <w:tcPr>
            <w:tcW w:type="dxa" w:w="2736"/>
            <w:shd w:fill="FFFFFF"/>
            <w:tcMar>
              <w:top w:w="90" w:type="dxa"/>
              <w:left w:w="120" w:type="dxa"/>
              <w:bottom w:w="90" w:type="dxa"/>
              <w:right w:w="120" w:type="dxa"/>
            </w:tcMar>
          </w:tcPr>
          <w:p>
            <w:pPr>
              <w:spacing w:before="0" w:after="0"/>
              <w:jc w:val="left"/>
            </w:pPr>
            <w:r/>
            <w:r>
              <w:rPr>
                <w:rFonts w:ascii="Times New Roman" w:hAnsi="Times New Roman"/>
                <w:color w:val="222222"/>
                <w:sz w:val="20"/>
              </w:rPr>
              <w:t>Partial Least Squares (PLSR)</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0.2241</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0.1415</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0.2830</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0.1650</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0.2034</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1.12</w:t>
            </w:r>
          </w:p>
        </w:tc>
      </w:tr>
      <w:tr>
        <w:tc>
          <w:tcPr>
            <w:tcW w:type="dxa" w:w="2736"/>
            <w:shd w:fill="F4F6F9"/>
            <w:tcMar>
              <w:top w:w="90" w:type="dxa"/>
              <w:left w:w="120" w:type="dxa"/>
              <w:bottom w:w="90" w:type="dxa"/>
              <w:right w:w="120" w:type="dxa"/>
            </w:tcMar>
          </w:tcPr>
          <w:p>
            <w:pPr>
              <w:spacing w:before="0" w:after="0"/>
              <w:jc w:val="left"/>
            </w:pPr>
            <w:r/>
            <w:r>
              <w:rPr>
                <w:rFonts w:ascii="Times New Roman" w:hAnsi="Times New Roman"/>
                <w:color w:val="222222"/>
                <w:sz w:val="20"/>
              </w:rPr>
              <w:t>Ridge Regression (alpha=10.0)</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0.2680</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0.1620</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0.3150</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0.1890</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0.2335</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1.15</w:t>
            </w:r>
          </w:p>
        </w:tc>
      </w:tr>
      <w:tr>
        <w:tc>
          <w:tcPr>
            <w:tcW w:type="dxa" w:w="2736"/>
            <w:shd w:fill="FFFFFF"/>
            <w:tcMar>
              <w:top w:w="90" w:type="dxa"/>
              <w:left w:w="120" w:type="dxa"/>
              <w:bottom w:w="90" w:type="dxa"/>
              <w:right w:w="120" w:type="dxa"/>
            </w:tcMar>
          </w:tcPr>
          <w:p>
            <w:pPr>
              <w:spacing w:before="0" w:after="0"/>
              <w:jc w:val="left"/>
            </w:pPr>
            <w:r/>
            <w:r>
              <w:rPr>
                <w:rFonts w:ascii="Times New Roman" w:hAnsi="Times New Roman"/>
                <w:color w:val="222222"/>
                <w:sz w:val="20"/>
              </w:rPr>
              <w:t>ElasticNet (alpha=0.1, l1=0.5)</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0.2510</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0.1540</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0.2980</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0.1740</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0.2193</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1.14</w:t>
            </w:r>
          </w:p>
        </w:tc>
      </w:tr>
      <w:tr>
        <w:tc>
          <w:tcPr>
            <w:tcW w:type="dxa" w:w="2736"/>
            <w:shd w:fill="F4F6F9"/>
            <w:tcMar>
              <w:top w:w="90" w:type="dxa"/>
              <w:left w:w="120" w:type="dxa"/>
              <w:bottom w:w="90" w:type="dxa"/>
              <w:right w:w="120" w:type="dxa"/>
            </w:tcMar>
          </w:tcPr>
          <w:p>
            <w:pPr>
              <w:spacing w:before="0" w:after="0"/>
              <w:jc w:val="left"/>
            </w:pPr>
            <w:r/>
            <w:r>
              <w:rPr>
                <w:rFonts w:ascii="Times New Roman" w:hAnsi="Times New Roman"/>
                <w:color w:val="222222"/>
                <w:sz w:val="20"/>
              </w:rPr>
              <w:t>Gradient Boosting (GBDT)</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0.5520</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0.3640</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0.6280</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0.3310</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0.4688</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1.37</w:t>
            </w:r>
          </w:p>
        </w:tc>
      </w:tr>
      <w:tr>
        <w:tc>
          <w:tcPr>
            <w:tcW w:type="dxa" w:w="2736"/>
            <w:shd w:fill="FFFFFF"/>
            <w:tcMar>
              <w:top w:w="90" w:type="dxa"/>
              <w:left w:w="120" w:type="dxa"/>
              <w:bottom w:w="90" w:type="dxa"/>
              <w:right w:w="120" w:type="dxa"/>
            </w:tcMar>
          </w:tcPr>
          <w:p>
            <w:pPr>
              <w:spacing w:before="0" w:after="0"/>
              <w:jc w:val="left"/>
            </w:pPr>
            <w:r/>
            <w:r>
              <w:rPr>
                <w:rFonts w:ascii="Times New Roman" w:hAnsi="Times New Roman"/>
                <w:color w:val="222222"/>
                <w:sz w:val="20"/>
              </w:rPr>
              <w:t>Random Forest (RF Baseline)</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0.5740</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0.3810</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0.6510</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0.3520</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0.4895</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1.41</w:t>
            </w:r>
          </w:p>
        </w:tc>
      </w:tr>
      <w:tr>
        <w:tc>
          <w:tcPr>
            <w:tcW w:type="dxa" w:w="2736"/>
            <w:shd w:fill="F4F6F9"/>
            <w:tcMar>
              <w:top w:w="90" w:type="dxa"/>
              <w:left w:w="120" w:type="dxa"/>
              <w:bottom w:w="90" w:type="dxa"/>
              <w:right w:w="120" w:type="dxa"/>
            </w:tcMar>
          </w:tcPr>
          <w:p>
            <w:pPr>
              <w:spacing w:before="0" w:after="0"/>
              <w:jc w:val="left"/>
            </w:pPr>
            <w:r/>
            <w:r>
              <w:rPr>
                <w:rFonts w:ascii="Times New Roman" w:hAnsi="Times New Roman"/>
                <w:color w:val="222222"/>
                <w:sz w:val="20"/>
              </w:rPr>
              <w:t>Single ExtraTrees Regressor</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0.5980</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0.3990</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0.6780</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0.3680</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0.5108</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1.47</w:t>
            </w:r>
          </w:p>
        </w:tc>
      </w:tr>
      <w:tr>
        <w:tc>
          <w:tcPr>
            <w:tcW w:type="dxa" w:w="2736"/>
            <w:shd w:fill="FFFFFF"/>
            <w:tcMar>
              <w:top w:w="90" w:type="dxa"/>
              <w:left w:w="120" w:type="dxa"/>
              <w:bottom w:w="90" w:type="dxa"/>
              <w:right w:w="120" w:type="dxa"/>
            </w:tcMar>
          </w:tcPr>
          <w:p>
            <w:pPr>
              <w:spacing w:before="0" w:after="0"/>
              <w:jc w:val="left"/>
            </w:pPr>
            <w:r/>
            <w:r>
              <w:rPr>
                <w:rFonts w:ascii="Times New Roman" w:hAnsi="Times New Roman"/>
                <w:color w:val="222222"/>
                <w:sz w:val="20"/>
              </w:rPr>
              <w:t>AgriCare VotingRegressor (Proposed)</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0.6081</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0.4093</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0.6896</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0.3757</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0.5207</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1.49</w:t>
            </w:r>
          </w:p>
        </w:tc>
      </w:tr>
    </w:tbl>
    <w:p>
      <w:pPr>
        <w:spacing w:before="0" w:after="160"/>
      </w:pPr>
    </w:p>
    <w:p>
      <w:pPr>
        <w:spacing w:line="360" w:lineRule="auto" w:after="120" w:before="0"/>
        <w:jc w:val="both"/>
      </w:pPr>
      <w:r>
        <w:rPr>
          <w:rFonts w:ascii="Times New Roman" w:hAnsi="Times New Roman"/>
          <w:color w:val="222222"/>
          <w:sz w:val="24"/>
        </w:rPr>
        <w:t>The benchmark results confirm several key machine learning insights. First, linear models (PLSR, Ridge, ElasticNet) perform poorly (mean R² ~ 0.20 - 0.23), demonstrating that soil biogeochemical properties cannot be approximated by linear combinations of satellite reflectance. Second, tree-based ensemble bagging and boosting models dramatically outperform linear approaches (mean R² &gt; 0.46). Third, the proposed hybrid VotingRegressor systematically outperforms all individual models across all four nutrients, achieving a mean R² of 0.5207. The combination of Extra-Trees' randomized variance reduction with Gradient Boosting's residual optimization yields the highest predictive fidelity.</w:t>
      </w:r>
    </w:p>
    <w:p>
      <w:pPr>
        <w:spacing w:before="280" w:after="120" w:line="276" w:lineRule="auto"/>
        <w:jc w:val="left"/>
      </w:pPr>
      <w:r>
        <w:rPr>
          <w:rFonts w:ascii="Times New Roman" w:hAnsi="Times New Roman"/>
          <w:b/>
          <w:color w:val="800000"/>
          <w:sz w:val="28"/>
        </w:rPr>
        <w:t>5.3 Feature Ablation Studies and Dimensionality Reduction</w:t>
      </w:r>
    </w:p>
    <w:p>
      <w:pPr>
        <w:spacing w:line="360" w:lineRule="auto" w:after="120" w:before="0"/>
        <w:jc w:val="both"/>
      </w:pPr>
      <w:r>
        <w:rPr>
          <w:rFonts w:ascii="Times New Roman" w:hAnsi="Times New Roman"/>
          <w:color w:val="222222"/>
          <w:sz w:val="24"/>
        </w:rPr>
        <w:t>To evaluate the marginal predictive contribution of each environmental covariate category in the SCORPAN framework, a systematic feature group ablation study was conducted. Five incremental covariate configurations were trained and evaluated: (1) Sentinel-2 multispectral bands only; (2) Bands + Spectral Indices; (3) Bands + Indices + SRTM Topography; (4) Standard 39-feature Baseline SCORPAN; and (5) Full 47-feature SCORPAN with physical domain interaction terms. Table 5.3 summarizes the ablation trajectory.</w:t>
      </w:r>
    </w:p>
    <w:p>
      <w:pPr>
        <w:spacing w:before="200" w:after="80"/>
        <w:jc w:val="center"/>
      </w:pPr>
      <w:r>
        <w:rPr>
          <w:rFonts w:ascii="Times New Roman" w:hAnsi="Times New Roman"/>
          <w:b/>
          <w:color w:val="1E1E1E"/>
          <w:sz w:val="22"/>
        </w:rPr>
        <w:t>Table 5.3: Feature Group Ablation Study Showing Predictive Gain per SCORPAN Layer</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trPr>
        <w:tc>
          <w:tcPr>
            <w:tcW w:type="dxa" w:w="3024"/>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Covariate Feature Group</w:t>
            </w:r>
          </w:p>
        </w:tc>
        <w:tc>
          <w:tcPr>
            <w:tcW w:type="dxa" w:w="1152"/>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Feature Count</w:t>
            </w:r>
          </w:p>
        </w:tc>
        <w:tc>
          <w:tcPr>
            <w:tcW w:type="dxa" w:w="1152"/>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Nitrogen (R²)</w:t>
            </w:r>
          </w:p>
        </w:tc>
        <w:tc>
          <w:tcPr>
            <w:tcW w:type="dxa" w:w="1152"/>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Phosphorus (R²)</w:t>
            </w:r>
          </w:p>
        </w:tc>
        <w:tc>
          <w:tcPr>
            <w:tcW w:type="dxa" w:w="1152"/>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Potassium (R²)</w:t>
            </w:r>
          </w:p>
        </w:tc>
        <w:tc>
          <w:tcPr>
            <w:tcW w:type="dxa" w:w="1152"/>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Organic Carbon (R²)</w:t>
            </w:r>
          </w:p>
        </w:tc>
        <w:tc>
          <w:tcPr>
            <w:tcW w:type="dxa" w:w="1152"/>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Mean R²</w:t>
            </w:r>
          </w:p>
        </w:tc>
      </w:tr>
      <w:tr>
        <w:tc>
          <w:tcPr>
            <w:tcW w:type="dxa" w:w="3024"/>
            <w:shd w:fill="FFFFFF"/>
            <w:tcMar>
              <w:top w:w="90" w:type="dxa"/>
              <w:left w:w="120" w:type="dxa"/>
              <w:bottom w:w="90" w:type="dxa"/>
              <w:right w:w="120" w:type="dxa"/>
            </w:tcMar>
          </w:tcPr>
          <w:p>
            <w:pPr>
              <w:spacing w:before="0" w:after="0"/>
              <w:jc w:val="left"/>
            </w:pPr>
            <w:r/>
            <w:r>
              <w:rPr>
                <w:rFonts w:ascii="Times New Roman" w:hAnsi="Times New Roman"/>
                <w:color w:val="222222"/>
                <w:sz w:val="20"/>
              </w:rPr>
              <w:t>1. Sentinel-2 Bands Only</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12</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0.4120</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0.2210</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0.4850</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0.2480</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0.3415</w:t>
            </w:r>
          </w:p>
        </w:tc>
      </w:tr>
      <w:tr>
        <w:tc>
          <w:tcPr>
            <w:tcW w:type="dxa" w:w="3024"/>
            <w:shd w:fill="F4F6F9"/>
            <w:tcMar>
              <w:top w:w="90" w:type="dxa"/>
              <w:left w:w="120" w:type="dxa"/>
              <w:bottom w:w="90" w:type="dxa"/>
              <w:right w:w="120" w:type="dxa"/>
            </w:tcMar>
          </w:tcPr>
          <w:p>
            <w:pPr>
              <w:spacing w:before="0" w:after="0"/>
              <w:jc w:val="left"/>
            </w:pPr>
            <w:r/>
            <w:r>
              <w:rPr>
                <w:rFonts w:ascii="Times New Roman" w:hAnsi="Times New Roman"/>
                <w:color w:val="222222"/>
                <w:sz w:val="20"/>
              </w:rPr>
              <w:t>2. Bands + Spectral Indices</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20</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0.4860</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0.2850</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0.5620</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0.3010</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0.4085</w:t>
            </w:r>
          </w:p>
        </w:tc>
      </w:tr>
      <w:tr>
        <w:tc>
          <w:tcPr>
            <w:tcW w:type="dxa" w:w="3024"/>
            <w:shd w:fill="FFFFFF"/>
            <w:tcMar>
              <w:top w:w="90" w:type="dxa"/>
              <w:left w:w="120" w:type="dxa"/>
              <w:bottom w:w="90" w:type="dxa"/>
              <w:right w:w="120" w:type="dxa"/>
            </w:tcMar>
          </w:tcPr>
          <w:p>
            <w:pPr>
              <w:spacing w:before="0" w:after="0"/>
              <w:jc w:val="left"/>
            </w:pPr>
            <w:r/>
            <w:r>
              <w:rPr>
                <w:rFonts w:ascii="Times New Roman" w:hAnsi="Times New Roman"/>
                <w:color w:val="222222"/>
                <w:sz w:val="20"/>
              </w:rPr>
              <w:t>3. Bands + Indices + Topography</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27</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0.5340</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0.3480</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0.6180</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0.3340</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0.4585</w:t>
            </w:r>
          </w:p>
        </w:tc>
      </w:tr>
      <w:tr>
        <w:tc>
          <w:tcPr>
            <w:tcW w:type="dxa" w:w="3024"/>
            <w:shd w:fill="F4F6F9"/>
            <w:tcMar>
              <w:top w:w="90" w:type="dxa"/>
              <w:left w:w="120" w:type="dxa"/>
              <w:bottom w:w="90" w:type="dxa"/>
              <w:right w:w="120" w:type="dxa"/>
            </w:tcMar>
          </w:tcPr>
          <w:p>
            <w:pPr>
              <w:spacing w:before="0" w:after="0"/>
              <w:jc w:val="left"/>
            </w:pPr>
            <w:r/>
            <w:r>
              <w:rPr>
                <w:rFonts w:ascii="Times New Roman" w:hAnsi="Times New Roman"/>
                <w:color w:val="222222"/>
                <w:sz w:val="20"/>
              </w:rPr>
              <w:t>4. Baseline SCORPAN (with Climate/Texture)</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39</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0.5840</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0.3860</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0.6620</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0.3580</w:t>
            </w:r>
          </w:p>
        </w:tc>
        <w:tc>
          <w:tcPr>
            <w:tcW w:type="dxa" w:w="1152"/>
            <w:shd w:fill="F4F6F9"/>
            <w:tcMar>
              <w:top w:w="90" w:type="dxa"/>
              <w:left w:w="120" w:type="dxa"/>
              <w:bottom w:w="90" w:type="dxa"/>
              <w:right w:w="120" w:type="dxa"/>
            </w:tcMar>
          </w:tcPr>
          <w:p>
            <w:pPr>
              <w:spacing w:before="0" w:after="0"/>
              <w:jc w:val="center"/>
            </w:pPr>
            <w:r/>
            <w:r>
              <w:rPr>
                <w:rFonts w:ascii="Times New Roman" w:hAnsi="Times New Roman"/>
                <w:color w:val="222222"/>
                <w:sz w:val="20"/>
              </w:rPr>
              <w:t>0.4975</w:t>
            </w:r>
          </w:p>
        </w:tc>
      </w:tr>
      <w:tr>
        <w:tc>
          <w:tcPr>
            <w:tcW w:type="dxa" w:w="3024"/>
            <w:shd w:fill="FFFFFF"/>
            <w:tcMar>
              <w:top w:w="90" w:type="dxa"/>
              <w:left w:w="120" w:type="dxa"/>
              <w:bottom w:w="90" w:type="dxa"/>
              <w:right w:w="120" w:type="dxa"/>
            </w:tcMar>
          </w:tcPr>
          <w:p>
            <w:pPr>
              <w:spacing w:before="0" w:after="0"/>
              <w:jc w:val="left"/>
            </w:pPr>
            <w:r/>
            <w:r>
              <w:rPr>
                <w:rFonts w:ascii="Times New Roman" w:hAnsi="Times New Roman"/>
                <w:color w:val="222222"/>
                <w:sz w:val="20"/>
              </w:rPr>
              <w:t>5. Full SCORPAN + Physical Interactions</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47</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0.6081</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0.4093</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0.6896</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0.3757</w:t>
            </w:r>
          </w:p>
        </w:tc>
        <w:tc>
          <w:tcPr>
            <w:tcW w:type="dxa" w:w="1152"/>
            <w:shd w:fill="FFFFFF"/>
            <w:tcMar>
              <w:top w:w="90" w:type="dxa"/>
              <w:left w:w="120" w:type="dxa"/>
              <w:bottom w:w="90" w:type="dxa"/>
              <w:right w:w="120" w:type="dxa"/>
            </w:tcMar>
          </w:tcPr>
          <w:p>
            <w:pPr>
              <w:spacing w:before="0" w:after="0"/>
              <w:jc w:val="center"/>
            </w:pPr>
            <w:r/>
            <w:r>
              <w:rPr>
                <w:rFonts w:ascii="Times New Roman" w:hAnsi="Times New Roman"/>
                <w:color w:val="222222"/>
                <w:sz w:val="20"/>
              </w:rPr>
              <w:t>0.5207</w:t>
            </w:r>
          </w:p>
        </w:tc>
      </w:tr>
    </w:tbl>
    <w:p>
      <w:pPr>
        <w:spacing w:before="0" w:after="160"/>
      </w:pPr>
    </w:p>
    <w:p>
      <w:pPr>
        <w:spacing w:line="360" w:lineRule="auto" w:after="120" w:before="0"/>
        <w:jc w:val="both"/>
      </w:pPr>
      <w:r>
        <w:rPr>
          <w:rFonts w:ascii="Times New Roman" w:hAnsi="Times New Roman"/>
          <w:color w:val="222222"/>
          <w:sz w:val="24"/>
        </w:rPr>
        <w:t>The ablation findings conclusively establish that satellite bands alone are insufficient (mean R² = 0.3415). Adding spectral indices boosts accuracy by +19.6%; integrating SRTM topographic hydrology adds another +12.2%; incorporating ERA5-Land climate and SoilGrids texture adds +8.5%; and introducing the 8 domain physical interaction terms provides a final +4.7% accuracy boost, pushing mean R² to 0.5207. This proves that soil property prediction is inherently a multi-physics, coupled environmental phenomenon.</w:t>
      </w:r>
    </w:p>
    <w:p>
      <w:pPr>
        <w:spacing w:before="200" w:after="80"/>
        <w:jc w:val="center"/>
      </w:pPr>
      <w:r>
        <w:drawing>
          <wp:inline xmlns:a="http://schemas.openxmlformats.org/drawingml/2006/main" xmlns:pic="http://schemas.openxmlformats.org/drawingml/2006/picture">
            <wp:extent cx="5303520" cy="4167051"/>
            <wp:docPr id="3" name="Picture 3"/>
            <wp:cNvGraphicFramePr>
              <a:graphicFrameLocks noChangeAspect="1"/>
            </wp:cNvGraphicFramePr>
            <a:graphic>
              <a:graphicData uri="http://schemas.openxmlformats.org/drawingml/2006/picture">
                <pic:pic>
                  <pic:nvPicPr>
                    <pic:cNvPr id="0" name="feature_correlation_heatmap.png"/>
                    <pic:cNvPicPr/>
                  </pic:nvPicPr>
                  <pic:blipFill>
                    <a:blip r:embed="rId13"/>
                    <a:stretch>
                      <a:fillRect/>
                    </a:stretch>
                  </pic:blipFill>
                  <pic:spPr>
                    <a:xfrm>
                      <a:off x="0" y="0"/>
                      <a:ext cx="5303520" cy="4167051"/>
                    </a:xfrm>
                    <a:prstGeom prst="rect"/>
                  </pic:spPr>
                </pic:pic>
              </a:graphicData>
            </a:graphic>
          </wp:inline>
        </w:drawing>
      </w:r>
    </w:p>
    <w:p>
      <w:pPr>
        <w:spacing w:before="40" w:after="240"/>
        <w:jc w:val="center"/>
      </w:pPr>
      <w:r>
        <w:rPr>
          <w:rFonts w:ascii="Times New Roman" w:hAnsi="Times New Roman"/>
          <w:b/>
          <w:i/>
          <w:color w:val="3C3C3C"/>
          <w:sz w:val="21"/>
        </w:rPr>
        <w:t>Figure 5.1: Pairwise Pearson Correlation Heatmap Among Selected SCORPAN Covariates</w:t>
      </w:r>
    </w:p>
    <w:p>
      <w:pPr>
        <w:spacing w:line="360" w:lineRule="auto" w:after="120" w:before="0"/>
        <w:jc w:val="both"/>
      </w:pPr>
      <w:r>
        <w:rPr>
          <w:rFonts w:ascii="Times New Roman" w:hAnsi="Times New Roman"/>
          <w:color w:val="222222"/>
          <w:sz w:val="24"/>
        </w:rPr>
        <w:t>Dimensionality Analysis &amp; PCA Scree: To investigate multicollinearity among the 47 covariates, Principal Component Analysis (PCA) was performed on the standardized feature matrix. Figure 5.2 displays the PCA Scree plot illustrating individual and cumulative explained variance ratios. The first five principal components capture 64.2% of total dataset variance, while the first 14 components explain over 90.5%. Figure 5.3 visualizes the eigenvector loadings heatmap, showing that PC1 is heavily loaded on Visible/NIR bands and vegetative indices, PC2 is dominated by SWIR reflectance and clay fractions, and PC3 aligns with topographic elevation and slope.</w:t>
      </w:r>
    </w:p>
    <w:p>
      <w:pPr>
        <w:spacing w:before="200" w:after="80"/>
        <w:jc w:val="center"/>
      </w:pPr>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pca_scree_plot.png"/>
                    <pic:cNvPicPr/>
                  </pic:nvPicPr>
                  <pic:blipFill>
                    <a:blip r:embed="rId14"/>
                    <a:stretch>
                      <a:fillRect/>
                    </a:stretch>
                  </pic:blipFill>
                  <pic:spPr>
                    <a:xfrm>
                      <a:off x="0" y="0"/>
                      <a:ext cx="5029200" cy="2514600"/>
                    </a:xfrm>
                    <a:prstGeom prst="rect"/>
                  </pic:spPr>
                </pic:pic>
              </a:graphicData>
            </a:graphic>
          </wp:inline>
        </w:drawing>
      </w:r>
    </w:p>
    <w:p>
      <w:pPr>
        <w:spacing w:before="40" w:after="240"/>
        <w:jc w:val="center"/>
      </w:pPr>
      <w:r>
        <w:rPr>
          <w:rFonts w:ascii="Times New Roman" w:hAnsi="Times New Roman"/>
          <w:b/>
          <w:i/>
          <w:color w:val="3C3C3C"/>
          <w:sz w:val="21"/>
        </w:rPr>
        <w:t>Figure 5.2: PCA Scree Plot Illustrating Individual and Cumulative Explained Variance Across Components</w:t>
      </w:r>
    </w:p>
    <w:p>
      <w:pPr>
        <w:spacing w:before="200" w:after="80"/>
        <w:jc w:val="center"/>
      </w:pPr>
      <w:r>
        <w:drawing>
          <wp:inline xmlns:a="http://schemas.openxmlformats.org/drawingml/2006/main" xmlns:pic="http://schemas.openxmlformats.org/drawingml/2006/picture">
            <wp:extent cx="5303520" cy="3535680"/>
            <wp:docPr id="5" name="Picture 5"/>
            <wp:cNvGraphicFramePr>
              <a:graphicFrameLocks noChangeAspect="1"/>
            </wp:cNvGraphicFramePr>
            <a:graphic>
              <a:graphicData uri="http://schemas.openxmlformats.org/drawingml/2006/picture">
                <pic:pic>
                  <pic:nvPicPr>
                    <pic:cNvPr id="0" name="pca_loadings_heatmap.png"/>
                    <pic:cNvPicPr/>
                  </pic:nvPicPr>
                  <pic:blipFill>
                    <a:blip r:embed="rId15"/>
                    <a:stretch>
                      <a:fillRect/>
                    </a:stretch>
                  </pic:blipFill>
                  <pic:spPr>
                    <a:xfrm>
                      <a:off x="0" y="0"/>
                      <a:ext cx="5303520" cy="3535680"/>
                    </a:xfrm>
                    <a:prstGeom prst="rect"/>
                  </pic:spPr>
                </pic:pic>
              </a:graphicData>
            </a:graphic>
          </wp:inline>
        </w:drawing>
      </w:r>
    </w:p>
    <w:p>
      <w:pPr>
        <w:spacing w:before="40" w:after="240"/>
        <w:jc w:val="center"/>
      </w:pPr>
      <w:r>
        <w:rPr>
          <w:rFonts w:ascii="Times New Roman" w:hAnsi="Times New Roman"/>
          <w:b/>
          <w:i/>
          <w:color w:val="3C3C3C"/>
          <w:sz w:val="21"/>
        </w:rPr>
        <w:t>Figure 5.3: Heatmap of Principal Component Loadings Across SCORPAN Environmental Covariates</w:t>
      </w:r>
    </w:p>
    <w:p>
      <w:pPr>
        <w:spacing w:line="360" w:lineRule="auto" w:after="120" w:before="0"/>
        <w:jc w:val="both"/>
      </w:pPr>
      <w:r>
        <w:rPr>
          <w:rFonts w:ascii="Times New Roman" w:hAnsi="Times New Roman"/>
          <w:color w:val="222222"/>
          <w:sz w:val="24"/>
        </w:rPr>
        <w:t>Zayani Backward Elimination Curves: To determine optimal feature subsets, recursive backward feature elimination following the Zayani protocol was executed for each nutrient target. Figure 5.4 displays the ablation trajectory curves for Nitrogen, Phosphorus, Potassium, and Organic Carbon. Model performance remains exceptionally resilient as features are pruned from 47 down to ~22-25 features, beyond which accuracy drops precipitously, demonstrating that a core set of ~25 features carries the predominant signal.</w:t>
      </w:r>
    </w:p>
    <w:p>
      <w:pPr>
        <w:spacing w:before="200" w:after="80"/>
        <w:jc w:val="center"/>
      </w:pPr>
      <w:r>
        <w:drawing>
          <wp:inline xmlns:a="http://schemas.openxmlformats.org/drawingml/2006/main" xmlns:pic="http://schemas.openxmlformats.org/drawingml/2006/picture">
            <wp:extent cx="5029200" cy="2514600"/>
            <wp:docPr id="6" name="Picture 6"/>
            <wp:cNvGraphicFramePr>
              <a:graphicFrameLocks noChangeAspect="1"/>
            </wp:cNvGraphicFramePr>
            <a:graphic>
              <a:graphicData uri="http://schemas.openxmlformats.org/drawingml/2006/picture">
                <pic:pic>
                  <pic:nvPicPr>
                    <pic:cNvPr id="0" name="zayani_ablation_curve_N.png"/>
                    <pic:cNvPicPr/>
                  </pic:nvPicPr>
                  <pic:blipFill>
                    <a:blip r:embed="rId16"/>
                    <a:stretch>
                      <a:fillRect/>
                    </a:stretch>
                  </pic:blipFill>
                  <pic:spPr>
                    <a:xfrm>
                      <a:off x="0" y="0"/>
                      <a:ext cx="5029200" cy="2514600"/>
                    </a:xfrm>
                    <a:prstGeom prst="rect"/>
                  </pic:spPr>
                </pic:pic>
              </a:graphicData>
            </a:graphic>
          </wp:inline>
        </w:drawing>
      </w:r>
    </w:p>
    <w:p>
      <w:pPr>
        <w:spacing w:before="40" w:after="240"/>
        <w:jc w:val="center"/>
      </w:pPr>
      <w:r>
        <w:rPr>
          <w:rFonts w:ascii="Times New Roman" w:hAnsi="Times New Roman"/>
          <w:b/>
          <w:i/>
          <w:color w:val="3C3C3C"/>
          <w:sz w:val="21"/>
        </w:rPr>
        <w:t>Figure 5.4 (a): Zayani Backward Feature Elimination Curve for Available Nitrogen (N)</w:t>
      </w:r>
    </w:p>
    <w:p>
      <w:pPr>
        <w:spacing w:before="200" w:after="80"/>
        <w:jc w:val="center"/>
      </w:pPr>
      <w:r>
        <w:drawing>
          <wp:inline xmlns:a="http://schemas.openxmlformats.org/drawingml/2006/main" xmlns:pic="http://schemas.openxmlformats.org/drawingml/2006/picture">
            <wp:extent cx="5029200" cy="2514600"/>
            <wp:docPr id="7" name="Picture 7"/>
            <wp:cNvGraphicFramePr>
              <a:graphicFrameLocks noChangeAspect="1"/>
            </wp:cNvGraphicFramePr>
            <a:graphic>
              <a:graphicData uri="http://schemas.openxmlformats.org/drawingml/2006/picture">
                <pic:pic>
                  <pic:nvPicPr>
                    <pic:cNvPr id="0" name="zayani_ablation_curve_K.png"/>
                    <pic:cNvPicPr/>
                  </pic:nvPicPr>
                  <pic:blipFill>
                    <a:blip r:embed="rId17"/>
                    <a:stretch>
                      <a:fillRect/>
                    </a:stretch>
                  </pic:blipFill>
                  <pic:spPr>
                    <a:xfrm>
                      <a:off x="0" y="0"/>
                      <a:ext cx="5029200" cy="2514600"/>
                    </a:xfrm>
                    <a:prstGeom prst="rect"/>
                  </pic:spPr>
                </pic:pic>
              </a:graphicData>
            </a:graphic>
          </wp:inline>
        </w:drawing>
      </w:r>
    </w:p>
    <w:p>
      <w:pPr>
        <w:spacing w:before="40" w:after="240"/>
        <w:jc w:val="center"/>
      </w:pPr>
      <w:r>
        <w:rPr>
          <w:rFonts w:ascii="Times New Roman" w:hAnsi="Times New Roman"/>
          <w:b/>
          <w:i/>
          <w:color w:val="3C3C3C"/>
          <w:sz w:val="21"/>
        </w:rPr>
        <w:t>Figure 5.4 (b): Zayani Backward Feature Elimination Curve for Available Potassium (K)</w:t>
      </w:r>
    </w:p>
    <w:p>
      <w:pPr>
        <w:spacing w:before="280" w:after="120" w:line="276" w:lineRule="auto"/>
        <w:jc w:val="left"/>
      </w:pPr>
      <w:r>
        <w:rPr>
          <w:rFonts w:ascii="Times New Roman" w:hAnsi="Times New Roman"/>
          <w:b/>
          <w:color w:val="800000"/>
          <w:sz w:val="28"/>
        </w:rPr>
        <w:t>5.4 Multi-Temporal Cross-Cycle Generalization &amp; Few-Shot Calibration</w:t>
      </w:r>
    </w:p>
    <w:p>
      <w:pPr>
        <w:spacing w:line="360" w:lineRule="auto" w:after="120" w:before="0"/>
        <w:jc w:val="both"/>
      </w:pPr>
      <w:r>
        <w:rPr>
          <w:rFonts w:ascii="Times New Roman" w:hAnsi="Times New Roman"/>
          <w:color w:val="222222"/>
          <w:sz w:val="24"/>
        </w:rPr>
        <w:t>A critical real-world evaluation was conducted to assess cross-cycle temporal generalization. Models were trained on historical data from the 2023–24 and 2024–25 cycles (N=1,800+ aggregated samples) and evaluated on completely unseen test data from the subsequent 2025–26 agricultural cycle. Table 5.4 and Figures 5.5 and 5.6 detail the results of raw uncalibrated transfer versus AgriCare's Few-Shot Seasonal Calibration engine (N=25 anchors).</w:t>
      </w:r>
    </w:p>
    <w:p>
      <w:pPr>
        <w:spacing w:before="200" w:after="80"/>
        <w:jc w:val="center"/>
      </w:pPr>
      <w:r>
        <w:rPr>
          <w:rFonts w:ascii="Times New Roman" w:hAnsi="Times New Roman"/>
          <w:b/>
          <w:color w:val="1E1E1E"/>
          <w:sz w:val="22"/>
        </w:rPr>
        <w:t>Table 5.4: Cross-Cycle Generalization and Impact of Few-Shot Domain Calibration</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448"/>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Nutrient Target</w:t>
            </w:r>
          </w:p>
        </w:tc>
        <w:tc>
          <w:tcPr>
            <w:tcW w:type="dxa" w:w="1440"/>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Historical Train R²</w:t>
            </w:r>
          </w:p>
        </w:tc>
        <w:tc>
          <w:tcPr>
            <w:tcW w:type="dxa" w:w="1728"/>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Raw Cross-Cycle Test R²</w:t>
            </w:r>
          </w:p>
        </w:tc>
        <w:tc>
          <w:tcPr>
            <w:tcW w:type="dxa" w:w="1728"/>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Calibrated Test R² (N=25)</w:t>
            </w:r>
          </w:p>
        </w:tc>
        <w:tc>
          <w:tcPr>
            <w:tcW w:type="dxa" w:w="1584"/>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RMSE Reduction (%)</w:t>
            </w:r>
          </w:p>
        </w:tc>
        <w:tc>
          <w:tcPr>
            <w:tcW w:type="dxa" w:w="1440"/>
            <w:shd w:fill="1B365D"/>
            <w:tcMar>
              <w:top w:w="120" w:type="dxa"/>
              <w:left w:w="140" w:type="dxa"/>
              <w:bottom w:w="120" w:type="dxa"/>
              <w:right w:w="140" w:type="dxa"/>
            </w:tcMar>
          </w:tcPr>
          <w:p>
            <w:pPr>
              <w:spacing w:before="0" w:after="0"/>
              <w:jc w:val="center"/>
            </w:pPr>
            <w:r/>
            <w:r>
              <w:rPr>
                <w:rFonts w:ascii="Times New Roman" w:hAnsi="Times New Roman"/>
                <w:b/>
                <w:color w:val="FFFFFF"/>
                <w:sz w:val="21"/>
              </w:rPr>
              <w:t>Drift Offset (Delta)</w:t>
            </w:r>
          </w:p>
        </w:tc>
      </w:tr>
      <w:tr>
        <w:tc>
          <w:tcPr>
            <w:tcW w:type="dxa" w:w="2448"/>
            <w:shd w:fill="FFFFFF"/>
            <w:tcMar>
              <w:top w:w="90" w:type="dxa"/>
              <w:left w:w="120" w:type="dxa"/>
              <w:bottom w:w="90" w:type="dxa"/>
              <w:right w:w="120" w:type="dxa"/>
            </w:tcMar>
          </w:tcPr>
          <w:p>
            <w:pPr>
              <w:spacing w:before="0" w:after="0"/>
              <w:jc w:val="left"/>
            </w:pPr>
            <w:r/>
            <w:r>
              <w:rPr>
                <w:rFonts w:ascii="Times New Roman" w:hAnsi="Times New Roman"/>
                <w:color w:val="222222"/>
                <w:sz w:val="20"/>
              </w:rPr>
              <w:t>Available Nitrogen (N)</w:t>
            </w:r>
          </w:p>
        </w:tc>
        <w:tc>
          <w:tcPr>
            <w:tcW w:type="dxa" w:w="1440"/>
            <w:shd w:fill="FFFFFF"/>
            <w:tcMar>
              <w:top w:w="90" w:type="dxa"/>
              <w:left w:w="120" w:type="dxa"/>
              <w:bottom w:w="90" w:type="dxa"/>
              <w:right w:w="120" w:type="dxa"/>
            </w:tcMar>
          </w:tcPr>
          <w:p>
            <w:pPr>
              <w:spacing w:before="0" w:after="0"/>
              <w:jc w:val="center"/>
            </w:pPr>
            <w:r/>
            <w:r>
              <w:rPr>
                <w:rFonts w:ascii="Times New Roman" w:hAnsi="Times New Roman"/>
                <w:color w:val="222222"/>
                <w:sz w:val="20"/>
              </w:rPr>
              <w:t>0.6210</w:t>
            </w:r>
          </w:p>
        </w:tc>
        <w:tc>
          <w:tcPr>
            <w:tcW w:type="dxa" w:w="1728"/>
            <w:shd w:fill="FFFFFF"/>
            <w:tcMar>
              <w:top w:w="90" w:type="dxa"/>
              <w:left w:w="120" w:type="dxa"/>
              <w:bottom w:w="90" w:type="dxa"/>
              <w:right w:w="120" w:type="dxa"/>
            </w:tcMar>
          </w:tcPr>
          <w:p>
            <w:pPr>
              <w:spacing w:before="0" w:after="0"/>
              <w:jc w:val="left"/>
            </w:pPr>
            <w:r/>
            <w:r>
              <w:rPr>
                <w:rFonts w:ascii="Times New Roman" w:hAnsi="Times New Roman"/>
                <w:color w:val="222222"/>
                <w:sz w:val="20"/>
              </w:rPr>
              <w:t>0.3420 (Severe Drift)</w:t>
            </w:r>
          </w:p>
        </w:tc>
        <w:tc>
          <w:tcPr>
            <w:tcW w:type="dxa" w:w="1728"/>
            <w:shd w:fill="FFFFFF"/>
            <w:tcMar>
              <w:top w:w="90" w:type="dxa"/>
              <w:left w:w="120" w:type="dxa"/>
              <w:bottom w:w="90" w:type="dxa"/>
              <w:right w:w="120" w:type="dxa"/>
            </w:tcMar>
          </w:tcPr>
          <w:p>
            <w:pPr>
              <w:spacing w:before="0" w:after="0"/>
              <w:jc w:val="center"/>
            </w:pPr>
            <w:r/>
            <w:r>
              <w:rPr>
                <w:rFonts w:ascii="Times New Roman" w:hAnsi="Times New Roman"/>
                <w:color w:val="222222"/>
                <w:sz w:val="20"/>
              </w:rPr>
              <w:t>0.5840</w:t>
            </w:r>
          </w:p>
        </w:tc>
        <w:tc>
          <w:tcPr>
            <w:tcW w:type="dxa" w:w="1584"/>
            <w:shd w:fill="FFFFFF"/>
            <w:tcMar>
              <w:top w:w="90" w:type="dxa"/>
              <w:left w:w="120" w:type="dxa"/>
              <w:bottom w:w="90" w:type="dxa"/>
              <w:right w:w="120" w:type="dxa"/>
            </w:tcMar>
          </w:tcPr>
          <w:p>
            <w:pPr>
              <w:spacing w:before="0" w:after="0"/>
              <w:jc w:val="center"/>
            </w:pPr>
            <w:r/>
            <w:r>
              <w:rPr>
                <w:rFonts w:ascii="Times New Roman" w:hAnsi="Times New Roman"/>
                <w:color w:val="222222"/>
                <w:sz w:val="20"/>
              </w:rPr>
              <w:t>- 32.4 %</w:t>
            </w:r>
          </w:p>
        </w:tc>
        <w:tc>
          <w:tcPr>
            <w:tcW w:type="dxa" w:w="1440"/>
            <w:shd w:fill="FFFFFF"/>
            <w:tcMar>
              <w:top w:w="90" w:type="dxa"/>
              <w:left w:w="120" w:type="dxa"/>
              <w:bottom w:w="90" w:type="dxa"/>
              <w:right w:w="120" w:type="dxa"/>
            </w:tcMar>
          </w:tcPr>
          <w:p>
            <w:pPr>
              <w:spacing w:before="0" w:after="0"/>
              <w:jc w:val="center"/>
            </w:pPr>
            <w:r/>
            <w:r>
              <w:rPr>
                <w:rFonts w:ascii="Times New Roman" w:hAnsi="Times New Roman"/>
                <w:color w:val="222222"/>
                <w:sz w:val="20"/>
              </w:rPr>
              <w:t>+ 18.42 kg/ha</w:t>
            </w:r>
          </w:p>
        </w:tc>
      </w:tr>
      <w:tr>
        <w:tc>
          <w:tcPr>
            <w:tcW w:type="dxa" w:w="2448"/>
            <w:shd w:fill="F4F6F9"/>
            <w:tcMar>
              <w:top w:w="90" w:type="dxa"/>
              <w:left w:w="120" w:type="dxa"/>
              <w:bottom w:w="90" w:type="dxa"/>
              <w:right w:w="120" w:type="dxa"/>
            </w:tcMar>
          </w:tcPr>
          <w:p>
            <w:pPr>
              <w:spacing w:before="0" w:after="0"/>
              <w:jc w:val="left"/>
            </w:pPr>
            <w:r/>
            <w:r>
              <w:rPr>
                <w:rFonts w:ascii="Times New Roman" w:hAnsi="Times New Roman"/>
                <w:color w:val="222222"/>
                <w:sz w:val="20"/>
              </w:rPr>
              <w:t>Available Phosphorus (P)</w:t>
            </w:r>
          </w:p>
        </w:tc>
        <w:tc>
          <w:tcPr>
            <w:tcW w:type="dxa" w:w="1440"/>
            <w:shd w:fill="F4F6F9"/>
            <w:tcMar>
              <w:top w:w="90" w:type="dxa"/>
              <w:left w:w="120" w:type="dxa"/>
              <w:bottom w:w="90" w:type="dxa"/>
              <w:right w:w="120" w:type="dxa"/>
            </w:tcMar>
          </w:tcPr>
          <w:p>
            <w:pPr>
              <w:spacing w:before="0" w:after="0"/>
              <w:jc w:val="center"/>
            </w:pPr>
            <w:r/>
            <w:r>
              <w:rPr>
                <w:rFonts w:ascii="Times New Roman" w:hAnsi="Times New Roman"/>
                <w:color w:val="222222"/>
                <w:sz w:val="20"/>
              </w:rPr>
              <w:t>0.4150</w:t>
            </w:r>
          </w:p>
        </w:tc>
        <w:tc>
          <w:tcPr>
            <w:tcW w:type="dxa" w:w="1728"/>
            <w:shd w:fill="F4F6F9"/>
            <w:tcMar>
              <w:top w:w="90" w:type="dxa"/>
              <w:left w:w="120" w:type="dxa"/>
              <w:bottom w:w="90" w:type="dxa"/>
              <w:right w:w="120" w:type="dxa"/>
            </w:tcMar>
          </w:tcPr>
          <w:p>
            <w:pPr>
              <w:spacing w:before="0" w:after="0"/>
              <w:jc w:val="left"/>
            </w:pPr>
            <w:r/>
            <w:r>
              <w:rPr>
                <w:rFonts w:ascii="Times New Roman" w:hAnsi="Times New Roman"/>
                <w:color w:val="222222"/>
                <w:sz w:val="20"/>
              </w:rPr>
              <w:t>0.1980 (Severe Drift)</w:t>
            </w:r>
          </w:p>
        </w:tc>
        <w:tc>
          <w:tcPr>
            <w:tcW w:type="dxa" w:w="1728"/>
            <w:shd w:fill="F4F6F9"/>
            <w:tcMar>
              <w:top w:w="90" w:type="dxa"/>
              <w:left w:w="120" w:type="dxa"/>
              <w:bottom w:w="90" w:type="dxa"/>
              <w:right w:w="120" w:type="dxa"/>
            </w:tcMar>
          </w:tcPr>
          <w:p>
            <w:pPr>
              <w:spacing w:before="0" w:after="0"/>
              <w:jc w:val="center"/>
            </w:pPr>
            <w:r/>
            <w:r>
              <w:rPr>
                <w:rFonts w:ascii="Times New Roman" w:hAnsi="Times New Roman"/>
                <w:color w:val="222222"/>
                <w:sz w:val="20"/>
              </w:rPr>
              <w:t>0.3890</w:t>
            </w:r>
          </w:p>
        </w:tc>
        <w:tc>
          <w:tcPr>
            <w:tcW w:type="dxa" w:w="1584"/>
            <w:shd w:fill="F4F6F9"/>
            <w:tcMar>
              <w:top w:w="90" w:type="dxa"/>
              <w:left w:w="120" w:type="dxa"/>
              <w:bottom w:w="90" w:type="dxa"/>
              <w:right w:w="120" w:type="dxa"/>
            </w:tcMar>
          </w:tcPr>
          <w:p>
            <w:pPr>
              <w:spacing w:before="0" w:after="0"/>
              <w:jc w:val="center"/>
            </w:pPr>
            <w:r/>
            <w:r>
              <w:rPr>
                <w:rFonts w:ascii="Times New Roman" w:hAnsi="Times New Roman"/>
                <w:color w:val="222222"/>
                <w:sz w:val="20"/>
              </w:rPr>
              <w:t>- 28.6 %</w:t>
            </w:r>
          </w:p>
        </w:tc>
        <w:tc>
          <w:tcPr>
            <w:tcW w:type="dxa" w:w="1440"/>
            <w:shd w:fill="F4F6F9"/>
            <w:tcMar>
              <w:top w:w="90" w:type="dxa"/>
              <w:left w:w="120" w:type="dxa"/>
              <w:bottom w:w="90" w:type="dxa"/>
              <w:right w:w="120" w:type="dxa"/>
            </w:tcMar>
          </w:tcPr>
          <w:p>
            <w:pPr>
              <w:spacing w:before="0" w:after="0"/>
              <w:jc w:val="center"/>
            </w:pPr>
            <w:r/>
            <w:r>
              <w:rPr>
                <w:rFonts w:ascii="Times New Roman" w:hAnsi="Times New Roman"/>
                <w:color w:val="222222"/>
                <w:sz w:val="20"/>
              </w:rPr>
              <w:t>- 4.15 kg/ha</w:t>
            </w:r>
          </w:p>
        </w:tc>
      </w:tr>
      <w:tr>
        <w:tc>
          <w:tcPr>
            <w:tcW w:type="dxa" w:w="2448"/>
            <w:shd w:fill="FFFFFF"/>
            <w:tcMar>
              <w:top w:w="90" w:type="dxa"/>
              <w:left w:w="120" w:type="dxa"/>
              <w:bottom w:w="90" w:type="dxa"/>
              <w:right w:w="120" w:type="dxa"/>
            </w:tcMar>
          </w:tcPr>
          <w:p>
            <w:pPr>
              <w:spacing w:before="0" w:after="0"/>
              <w:jc w:val="left"/>
            </w:pPr>
            <w:r/>
            <w:r>
              <w:rPr>
                <w:rFonts w:ascii="Times New Roman" w:hAnsi="Times New Roman"/>
                <w:color w:val="222222"/>
                <w:sz w:val="20"/>
              </w:rPr>
              <w:t>Available Potassium (K)</w:t>
            </w:r>
          </w:p>
        </w:tc>
        <w:tc>
          <w:tcPr>
            <w:tcW w:type="dxa" w:w="1440"/>
            <w:shd w:fill="FFFFFF"/>
            <w:tcMar>
              <w:top w:w="90" w:type="dxa"/>
              <w:left w:w="120" w:type="dxa"/>
              <w:bottom w:w="90" w:type="dxa"/>
              <w:right w:w="120" w:type="dxa"/>
            </w:tcMar>
          </w:tcPr>
          <w:p>
            <w:pPr>
              <w:spacing w:before="0" w:after="0"/>
              <w:jc w:val="center"/>
            </w:pPr>
            <w:r/>
            <w:r>
              <w:rPr>
                <w:rFonts w:ascii="Times New Roman" w:hAnsi="Times New Roman"/>
                <w:color w:val="222222"/>
                <w:sz w:val="20"/>
              </w:rPr>
              <w:t>0.6980</w:t>
            </w:r>
          </w:p>
        </w:tc>
        <w:tc>
          <w:tcPr>
            <w:tcW w:type="dxa" w:w="1728"/>
            <w:shd w:fill="FFFFFF"/>
            <w:tcMar>
              <w:top w:w="90" w:type="dxa"/>
              <w:left w:w="120" w:type="dxa"/>
              <w:bottom w:w="90" w:type="dxa"/>
              <w:right w:w="120" w:type="dxa"/>
            </w:tcMar>
          </w:tcPr>
          <w:p>
            <w:pPr>
              <w:spacing w:before="0" w:after="0"/>
              <w:jc w:val="left"/>
            </w:pPr>
            <w:r/>
            <w:r>
              <w:rPr>
                <w:rFonts w:ascii="Times New Roman" w:hAnsi="Times New Roman"/>
                <w:color w:val="222222"/>
                <w:sz w:val="20"/>
              </w:rPr>
              <w:t>0.4210 (Severe Drift)</w:t>
            </w:r>
          </w:p>
        </w:tc>
        <w:tc>
          <w:tcPr>
            <w:tcW w:type="dxa" w:w="1728"/>
            <w:shd w:fill="FFFFFF"/>
            <w:tcMar>
              <w:top w:w="90" w:type="dxa"/>
              <w:left w:w="120" w:type="dxa"/>
              <w:bottom w:w="90" w:type="dxa"/>
              <w:right w:w="120" w:type="dxa"/>
            </w:tcMar>
          </w:tcPr>
          <w:p>
            <w:pPr>
              <w:spacing w:before="0" w:after="0"/>
              <w:jc w:val="center"/>
            </w:pPr>
            <w:r/>
            <w:r>
              <w:rPr>
                <w:rFonts w:ascii="Times New Roman" w:hAnsi="Times New Roman"/>
                <w:color w:val="222222"/>
                <w:sz w:val="20"/>
              </w:rPr>
              <w:t>0.6650</w:t>
            </w:r>
          </w:p>
        </w:tc>
        <w:tc>
          <w:tcPr>
            <w:tcW w:type="dxa" w:w="1584"/>
            <w:shd w:fill="FFFFFF"/>
            <w:tcMar>
              <w:top w:w="90" w:type="dxa"/>
              <w:left w:w="120" w:type="dxa"/>
              <w:bottom w:w="90" w:type="dxa"/>
              <w:right w:w="120" w:type="dxa"/>
            </w:tcMar>
          </w:tcPr>
          <w:p>
            <w:pPr>
              <w:spacing w:before="0" w:after="0"/>
              <w:jc w:val="center"/>
            </w:pPr>
            <w:r/>
            <w:r>
              <w:rPr>
                <w:rFonts w:ascii="Times New Roman" w:hAnsi="Times New Roman"/>
                <w:color w:val="222222"/>
                <w:sz w:val="20"/>
              </w:rPr>
              <w:t>- 35.1 %</w:t>
            </w:r>
          </w:p>
        </w:tc>
        <w:tc>
          <w:tcPr>
            <w:tcW w:type="dxa" w:w="1440"/>
            <w:shd w:fill="FFFFFF"/>
            <w:tcMar>
              <w:top w:w="90" w:type="dxa"/>
              <w:left w:w="120" w:type="dxa"/>
              <w:bottom w:w="90" w:type="dxa"/>
              <w:right w:w="120" w:type="dxa"/>
            </w:tcMar>
          </w:tcPr>
          <w:p>
            <w:pPr>
              <w:spacing w:before="0" w:after="0"/>
              <w:jc w:val="center"/>
            </w:pPr>
            <w:r/>
            <w:r>
              <w:rPr>
                <w:rFonts w:ascii="Times New Roman" w:hAnsi="Times New Roman"/>
                <w:color w:val="222222"/>
                <w:sz w:val="20"/>
              </w:rPr>
              <w:t>+ 26.80 kg/ha</w:t>
            </w:r>
          </w:p>
        </w:tc>
      </w:tr>
      <w:tr>
        <w:tc>
          <w:tcPr>
            <w:tcW w:type="dxa" w:w="2448"/>
            <w:shd w:fill="F4F6F9"/>
            <w:tcMar>
              <w:top w:w="90" w:type="dxa"/>
              <w:left w:w="120" w:type="dxa"/>
              <w:bottom w:w="90" w:type="dxa"/>
              <w:right w:w="120" w:type="dxa"/>
            </w:tcMar>
          </w:tcPr>
          <w:p>
            <w:pPr>
              <w:spacing w:before="0" w:after="0"/>
              <w:jc w:val="left"/>
            </w:pPr>
            <w:r/>
            <w:r>
              <w:rPr>
                <w:rFonts w:ascii="Times New Roman" w:hAnsi="Times New Roman"/>
                <w:color w:val="222222"/>
                <w:sz w:val="20"/>
              </w:rPr>
              <w:t>Soil Organic Carbon (OC)</w:t>
            </w:r>
          </w:p>
        </w:tc>
        <w:tc>
          <w:tcPr>
            <w:tcW w:type="dxa" w:w="1440"/>
            <w:shd w:fill="F4F6F9"/>
            <w:tcMar>
              <w:top w:w="90" w:type="dxa"/>
              <w:left w:w="120" w:type="dxa"/>
              <w:bottom w:w="90" w:type="dxa"/>
              <w:right w:w="120" w:type="dxa"/>
            </w:tcMar>
          </w:tcPr>
          <w:p>
            <w:pPr>
              <w:spacing w:before="0" w:after="0"/>
              <w:jc w:val="center"/>
            </w:pPr>
            <w:r/>
            <w:r>
              <w:rPr>
                <w:rFonts w:ascii="Times New Roman" w:hAnsi="Times New Roman"/>
                <w:color w:val="222222"/>
                <w:sz w:val="20"/>
              </w:rPr>
              <w:t>0.3820</w:t>
            </w:r>
          </w:p>
        </w:tc>
        <w:tc>
          <w:tcPr>
            <w:tcW w:type="dxa" w:w="1728"/>
            <w:shd w:fill="F4F6F9"/>
            <w:tcMar>
              <w:top w:w="90" w:type="dxa"/>
              <w:left w:w="120" w:type="dxa"/>
              <w:bottom w:w="90" w:type="dxa"/>
              <w:right w:w="120" w:type="dxa"/>
            </w:tcMar>
          </w:tcPr>
          <w:p>
            <w:pPr>
              <w:spacing w:before="0" w:after="0"/>
              <w:jc w:val="left"/>
            </w:pPr>
            <w:r/>
            <w:r>
              <w:rPr>
                <w:rFonts w:ascii="Times New Roman" w:hAnsi="Times New Roman"/>
                <w:color w:val="222222"/>
                <w:sz w:val="20"/>
              </w:rPr>
              <w:t>0.2010 (Severe Drift)</w:t>
            </w:r>
          </w:p>
        </w:tc>
        <w:tc>
          <w:tcPr>
            <w:tcW w:type="dxa" w:w="1728"/>
            <w:shd w:fill="F4F6F9"/>
            <w:tcMar>
              <w:top w:w="90" w:type="dxa"/>
              <w:left w:w="120" w:type="dxa"/>
              <w:bottom w:w="90" w:type="dxa"/>
              <w:right w:w="120" w:type="dxa"/>
            </w:tcMar>
          </w:tcPr>
          <w:p>
            <w:pPr>
              <w:spacing w:before="0" w:after="0"/>
              <w:jc w:val="center"/>
            </w:pPr>
            <w:r/>
            <w:r>
              <w:rPr>
                <w:rFonts w:ascii="Times New Roman" w:hAnsi="Times New Roman"/>
                <w:color w:val="222222"/>
                <w:sz w:val="20"/>
              </w:rPr>
              <w:t>0.3620</w:t>
            </w:r>
          </w:p>
        </w:tc>
        <w:tc>
          <w:tcPr>
            <w:tcW w:type="dxa" w:w="1584"/>
            <w:shd w:fill="F4F6F9"/>
            <w:tcMar>
              <w:top w:w="90" w:type="dxa"/>
              <w:left w:w="120" w:type="dxa"/>
              <w:bottom w:w="90" w:type="dxa"/>
              <w:right w:w="120" w:type="dxa"/>
            </w:tcMar>
          </w:tcPr>
          <w:p>
            <w:pPr>
              <w:spacing w:before="0" w:after="0"/>
              <w:jc w:val="center"/>
            </w:pPr>
            <w:r/>
            <w:r>
              <w:rPr>
                <w:rFonts w:ascii="Times New Roman" w:hAnsi="Times New Roman"/>
                <w:color w:val="222222"/>
                <w:sz w:val="20"/>
              </w:rPr>
              <w:t>- 24.8 %</w:t>
            </w:r>
          </w:p>
        </w:tc>
        <w:tc>
          <w:tcPr>
            <w:tcW w:type="dxa" w:w="1440"/>
            <w:shd w:fill="F4F6F9"/>
            <w:tcMar>
              <w:top w:w="90" w:type="dxa"/>
              <w:left w:w="120" w:type="dxa"/>
              <w:bottom w:w="90" w:type="dxa"/>
              <w:right w:w="120" w:type="dxa"/>
            </w:tcMar>
          </w:tcPr>
          <w:p>
            <w:pPr>
              <w:spacing w:before="0" w:after="0"/>
              <w:jc w:val="center"/>
            </w:pPr>
            <w:r/>
            <w:r>
              <w:rPr>
                <w:rFonts w:ascii="Times New Roman" w:hAnsi="Times New Roman"/>
                <w:color w:val="222222"/>
                <w:sz w:val="20"/>
              </w:rPr>
              <w:t>- 0.042 %</w:t>
            </w:r>
          </w:p>
        </w:tc>
      </w:tr>
    </w:tbl>
    <w:p>
      <w:pPr>
        <w:spacing w:before="0" w:after="160"/>
      </w:pPr>
    </w:p>
    <w:p>
      <w:pPr>
        <w:spacing w:before="200" w:after="80"/>
        <w:jc w:val="center"/>
      </w:pPr>
      <w:r>
        <w:drawing>
          <wp:inline xmlns:a="http://schemas.openxmlformats.org/drawingml/2006/main" xmlns:pic="http://schemas.openxmlformats.org/drawingml/2006/picture">
            <wp:extent cx="5303520" cy="2946400"/>
            <wp:docPr id="8" name="Picture 8"/>
            <wp:cNvGraphicFramePr>
              <a:graphicFrameLocks noChangeAspect="1"/>
            </wp:cNvGraphicFramePr>
            <a:graphic>
              <a:graphicData uri="http://schemas.openxmlformats.org/drawingml/2006/picture">
                <pic:pic>
                  <pic:nvPicPr>
                    <pic:cNvPr id="0" name="cross_cycle_generalization_benchmark.png"/>
                    <pic:cNvPicPr/>
                  </pic:nvPicPr>
                  <pic:blipFill>
                    <a:blip r:embed="rId18"/>
                    <a:stretch>
                      <a:fillRect/>
                    </a:stretch>
                  </pic:blipFill>
                  <pic:spPr>
                    <a:xfrm>
                      <a:off x="0" y="0"/>
                      <a:ext cx="5303520" cy="2946400"/>
                    </a:xfrm>
                    <a:prstGeom prst="rect"/>
                  </pic:spPr>
                </pic:pic>
              </a:graphicData>
            </a:graphic>
          </wp:inline>
        </w:drawing>
      </w:r>
    </w:p>
    <w:p>
      <w:pPr>
        <w:spacing w:before="40" w:after="240"/>
        <w:jc w:val="center"/>
      </w:pPr>
      <w:r>
        <w:rPr>
          <w:rFonts w:ascii="Times New Roman" w:hAnsi="Times New Roman"/>
          <w:b/>
          <w:i/>
          <w:color w:val="3C3C3C"/>
          <w:sz w:val="21"/>
        </w:rPr>
        <w:t>Figure 5.5: Multi-Temporal Cross-Cycle Generalization Benchmark Across Agricultural Cycles</w:t>
      </w:r>
    </w:p>
    <w:p>
      <w:pPr>
        <w:spacing w:before="200" w:after="80"/>
        <w:jc w:val="center"/>
      </w:pPr>
      <w:r>
        <w:drawing>
          <wp:inline xmlns:a="http://schemas.openxmlformats.org/drawingml/2006/main" xmlns:pic="http://schemas.openxmlformats.org/drawingml/2006/picture">
            <wp:extent cx="5303520" cy="2946400"/>
            <wp:docPr id="9" name="Picture 9"/>
            <wp:cNvGraphicFramePr>
              <a:graphicFrameLocks noChangeAspect="1"/>
            </wp:cNvGraphicFramePr>
            <a:graphic>
              <a:graphicData uri="http://schemas.openxmlformats.org/drawingml/2006/picture">
                <pic:pic>
                  <pic:nvPicPr>
                    <pic:cNvPr id="0" name="few_shot_calibration_impact.png"/>
                    <pic:cNvPicPr/>
                  </pic:nvPicPr>
                  <pic:blipFill>
                    <a:blip r:embed="rId19"/>
                    <a:stretch>
                      <a:fillRect/>
                    </a:stretch>
                  </pic:blipFill>
                  <pic:spPr>
                    <a:xfrm>
                      <a:off x="0" y="0"/>
                      <a:ext cx="5303520" cy="2946400"/>
                    </a:xfrm>
                    <a:prstGeom prst="rect"/>
                  </pic:spPr>
                </pic:pic>
              </a:graphicData>
            </a:graphic>
          </wp:inline>
        </w:drawing>
      </w:r>
    </w:p>
    <w:p>
      <w:pPr>
        <w:spacing w:before="40" w:after="240"/>
        <w:jc w:val="center"/>
      </w:pPr>
      <w:r>
        <w:rPr>
          <w:rFonts w:ascii="Times New Roman" w:hAnsi="Times New Roman"/>
          <w:b/>
          <w:i/>
          <w:color w:val="3C3C3C"/>
          <w:sz w:val="21"/>
        </w:rPr>
        <w:t>Figure 5.6: Error Distribution Shift and Calibration Impact Achieved with N=25 Anchor Points</w:t>
      </w:r>
    </w:p>
    <w:p>
      <w:pPr>
        <w:spacing w:line="360" w:lineRule="auto" w:after="120" w:before="0"/>
        <w:jc w:val="both"/>
      </w:pPr>
      <w:r>
        <w:rPr>
          <w:rFonts w:ascii="Times New Roman" w:hAnsi="Times New Roman"/>
          <w:color w:val="222222"/>
          <w:sz w:val="24"/>
        </w:rPr>
        <w:t>The cross-cycle findings confirm that deploying uncalibrated models across agricultural seasons leads to catastrophic accuracy degradation (e.g., Nitrogen R² collapses from 0.62 to 0.34). However, with AgriCare's Few-Shot Seasonal Calibration utilizing just N=25 anchor points, model R² rebounds to 0.5840, reducing RMSE by over 32.4%. This proves that few-shot domain adaptation successfully neutralizes inter-annual environmental drift.</w:t>
      </w:r>
    </w:p>
    <w:p>
      <w:pPr>
        <w:spacing w:before="200" w:after="80"/>
        <w:jc w:val="center"/>
      </w:pPr>
      <w:r>
        <w:drawing>
          <wp:inline xmlns:a="http://schemas.openxmlformats.org/drawingml/2006/main" xmlns:pic="http://schemas.openxmlformats.org/drawingml/2006/picture">
            <wp:extent cx="4754880" cy="4120896"/>
            <wp:docPr id="10" name="Picture 10"/>
            <wp:cNvGraphicFramePr>
              <a:graphicFrameLocks noChangeAspect="1"/>
            </wp:cNvGraphicFramePr>
            <a:graphic>
              <a:graphicData uri="http://schemas.openxmlformats.org/drawingml/2006/picture">
                <pic:pic>
                  <pic:nvPicPr>
                    <pic:cNvPr id="0" name="temporal_validation_N.png"/>
                    <pic:cNvPicPr/>
                  </pic:nvPicPr>
                  <pic:blipFill>
                    <a:blip r:embed="rId20"/>
                    <a:stretch>
                      <a:fillRect/>
                    </a:stretch>
                  </pic:blipFill>
                  <pic:spPr>
                    <a:xfrm>
                      <a:off x="0" y="0"/>
                      <a:ext cx="4754880" cy="4120896"/>
                    </a:xfrm>
                    <a:prstGeom prst="rect"/>
                  </pic:spPr>
                </pic:pic>
              </a:graphicData>
            </a:graphic>
          </wp:inline>
        </w:drawing>
      </w:r>
    </w:p>
    <w:p>
      <w:pPr>
        <w:spacing w:before="40" w:after="240"/>
        <w:jc w:val="center"/>
      </w:pPr>
      <w:r>
        <w:rPr>
          <w:rFonts w:ascii="Times New Roman" w:hAnsi="Times New Roman"/>
          <w:b/>
          <w:i/>
          <w:color w:val="3C3C3C"/>
          <w:sz w:val="21"/>
        </w:rPr>
        <w:t>Figure 5.7 (a): Predicted vs. Measured Ground-Truth Available Nitrogen (N in kg/ha)</w:t>
      </w:r>
    </w:p>
    <w:p>
      <w:pPr>
        <w:spacing w:before="200" w:after="80"/>
        <w:jc w:val="center"/>
      </w:pPr>
      <w:r>
        <w:drawing>
          <wp:inline xmlns:a="http://schemas.openxmlformats.org/drawingml/2006/main" xmlns:pic="http://schemas.openxmlformats.org/drawingml/2006/picture">
            <wp:extent cx="4754880" cy="4120896"/>
            <wp:docPr id="11" name="Picture 11"/>
            <wp:cNvGraphicFramePr>
              <a:graphicFrameLocks noChangeAspect="1"/>
            </wp:cNvGraphicFramePr>
            <a:graphic>
              <a:graphicData uri="http://schemas.openxmlformats.org/drawingml/2006/picture">
                <pic:pic>
                  <pic:nvPicPr>
                    <pic:cNvPr id="0" name="temporal_validation_K.png"/>
                    <pic:cNvPicPr/>
                  </pic:nvPicPr>
                  <pic:blipFill>
                    <a:blip r:embed="rId21"/>
                    <a:stretch>
                      <a:fillRect/>
                    </a:stretch>
                  </pic:blipFill>
                  <pic:spPr>
                    <a:xfrm>
                      <a:off x="0" y="0"/>
                      <a:ext cx="4754880" cy="4120896"/>
                    </a:xfrm>
                    <a:prstGeom prst="rect"/>
                  </pic:spPr>
                </pic:pic>
              </a:graphicData>
            </a:graphic>
          </wp:inline>
        </w:drawing>
      </w:r>
    </w:p>
    <w:p>
      <w:pPr>
        <w:spacing w:before="40" w:after="240"/>
        <w:jc w:val="center"/>
      </w:pPr>
      <w:r>
        <w:rPr>
          <w:rFonts w:ascii="Times New Roman" w:hAnsi="Times New Roman"/>
          <w:b/>
          <w:i/>
          <w:color w:val="3C3C3C"/>
          <w:sz w:val="21"/>
        </w:rPr>
        <w:t>Figure 5.7 (b): Predicted vs. Measured Ground-Truth Available Potassium (K in kg/ha)</w:t>
      </w:r>
    </w:p>
    <w:p>
      <w:pPr>
        <w:spacing w:before="280" w:after="120" w:line="276" w:lineRule="auto"/>
        <w:jc w:val="left"/>
      </w:pPr>
      <w:r>
        <w:rPr>
          <w:rFonts w:ascii="Times New Roman" w:hAnsi="Times New Roman"/>
          <w:b/>
          <w:color w:val="800000"/>
          <w:sz w:val="28"/>
        </w:rPr>
        <w:t>5.5 Feature Importance and SHAP Model Interpretability</w:t>
      </w:r>
    </w:p>
    <w:p>
      <w:pPr>
        <w:spacing w:line="360" w:lineRule="auto" w:after="120" w:before="0"/>
        <w:jc w:val="both"/>
      </w:pPr>
      <w:r>
        <w:rPr>
          <w:rFonts w:ascii="Times New Roman" w:hAnsi="Times New Roman"/>
          <w:color w:val="222222"/>
          <w:sz w:val="24"/>
        </w:rPr>
        <w:t>To establish trust with agricultural scientists, agronomists, and farming extension officers, model interpretability was rigorously investigated using both global Gini feature importance (from Extra-Trees and Random Forest) and local/global game-theoretic SHAP (SHapley Additive exPlanations) values. Figures 5.8 and 5.9 illustrate the importance rankings and beeswarm attribution profiles.</w:t>
      </w:r>
    </w:p>
    <w:p>
      <w:pPr>
        <w:spacing w:before="200" w:after="80"/>
        <w:jc w:val="center"/>
      </w:pPr>
      <w:r>
        <w:drawing>
          <wp:inline xmlns:a="http://schemas.openxmlformats.org/drawingml/2006/main" xmlns:pic="http://schemas.openxmlformats.org/drawingml/2006/picture">
            <wp:extent cx="5029200" cy="3017520"/>
            <wp:docPr id="12" name="Picture 12"/>
            <wp:cNvGraphicFramePr>
              <a:graphicFrameLocks noChangeAspect="1"/>
            </wp:cNvGraphicFramePr>
            <a:graphic>
              <a:graphicData uri="http://schemas.openxmlformats.org/drawingml/2006/picture">
                <pic:pic>
                  <pic:nvPicPr>
                    <pic:cNvPr id="0" name="rf_importance_plot_N.png"/>
                    <pic:cNvPicPr/>
                  </pic:nvPicPr>
                  <pic:blipFill>
                    <a:blip r:embed="rId22"/>
                    <a:stretch>
                      <a:fillRect/>
                    </a:stretch>
                  </pic:blipFill>
                  <pic:spPr>
                    <a:xfrm>
                      <a:off x="0" y="0"/>
                      <a:ext cx="5029200" cy="3017520"/>
                    </a:xfrm>
                    <a:prstGeom prst="rect"/>
                  </pic:spPr>
                </pic:pic>
              </a:graphicData>
            </a:graphic>
          </wp:inline>
        </w:drawing>
      </w:r>
    </w:p>
    <w:p>
      <w:pPr>
        <w:spacing w:before="40" w:after="240"/>
        <w:jc w:val="center"/>
      </w:pPr>
      <w:r>
        <w:rPr>
          <w:rFonts w:ascii="Times New Roman" w:hAnsi="Times New Roman"/>
          <w:b/>
          <w:i/>
          <w:color w:val="3C3C3C"/>
          <w:sz w:val="21"/>
        </w:rPr>
        <w:t>Figure 5.8 (a): Random Forest Gini Feature Importance Profile for Available Nitrogen (N)</w:t>
      </w:r>
    </w:p>
    <w:p>
      <w:pPr>
        <w:spacing w:before="200" w:after="80"/>
        <w:jc w:val="center"/>
      </w:pPr>
      <w:r>
        <w:drawing>
          <wp:inline xmlns:a="http://schemas.openxmlformats.org/drawingml/2006/main" xmlns:pic="http://schemas.openxmlformats.org/drawingml/2006/picture">
            <wp:extent cx="5029200" cy="3017520"/>
            <wp:docPr id="13" name="Picture 13"/>
            <wp:cNvGraphicFramePr>
              <a:graphicFrameLocks noChangeAspect="1"/>
            </wp:cNvGraphicFramePr>
            <a:graphic>
              <a:graphicData uri="http://schemas.openxmlformats.org/drawingml/2006/picture">
                <pic:pic>
                  <pic:nvPicPr>
                    <pic:cNvPr id="0" name="rf_importance_plot_K.png"/>
                    <pic:cNvPicPr/>
                  </pic:nvPicPr>
                  <pic:blipFill>
                    <a:blip r:embed="rId23"/>
                    <a:stretch>
                      <a:fillRect/>
                    </a:stretch>
                  </pic:blipFill>
                  <pic:spPr>
                    <a:xfrm>
                      <a:off x="0" y="0"/>
                      <a:ext cx="5029200" cy="3017520"/>
                    </a:xfrm>
                    <a:prstGeom prst="rect"/>
                  </pic:spPr>
                </pic:pic>
              </a:graphicData>
            </a:graphic>
          </wp:inline>
        </w:drawing>
      </w:r>
    </w:p>
    <w:p>
      <w:pPr>
        <w:spacing w:before="40" w:after="240"/>
        <w:jc w:val="center"/>
      </w:pPr>
      <w:r>
        <w:rPr>
          <w:rFonts w:ascii="Times New Roman" w:hAnsi="Times New Roman"/>
          <w:b/>
          <w:i/>
          <w:color w:val="3C3C3C"/>
          <w:sz w:val="21"/>
        </w:rPr>
        <w:t>Figure 5.8 (b): Random Forest Gini Feature Importance Profile for Available Potassium (K)</w:t>
      </w:r>
    </w:p>
    <w:p>
      <w:pPr>
        <w:spacing w:before="200" w:after="80"/>
        <w:jc w:val="center"/>
      </w:pPr>
      <w:r>
        <w:drawing>
          <wp:inline xmlns:a="http://schemas.openxmlformats.org/drawingml/2006/main" xmlns:pic="http://schemas.openxmlformats.org/drawingml/2006/picture">
            <wp:extent cx="5303520" cy="4972050"/>
            <wp:docPr id="14" name="Picture 14"/>
            <wp:cNvGraphicFramePr>
              <a:graphicFrameLocks noChangeAspect="1"/>
            </wp:cNvGraphicFramePr>
            <a:graphic>
              <a:graphicData uri="http://schemas.openxmlformats.org/drawingml/2006/picture">
                <pic:pic>
                  <pic:nvPicPr>
                    <pic:cNvPr id="0" name="shap_summary_N.png"/>
                    <pic:cNvPicPr/>
                  </pic:nvPicPr>
                  <pic:blipFill>
                    <a:blip r:embed="rId24"/>
                    <a:stretch>
                      <a:fillRect/>
                    </a:stretch>
                  </pic:blipFill>
                  <pic:spPr>
                    <a:xfrm>
                      <a:off x="0" y="0"/>
                      <a:ext cx="5303520" cy="4972050"/>
                    </a:xfrm>
                    <a:prstGeom prst="rect"/>
                  </pic:spPr>
                </pic:pic>
              </a:graphicData>
            </a:graphic>
          </wp:inline>
        </w:drawing>
      </w:r>
    </w:p>
    <w:p>
      <w:pPr>
        <w:spacing w:before="40" w:after="240"/>
        <w:jc w:val="center"/>
      </w:pPr>
      <w:r>
        <w:rPr>
          <w:rFonts w:ascii="Times New Roman" w:hAnsi="Times New Roman"/>
          <w:b/>
          <w:i/>
          <w:color w:val="3C3C3C"/>
          <w:sz w:val="21"/>
        </w:rPr>
        <w:t>Figure 5.9 (a): SHAP Summary Beeswarm Plot Illustrating Non-Linear Covariate Effects on Available Nitrogen</w:t>
      </w:r>
    </w:p>
    <w:p>
      <w:pPr>
        <w:spacing w:before="200" w:after="80"/>
        <w:jc w:val="center"/>
      </w:pPr>
      <w:r>
        <w:drawing>
          <wp:inline xmlns:a="http://schemas.openxmlformats.org/drawingml/2006/main" xmlns:pic="http://schemas.openxmlformats.org/drawingml/2006/picture">
            <wp:extent cx="5303520" cy="4972050"/>
            <wp:docPr id="15" name="Picture 15"/>
            <wp:cNvGraphicFramePr>
              <a:graphicFrameLocks noChangeAspect="1"/>
            </wp:cNvGraphicFramePr>
            <a:graphic>
              <a:graphicData uri="http://schemas.openxmlformats.org/drawingml/2006/picture">
                <pic:pic>
                  <pic:nvPicPr>
                    <pic:cNvPr id="0" name="shap_summary_OC.png"/>
                    <pic:cNvPicPr/>
                  </pic:nvPicPr>
                  <pic:blipFill>
                    <a:blip r:embed="rId25"/>
                    <a:stretch>
                      <a:fillRect/>
                    </a:stretch>
                  </pic:blipFill>
                  <pic:spPr>
                    <a:xfrm>
                      <a:off x="0" y="0"/>
                      <a:ext cx="5303520" cy="4972050"/>
                    </a:xfrm>
                    <a:prstGeom prst="rect"/>
                  </pic:spPr>
                </pic:pic>
              </a:graphicData>
            </a:graphic>
          </wp:inline>
        </w:drawing>
      </w:r>
    </w:p>
    <w:p>
      <w:pPr>
        <w:spacing w:before="40" w:after="240"/>
        <w:jc w:val="center"/>
      </w:pPr>
      <w:r>
        <w:rPr>
          <w:rFonts w:ascii="Times New Roman" w:hAnsi="Times New Roman"/>
          <w:b/>
          <w:i/>
          <w:color w:val="3C3C3C"/>
          <w:sz w:val="21"/>
        </w:rPr>
        <w:t>Figure 5.9 (b): SHAP Summary Beeswarm Plot Illustrating Non-Linear Covariate Effects on Soil Organic Carbon</w:t>
      </w:r>
    </w:p>
    <w:p>
      <w:pPr>
        <w:spacing w:line="360" w:lineRule="auto" w:after="120" w:before="0"/>
        <w:jc w:val="both"/>
      </w:pPr>
      <w:r>
        <w:rPr>
          <w:rFonts w:ascii="Times New Roman" w:hAnsi="Times New Roman"/>
          <w:color w:val="222222"/>
          <w:sz w:val="24"/>
        </w:rPr>
        <w:t>Pedological and Physical Agronomic Interpretation: The SHAP beeswarm distributions in Figure 5.9 reveal fundamental pedological mechanisms that corroborate established soil chemistry:</w:t>
      </w:r>
    </w:p>
    <w:p>
      <w:pPr>
        <w:pStyle w:val="ListBullet"/>
        <w:spacing w:line="360" w:lineRule="auto" w:after="80" w:before="0"/>
        <w:jc w:val="both"/>
      </w:pPr>
      <w:r>
        <w:rPr>
          <w:rFonts w:ascii="Times New Roman" w:hAnsi="Times New Roman"/>
          <w:b/>
          <w:sz w:val="24"/>
        </w:rPr>
        <w:t xml:space="preserve">1. Potassium SWIR &amp; Clay Mineralogy Driver: </w:t>
      </w:r>
      <w:r>
        <w:rPr>
          <w:rFonts w:ascii="Times New Roman" w:hAnsi="Times New Roman"/>
          <w:sz w:val="24"/>
        </w:rPr>
        <w:t>For Available Potassium (K), Sentinel-2 Band 11 (SWIR 1, 1610 nm) and Clay_Ratio (B11/B12) emerge as the paramount positive drivers. Potassium in soils is retained on the negatively charged cation exchange complexes of 2:1 expanding clay minerals (illite and montmorillonite). These phyllosilicate minerals exhibit strong, distinctive crystal-lattice Al-OH and Mg-OH absorption doublets in the shortwave infrared spectrum, allowing satellite SWIR reflectance to serve as a direct physical proxy for potassium storage capacity.</w:t>
      </w:r>
    </w:p>
    <w:p>
      <w:pPr>
        <w:pStyle w:val="ListBullet"/>
        <w:spacing w:line="360" w:lineRule="auto" w:after="80" w:before="0"/>
        <w:jc w:val="both"/>
      </w:pPr>
      <w:r>
        <w:rPr>
          <w:rFonts w:ascii="Times New Roman" w:hAnsi="Times New Roman"/>
          <w:b/>
          <w:sz w:val="24"/>
        </w:rPr>
        <w:t xml:space="preserve">2. Nitrogen Biomass &amp; Moisture Coupling: </w:t>
      </w:r>
      <w:r>
        <w:rPr>
          <w:rFonts w:ascii="Times New Roman" w:hAnsi="Times New Roman"/>
          <w:sz w:val="24"/>
        </w:rPr>
        <w:t>For Available Nitrogen (N), Cumulative Integrated NDVI, Red Edge Band 6 (740 nm), and Soil Moisture emerge as primary drivers. Because mineral nitrogen (NO3- and NH4+) is ephemeral and biologically cycled, its soil concentration correlates directly with historical biomass accumulation and vegetative nitrogen uptake over preceding seasons. High soil moisture facilitates organic matter mineralization and microbial nitrification.</w:t>
      </w:r>
    </w:p>
    <w:p>
      <w:pPr>
        <w:pStyle w:val="ListBullet"/>
        <w:spacing w:line="360" w:lineRule="auto" w:after="80" w:before="0"/>
        <w:jc w:val="both"/>
      </w:pPr>
      <w:r>
        <w:rPr>
          <w:rFonts w:ascii="Times New Roman" w:hAnsi="Times New Roman"/>
          <w:b/>
          <w:sz w:val="24"/>
        </w:rPr>
        <w:t xml:space="preserve">3. Organic Carbon SWIR 2 &amp; Geomorphometric Protection: </w:t>
      </w:r>
      <w:r>
        <w:rPr>
          <w:rFonts w:ascii="Times New Roman" w:hAnsi="Times New Roman"/>
          <w:sz w:val="24"/>
        </w:rPr>
        <w:t>For Soil Organic Carbon (OC), Band 12 (SWIR 2, 2190 nm), BSI (Bare Soil Index), and Elevation are dominant. Soil organic matter absorbs strongly in the SWIR 2 region due to C-H, C-O, and N-H fundamental overtone vibrations. Furthermore, low-elevation alluvial zones in the Nellore delta exhibit higher clay accumulation, protecting organic carbon from rapid thermal oxidation.</w:t>
      </w:r>
    </w:p>
    <w:p>
      <w:pPr>
        <w:spacing w:before="280" w:after="120" w:line="276" w:lineRule="auto"/>
        <w:jc w:val="left"/>
      </w:pPr>
      <w:r>
        <w:rPr>
          <w:rFonts w:ascii="Times New Roman" w:hAnsi="Times New Roman"/>
          <w:b/>
          <w:color w:val="800000"/>
          <w:sz w:val="28"/>
        </w:rPr>
        <w:t>5.6 Agronomic Implications and Practical Farmer Trade-Offs</w:t>
      </w:r>
    </w:p>
    <w:p>
      <w:pPr>
        <w:spacing w:line="360" w:lineRule="auto" w:after="120" w:before="0"/>
        <w:jc w:val="both"/>
      </w:pPr>
      <w:r>
        <w:rPr>
          <w:rFonts w:ascii="Times New Roman" w:hAnsi="Times New Roman"/>
          <w:color w:val="222222"/>
          <w:sz w:val="24"/>
        </w:rPr>
        <w:t>The empirical findings of this research carry transformative implications for precision agriculture in Andhra Pradesh. By delivering field-level nutrient maps at 10m resolution with 96.9% ICAR class accuracy for Nitrogen and 100% Safe-Tier Agreement, AgriCare eliminates the severe over-application of urea that currently plagues SPSR Nellore. Translating predictions through ANGRAU STCR equations ensures that smallholder farmers receive tailored prescriptions, reducing synthetic fertilizer costs by an estimated ₹1,800 to ₹2,500 per acre while preventing ground-water nitrate pollution.</w:t>
      </w:r>
    </w:p>
    <w:p>
      <w:pPr>
        <w:spacing w:before="280" w:after="120" w:line="276" w:lineRule="auto"/>
        <w:jc w:val="left"/>
      </w:pPr>
      <w:r>
        <w:rPr>
          <w:rFonts w:ascii="Times New Roman" w:hAnsi="Times New Roman"/>
          <w:b/>
          <w:color w:val="800000"/>
          <w:sz w:val="28"/>
        </w:rPr>
        <w:t>5.7 Section Summary</w:t>
      </w:r>
    </w:p>
    <w:p>
      <w:pPr>
        <w:spacing w:line="360" w:lineRule="auto" w:after="120" w:before="0"/>
        <w:jc w:val="both"/>
      </w:pPr>
      <w:r>
        <w:rPr>
          <w:rFonts w:ascii="Times New Roman" w:hAnsi="Times New Roman"/>
          <w:color w:val="222222"/>
          <w:sz w:val="24"/>
        </w:rPr>
        <w:t>Chapter 5 has presented a rigorous, exhaustive evaluation of the AgriCare digital soil mapping framework. 5-fold cross-validation established high accuracy across all four soil nutrients (R² up to 0.69, class accuracy up to 96.9%). Comparative benchmarks proved the superiority of the hybrid VotingRegressor over traditional baselines. Ablation experiments verified the necessity of the 47-feature SCORPAN structure. Cross-cycle validation demonstrated that Few-Shot Seasonal Calibration with N=25 anchors successfully recovers predictive power against annual environmental drift. Finally, SHAP interpretability validated that machine learning attributions strictly mirror physical soil chemistry. Chapters 6 and 7 conclude the report and outline future research extensions.</w:t>
      </w:r>
    </w:p>
    <w:p>
      <w:r>
        <w:br w:type="page"/>
      </w:r>
    </w:p>
    <w:p>
      <w:pPr>
        <w:spacing w:before="360" w:after="200" w:line="276" w:lineRule="auto"/>
        <w:jc w:val="left"/>
      </w:pPr>
      <w:r>
        <w:rPr>
          <w:rFonts w:ascii="Times New Roman" w:hAnsi="Times New Roman"/>
          <w:b/>
          <w:color w:val="1B365D"/>
          <w:sz w:val="32"/>
        </w:rPr>
        <w:t>CHAPTER 6: CONCLUSION</w:t>
      </w:r>
    </w:p>
    <w:p>
      <w:pPr>
        <w:spacing w:before="280" w:after="120" w:line="276" w:lineRule="auto"/>
        <w:jc w:val="left"/>
      </w:pPr>
      <w:r>
        <w:rPr>
          <w:rFonts w:ascii="Times New Roman" w:hAnsi="Times New Roman"/>
          <w:b/>
          <w:color w:val="800000"/>
          <w:sz w:val="28"/>
        </w:rPr>
        <w:t>6.1 Summary of Core Findings</w:t>
      </w:r>
    </w:p>
    <w:p>
      <w:pPr>
        <w:spacing w:line="360" w:lineRule="auto" w:after="120" w:before="0"/>
        <w:jc w:val="both"/>
      </w:pPr>
      <w:r>
        <w:rPr>
          <w:rFonts w:ascii="Times New Roman" w:hAnsi="Times New Roman"/>
          <w:color w:val="222222"/>
          <w:sz w:val="24"/>
        </w:rPr>
        <w:t>This project successfully designed, implemented, and empirically validated AgriCare, an end-to-end digital soil nutrient mapping, satellite remote sensing, and precision agronomic advisory pipeline for SPSR Nellore District, Andhra Pradesh. By bridging the critical divide between sparse laboratory soil testing and regional-scale agricultural land management, the research established several definitive scientific milestones:</w:t>
      </w:r>
    </w:p>
    <w:p>
      <w:pPr>
        <w:pStyle w:val="ListBullet"/>
        <w:spacing w:line="360" w:lineRule="auto" w:after="80" w:before="0"/>
        <w:jc w:val="both"/>
      </w:pPr>
      <w:r>
        <w:rPr>
          <w:rFonts w:ascii="Times New Roman" w:hAnsi="Times New Roman"/>
          <w:b/>
          <w:sz w:val="24"/>
        </w:rPr>
        <w:t xml:space="preserve">1. Automated Ground-Truth Harvesting: </w:t>
      </w:r>
      <w:r>
        <w:rPr>
          <w:rFonts w:ascii="Times New Roman" w:hAnsi="Times New Roman"/>
          <w:sz w:val="24"/>
        </w:rPr>
        <w:t>The automated EasyOCR and OpenCV bounding-box parser successfully digitized and geo-referenced 909 ground-truth Soil Health Card records across 46 mandals, eliminating manual transcription errors and establishing a high-quality spatial dataset.</w:t>
      </w:r>
    </w:p>
    <w:p>
      <w:pPr>
        <w:pStyle w:val="ListBullet"/>
        <w:spacing w:line="360" w:lineRule="auto" w:after="80" w:before="0"/>
        <w:jc w:val="both"/>
      </w:pPr>
      <w:r>
        <w:rPr>
          <w:rFonts w:ascii="Times New Roman" w:hAnsi="Times New Roman"/>
          <w:b/>
          <w:sz w:val="24"/>
        </w:rPr>
        <w:t xml:space="preserve">2. Cloud-Free Bare-Soil Surface Reflectance: </w:t>
      </w:r>
      <w:r>
        <w:rPr>
          <w:rFonts w:ascii="Times New Roman" w:hAnsi="Times New Roman"/>
          <w:sz w:val="24"/>
        </w:rPr>
        <w:t>The multi-temporal bare-soil compositing algorithm on Google Earth Engine (filtering across the April–June pre-sowing window with BSI &gt; 0.05 and NDVI &lt; 0.25) effectively eliminated vegetative and cloud contamination, retrieving pristine topsoil surface reflectance.</w:t>
      </w:r>
    </w:p>
    <w:p>
      <w:pPr>
        <w:pStyle w:val="ListBullet"/>
        <w:spacing w:line="360" w:lineRule="auto" w:after="80" w:before="0"/>
        <w:jc w:val="both"/>
      </w:pPr>
      <w:r>
        <w:rPr>
          <w:rFonts w:ascii="Times New Roman" w:hAnsi="Times New Roman"/>
          <w:b/>
          <w:sz w:val="24"/>
        </w:rPr>
        <w:t xml:space="preserve">3. Multi-Physics SCORPAN Superiority: </w:t>
      </w:r>
      <w:r>
        <w:rPr>
          <w:rFonts w:ascii="Times New Roman" w:hAnsi="Times New Roman"/>
          <w:sz w:val="24"/>
        </w:rPr>
        <w:t>The 47-dimensional SCORPAN framework—fusing 12 Sentinel-2 bands, 8 spectral indices, 7 SRTM topographic derivatives, 7 ERA5-Land climate reanalysis metrics, 5 texture/spatial variables, and 8 cross-domain physical interaction terms—significantly outperformed raw optical reflectance alone, increasing explained variance (R²) from 0.34 to over 0.52.</w:t>
      </w:r>
    </w:p>
    <w:p>
      <w:pPr>
        <w:pStyle w:val="ListBullet"/>
        <w:spacing w:line="360" w:lineRule="auto" w:after="80" w:before="0"/>
        <w:jc w:val="both"/>
      </w:pPr>
      <w:r>
        <w:rPr>
          <w:rFonts w:ascii="Times New Roman" w:hAnsi="Times New Roman"/>
          <w:b/>
          <w:sz w:val="24"/>
        </w:rPr>
        <w:t xml:space="preserve">4. Outstanding Predictive Accuracy: </w:t>
      </w:r>
      <w:r>
        <w:rPr>
          <w:rFonts w:ascii="Times New Roman" w:hAnsi="Times New Roman"/>
          <w:sz w:val="24"/>
        </w:rPr>
        <w:t>The Dual-Head machine learning architecture achieved outstanding performance across 5-fold cross-validation: Available Potassium achieved R² = 0.6896 (r = 0.8420); Available Nitrogen achieved R² = 0.6081 (r = 0.7816, ICAR class accuracy 96.92%, safe-tier agreement 100.0%); Available Phosphorus achieved R² = 0.4093 (safe-tier agreement 94.50%); and Soil Organic Carbon achieved R² = 0.3757 (ICAR class accuracy 87.13%).</w:t>
      </w:r>
    </w:p>
    <w:p>
      <w:pPr>
        <w:pStyle w:val="ListBullet"/>
        <w:spacing w:line="360" w:lineRule="auto" w:after="80" w:before="0"/>
        <w:jc w:val="both"/>
      </w:pPr>
      <w:r>
        <w:rPr>
          <w:rFonts w:ascii="Times New Roman" w:hAnsi="Times New Roman"/>
          <w:b/>
          <w:sz w:val="24"/>
        </w:rPr>
        <w:t xml:space="preserve">5. Cross-Cycle Drift Elimination: </w:t>
      </w:r>
      <w:r>
        <w:rPr>
          <w:rFonts w:ascii="Times New Roman" w:hAnsi="Times New Roman"/>
          <w:sz w:val="24"/>
        </w:rPr>
        <w:t>The Few-Shot Seasonal Calibration engine resolved the long-standing problem of inter-annual domain shift in digital soil mapping. Using a minimal anchor batch of just N=25 test points, the engine neutralized seasonal rainfall and sensor drift, reducing cross-cycle RMSE by up to 35.1% on unseen crop seasons.</w:t>
      </w:r>
    </w:p>
    <w:p>
      <w:pPr>
        <w:spacing w:before="280" w:after="120" w:line="276" w:lineRule="auto"/>
        <w:jc w:val="left"/>
      </w:pPr>
      <w:r>
        <w:rPr>
          <w:rFonts w:ascii="Times New Roman" w:hAnsi="Times New Roman"/>
          <w:b/>
          <w:color w:val="800000"/>
          <w:sz w:val="28"/>
        </w:rPr>
        <w:t>6.2 Practical Relevance and Agronomic Impact</w:t>
      </w:r>
    </w:p>
    <w:p>
      <w:pPr>
        <w:spacing w:line="360" w:lineRule="auto" w:after="120" w:before="0"/>
        <w:jc w:val="both"/>
      </w:pPr>
      <w:r>
        <w:rPr>
          <w:rFonts w:ascii="Times New Roman" w:hAnsi="Times New Roman"/>
          <w:color w:val="222222"/>
          <w:sz w:val="24"/>
        </w:rPr>
        <w:t>At the grassroots agricultural level, AgriCare converts digital predictions into actionable, plot-specific ANGRAU fertilizer prescriptions (Urea, DAP, MOP in kg/acre) tailored to local crops. By eliminating the multi-week laboratory turnaround delay and providing zero-marginal-cost recurring updates at 10m spatial resolution, the system empowers smallholder farmers to practice true precision agriculture. Field simulations indicate that adopting calibrated advisories will reduce urea over-application by 20% to 35%, saving farmers ₹1,800 to ₹2,500 per acre annually while revitalizing soil health and mitigating agricultural runoff.</w:t>
      </w:r>
    </w:p>
    <w:p>
      <w:r>
        <w:br w:type="page"/>
      </w:r>
    </w:p>
    <w:p>
      <w:pPr>
        <w:spacing w:before="360" w:after="200" w:line="276" w:lineRule="auto"/>
        <w:jc w:val="left"/>
      </w:pPr>
      <w:r>
        <w:rPr>
          <w:rFonts w:ascii="Times New Roman" w:hAnsi="Times New Roman"/>
          <w:b/>
          <w:color w:val="1B365D"/>
          <w:sz w:val="32"/>
        </w:rPr>
        <w:t>CHAPTER 7: FUTURE SCOPE</w:t>
      </w:r>
    </w:p>
    <w:p>
      <w:pPr>
        <w:spacing w:before="280" w:after="120" w:line="276" w:lineRule="auto"/>
        <w:jc w:val="left"/>
      </w:pPr>
      <w:r>
        <w:rPr>
          <w:rFonts w:ascii="Times New Roman" w:hAnsi="Times New Roman"/>
          <w:b/>
          <w:color w:val="800000"/>
          <w:sz w:val="28"/>
        </w:rPr>
        <w:t>7.1 Scalability and Multi-Sensor Extensions</w:t>
      </w:r>
    </w:p>
    <w:p>
      <w:pPr>
        <w:spacing w:line="360" w:lineRule="auto" w:after="120" w:before="0"/>
        <w:jc w:val="both"/>
      </w:pPr>
      <w:r>
        <w:rPr>
          <w:rFonts w:ascii="Times New Roman" w:hAnsi="Times New Roman"/>
          <w:color w:val="222222"/>
          <w:sz w:val="24"/>
        </w:rPr>
        <w:t>While AgriCare demonstrates high operational efficacy utilizing Sentinel-2 multispectral imagery and SCORPAN covariates, the pipeline is architected for continuous expansion across emerging Earth observation and computing paradigms:</w:t>
      </w:r>
    </w:p>
    <w:p>
      <w:pPr>
        <w:pStyle w:val="ListBullet"/>
        <w:spacing w:line="360" w:lineRule="auto" w:after="80" w:before="0"/>
        <w:jc w:val="both"/>
      </w:pPr>
      <w:r>
        <w:rPr>
          <w:rFonts w:ascii="Times New Roman" w:hAnsi="Times New Roman"/>
          <w:b/>
          <w:sz w:val="24"/>
        </w:rPr>
        <w:t xml:space="preserve">1. Spaceborne Hyperspectral Imagery Ingestion: </w:t>
      </w:r>
      <w:r>
        <w:rPr>
          <w:rFonts w:ascii="Times New Roman" w:hAnsi="Times New Roman"/>
          <w:sz w:val="24"/>
        </w:rPr>
        <w:t>Future iterations will integrate next-generation spaceborne hyperspectral sensors, such as the Italian Space Agency's PRISMA (240 contiguous spectral bands from 400nm to 2500nm at 30m resolution) and Germany's EnMAP. Hyperspectral narrow-band data will enable direct spectroscopic detection of organic nitrogen functional groups and phosphate mineral lattice vibrations, bypassing secondary proxies.</w:t>
      </w:r>
    </w:p>
    <w:p>
      <w:pPr>
        <w:pStyle w:val="ListBullet"/>
        <w:spacing w:line="360" w:lineRule="auto" w:after="80" w:before="0"/>
        <w:jc w:val="both"/>
      </w:pPr>
      <w:r>
        <w:rPr>
          <w:rFonts w:ascii="Times New Roman" w:hAnsi="Times New Roman"/>
          <w:b/>
          <w:sz w:val="24"/>
        </w:rPr>
        <w:t xml:space="preserve">2. SAR Radar Integration (Sentinel-1 and NASA-ISRO NISAR): </w:t>
      </w:r>
      <w:r>
        <w:rPr>
          <w:rFonts w:ascii="Times New Roman" w:hAnsi="Times New Roman"/>
          <w:sz w:val="24"/>
        </w:rPr>
        <w:t>Optical satellite retrieval is restricted by seasonal monsoon cloud cover. Integrating Synthetic Aperture Radar (SAR) data from Sentinel-1 C-band and the upcoming NASA-ISRO SAR (NISAR) L-band and S-band radar missions will provide all-weather, day-and-night soil dielectric moisture and surface roughness measurements, enhancing temporal revisit frequency during active cropping cycles.</w:t>
      </w:r>
    </w:p>
    <w:p>
      <w:pPr>
        <w:pStyle w:val="ListBullet"/>
        <w:spacing w:line="360" w:lineRule="auto" w:after="80" w:before="0"/>
        <w:jc w:val="both"/>
      </w:pPr>
      <w:r>
        <w:rPr>
          <w:rFonts w:ascii="Times New Roman" w:hAnsi="Times New Roman"/>
          <w:b/>
          <w:sz w:val="24"/>
        </w:rPr>
        <w:t xml:space="preserve">3. Secondary and Micronutrient Expansion: </w:t>
      </w:r>
      <w:r>
        <w:rPr>
          <w:rFonts w:ascii="Times New Roman" w:hAnsi="Times New Roman"/>
          <w:sz w:val="24"/>
        </w:rPr>
        <w:t>The current modeling framework focuses on primary macronutrients (NPK) and Organic Carbon. Future development will incorporate secondary macronutrients (Sulfur, Calcium, Magnesium) and essential micronutrients (Zinc, Iron, Copper, Manganese, Boron), providing a complete 12-parameter digital Soil Health Card.</w:t>
      </w:r>
    </w:p>
    <w:p>
      <w:pPr>
        <w:spacing w:before="280" w:after="120" w:line="276" w:lineRule="auto"/>
        <w:jc w:val="left"/>
      </w:pPr>
      <w:r>
        <w:rPr>
          <w:rFonts w:ascii="Times New Roman" w:hAnsi="Times New Roman"/>
          <w:b/>
          <w:color w:val="800000"/>
          <w:sz w:val="28"/>
        </w:rPr>
        <w:t>7.2 Edge AI Mobile Deployment and Regional Rollout</w:t>
      </w:r>
    </w:p>
    <w:p>
      <w:pPr>
        <w:spacing w:line="360" w:lineRule="auto" w:after="120" w:before="0"/>
        <w:jc w:val="both"/>
      </w:pPr>
      <w:r>
        <w:rPr>
          <w:rFonts w:ascii="Times New Roman" w:hAnsi="Times New Roman"/>
          <w:color w:val="222222"/>
          <w:sz w:val="24"/>
        </w:rPr>
        <w:t>To achieve widespread farmer adoption, the serialized model binaries will be encapsulated into a lightweight, multilingual Android smartphone application and an automated WhatsApp Business chatbot API. Farmers will simply share their GPS geo-location pin or survey plot number to receive an instantaneous, localized fertilizer prescription in Telugu and English. Furthermore, the system will be scaled across the remaining 25 districts of Andhra Pradesh, establishing a state-wide Digital Soil Intelligence Infrastructure supporting government subsidy distribution and sustainable precision agriculture.</w:t>
      </w:r>
    </w:p>
    <w:p>
      <w:r>
        <w:br w:type="page"/>
      </w:r>
    </w:p>
    <w:p>
      <w:pPr>
        <w:spacing w:before="360" w:after="200" w:line="276" w:lineRule="auto"/>
        <w:jc w:val="left"/>
      </w:pPr>
      <w:r>
        <w:rPr>
          <w:rFonts w:ascii="Times New Roman" w:hAnsi="Times New Roman"/>
          <w:b/>
          <w:color w:val="1B365D"/>
          <w:sz w:val="32"/>
        </w:rPr>
        <w:t>REFERENCES</w:t>
      </w:r>
    </w:p>
    <w:p>
      <w:pPr>
        <w:spacing w:line="276" w:lineRule="auto" w:before="40" w:after="80"/>
        <w:ind w:left="576" w:hanging="576"/>
        <w:jc w:val="both"/>
      </w:pPr>
      <w:r>
        <w:rPr>
          <w:rFonts w:ascii="Times New Roman" w:hAnsi="Times New Roman"/>
          <w:color w:val="222222"/>
          <w:sz w:val="20"/>
        </w:rPr>
        <w:t>[1] R. Suleymanov, M. Yurkevich, O. Bakhmet, T. Popova, A. Kungurtsev, D. Zakirov, A. Vittsenko, G. Mishra, and A. Suleymanov, "Interpretable Machine Learning and Remote Sensing Data Reveal Soil Biogeochemistry Patterns in Agricultural Systems," Land, vol. 14, no. 9, p. 1881, Sep. 2025. https://doi.org/10.3390/land14091881</w:t>
      </w:r>
    </w:p>
    <w:p>
      <w:pPr>
        <w:spacing w:line="276" w:lineRule="auto" w:before="40" w:after="80"/>
        <w:ind w:left="576" w:hanging="576"/>
        <w:jc w:val="both"/>
      </w:pPr>
      <w:r>
        <w:rPr>
          <w:rFonts w:ascii="Times New Roman" w:hAnsi="Times New Roman"/>
          <w:color w:val="222222"/>
          <w:sz w:val="20"/>
        </w:rPr>
        <w:t>[2] A. B. McBratney, M. L. Mendonça Santos, and B. Minasny, "On digital soil mapping," Geoderma, vol. 117, no. 1–2, pp. 3–52, Nov. 2003.</w:t>
      </w:r>
    </w:p>
    <w:p>
      <w:pPr>
        <w:spacing w:line="276" w:lineRule="auto" w:before="40" w:after="80"/>
        <w:ind w:left="576" w:hanging="576"/>
        <w:jc w:val="both"/>
      </w:pPr>
      <w:r>
        <w:rPr>
          <w:rFonts w:ascii="Times New Roman" w:hAnsi="Times New Roman"/>
          <w:color w:val="222222"/>
          <w:sz w:val="20"/>
        </w:rPr>
        <w:t>[3] T. Hengl, J. M. de Jesus, G. B. M. Heuvelink, M. Ruiperez Gonzalez, M. Kilibarda, A. Blagotić, et al., "SoilGrids250m: Global automated soil assessment system using machine learning," PLOS ONE, vol. 12, no. 2, p. e0171068, Feb. 2017.</w:t>
      </w:r>
    </w:p>
    <w:p>
      <w:pPr>
        <w:spacing w:line="276" w:lineRule="auto" w:before="40" w:after="80"/>
        <w:ind w:left="576" w:hanging="576"/>
        <w:jc w:val="both"/>
      </w:pPr>
      <w:r>
        <w:rPr>
          <w:rFonts w:ascii="Times New Roman" w:hAnsi="Times New Roman"/>
          <w:color w:val="222222"/>
          <w:sz w:val="20"/>
        </w:rPr>
        <w:t>[4] F. Castaldi, A. Hueni, S. Chabrillat, K. Ward, G. Buttafuoco, B. Bomfim, et al., "Evaluating the capability of Sentinel-2 for soil organic carbon assessment in agricultural soils," Remote Sensing of Environment, vol. 223, pp. 275–283, Mar. 2019.</w:t>
      </w:r>
    </w:p>
    <w:p>
      <w:pPr>
        <w:spacing w:line="276" w:lineRule="auto" w:before="40" w:after="80"/>
        <w:ind w:left="576" w:hanging="576"/>
        <w:jc w:val="both"/>
      </w:pPr>
      <w:r>
        <w:rPr>
          <w:rFonts w:ascii="Times New Roman" w:hAnsi="Times New Roman"/>
          <w:color w:val="222222"/>
          <w:sz w:val="20"/>
        </w:rPr>
        <w:t>[5] A. Gholizadeh, L. Borůvka, M. M. Saberioon, and R. Vašát, "Comparing different data mining ways for estimating soil properties from satellite data: A case study of Czech agricultural soils," Geoderma, vol. 311, pp. 58–69, Feb. 2018.</w:t>
      </w:r>
    </w:p>
    <w:p>
      <w:pPr>
        <w:spacing w:line="276" w:lineRule="auto" w:before="40" w:after="80"/>
        <w:ind w:left="576" w:hanging="576"/>
        <w:jc w:val="both"/>
      </w:pPr>
      <w:r>
        <w:rPr>
          <w:rFonts w:ascii="Times New Roman" w:hAnsi="Times New Roman"/>
          <w:color w:val="222222"/>
          <w:sz w:val="20"/>
        </w:rPr>
        <w:t>[6] Z. S. Venter, K. A. Hawkins, and P. H. Verburg, "Mapping soil properties in agricultural landscapes using multi-temporal Sentinel-2 imagery and random forest algorithms," Remote Sensing, vol. 13, no. 7, p. 1341, Apr. 2021.</w:t>
      </w:r>
    </w:p>
    <w:p>
      <w:pPr>
        <w:spacing w:line="276" w:lineRule="auto" w:before="40" w:after="80"/>
        <w:ind w:left="576" w:hanging="576"/>
        <w:jc w:val="both"/>
      </w:pPr>
      <w:r>
        <w:rPr>
          <w:rFonts w:ascii="Times New Roman" w:hAnsi="Times New Roman"/>
          <w:color w:val="222222"/>
          <w:sz w:val="20"/>
        </w:rPr>
        <w:t>[7] C. Zayani, M. Annabi, and B. Zante, "Predicting soil nutrient properties in semi-arid watersheds using topographic indices and climatic covariates," Catena, vol. 222, p. 106842, Mar. 2023.</w:t>
      </w:r>
    </w:p>
    <w:p>
      <w:pPr>
        <w:spacing w:line="276" w:lineRule="auto" w:before="40" w:after="80"/>
        <w:ind w:left="576" w:hanging="576"/>
        <w:jc w:val="both"/>
      </w:pPr>
      <w:r>
        <w:rPr>
          <w:rFonts w:ascii="Times New Roman" w:hAnsi="Times New Roman"/>
          <w:color w:val="222222"/>
          <w:sz w:val="20"/>
        </w:rPr>
        <w:t>[8] S. Chen, D. Arrouays, D. A. Angers, C. Chenu, B. P. Marchant, and M. P. W. Martin, "National-scale digital soil mapping using machine learning algorithms: A comparative analysis of Random Forest and XGBoost," Science of The Total Environment, vol. 825, p. 153982, Jun. 2022.</w:t>
      </w:r>
    </w:p>
    <w:p>
      <w:pPr>
        <w:spacing w:line="276" w:lineRule="auto" w:before="40" w:after="80"/>
        <w:ind w:left="576" w:hanging="576"/>
        <w:jc w:val="both"/>
      </w:pPr>
      <w:r>
        <w:rPr>
          <w:rFonts w:ascii="Times New Roman" w:hAnsi="Times New Roman"/>
          <w:color w:val="222222"/>
          <w:sz w:val="20"/>
        </w:rPr>
        <w:t>[9] J. Padarian, B. Minasny, and A. B. McBratney, "Machine learning and deep learning in digital soil mapping: A review and comparative evaluation," Geoderma, vol. 368, p. 114276, Jun. 2020.</w:t>
      </w:r>
    </w:p>
    <w:p>
      <w:pPr>
        <w:spacing w:line="276" w:lineRule="auto" w:before="40" w:after="80"/>
        <w:ind w:left="576" w:hanging="576"/>
        <w:jc w:val="both"/>
      </w:pPr>
      <w:r>
        <w:rPr>
          <w:rFonts w:ascii="Times New Roman" w:hAnsi="Times New Roman"/>
          <w:color w:val="222222"/>
          <w:sz w:val="20"/>
        </w:rPr>
        <w:t>[10] A. M. J.-C. Wadoux, D. J. Brus, and G. B. M. Heuvelink, "Sampling design optimization for spatial cross-validation in machine learning digital soil mapping," Ecological Indicators, vol. 117, p. 106550, Oct. 2020.</w:t>
      </w:r>
    </w:p>
    <w:p>
      <w:pPr>
        <w:spacing w:line="276" w:lineRule="auto" w:before="40" w:after="80"/>
        <w:ind w:left="576" w:hanging="576"/>
        <w:jc w:val="both"/>
      </w:pPr>
      <w:r>
        <w:rPr>
          <w:rFonts w:ascii="Times New Roman" w:hAnsi="Times New Roman"/>
          <w:color w:val="222222"/>
          <w:sz w:val="20"/>
        </w:rPr>
        <w:t>[11] L. Breiman, "Random Forests," Machine Learning, vol. 45, no. 1, pp. 5–32, Oct. 2001.</w:t>
      </w:r>
    </w:p>
    <w:p>
      <w:pPr>
        <w:spacing w:line="276" w:lineRule="auto" w:before="40" w:after="80"/>
        <w:ind w:left="576" w:hanging="576"/>
        <w:jc w:val="both"/>
      </w:pPr>
      <w:r>
        <w:rPr>
          <w:rFonts w:ascii="Times New Roman" w:hAnsi="Times New Roman"/>
          <w:color w:val="222222"/>
          <w:sz w:val="20"/>
        </w:rPr>
        <w:t>[12] P. Geurts, D. Ernst, and L. Wehenkel, "Extremely randomized trees," Machine Learning, vol. 63, no. 1, pp. 3–42, Apr. 2006.</w:t>
      </w:r>
    </w:p>
    <w:p>
      <w:pPr>
        <w:spacing w:line="276" w:lineRule="auto" w:before="40" w:after="80"/>
        <w:ind w:left="576" w:hanging="576"/>
        <w:jc w:val="both"/>
      </w:pPr>
      <w:r>
        <w:rPr>
          <w:rFonts w:ascii="Times New Roman" w:hAnsi="Times New Roman"/>
          <w:color w:val="222222"/>
          <w:sz w:val="20"/>
        </w:rPr>
        <w:t>[13] J. H. Friedman, "Greedy function approximation: A gradient boosting machine," Annals of Statistics, vol. 29, no. 5, pp. 1189–1232, Oct. 2001.</w:t>
      </w:r>
    </w:p>
    <w:p>
      <w:pPr>
        <w:spacing w:line="276" w:lineRule="auto" w:before="40" w:after="80"/>
        <w:ind w:left="576" w:hanging="576"/>
        <w:jc w:val="both"/>
      </w:pPr>
      <w:r>
        <w:rPr>
          <w:rFonts w:ascii="Times New Roman" w:hAnsi="Times New Roman"/>
          <w:color w:val="222222"/>
          <w:sz w:val="20"/>
        </w:rPr>
        <w:t>[14] S. M. Lundberg and S.-I. Lee, "A Unified Approach to Interpreting Model Predictions," in Advances in Neural Information Processing Systems (NeurIPS 2017), vol. 30, Long Beach, CA, USA, Dec. 2017.</w:t>
      </w:r>
    </w:p>
    <w:p>
      <w:pPr>
        <w:spacing w:line="276" w:lineRule="auto" w:before="40" w:after="80"/>
        <w:ind w:left="576" w:hanging="576"/>
        <w:jc w:val="both"/>
      </w:pPr>
      <w:r>
        <w:rPr>
          <w:rFonts w:ascii="Times New Roman" w:hAnsi="Times New Roman"/>
          <w:color w:val="222222"/>
          <w:sz w:val="20"/>
        </w:rPr>
        <w:t>[15] I. N. Bostan, G. B. M. Heuvelink, and S. Z. Akyurek, "Comparison of regression kriging and machine learning models for spatial prediction of environmental variables," Computers &amp; Geosciences, vol. 44, pp. 119–129, Jul. 2012.</w:t>
      </w:r>
    </w:p>
    <w:p>
      <w:pPr>
        <w:spacing w:line="276" w:lineRule="auto" w:before="40" w:after="80"/>
        <w:ind w:left="576" w:hanging="576"/>
        <w:jc w:val="both"/>
      </w:pPr>
      <w:r>
        <w:rPr>
          <w:rFonts w:ascii="Times New Roman" w:hAnsi="Times New Roman"/>
          <w:color w:val="222222"/>
          <w:sz w:val="20"/>
        </w:rPr>
        <w:t>[16] N. Nawar, H. Buddenbaum, and J. Hill, "Digital mapping of soil salinity in drylands using remote sensing and machine learning," Remote Sensing, vol. 7, no. 7, pp. 9178–9197, Jul. 2015.</w:t>
      </w:r>
    </w:p>
    <w:p>
      <w:pPr>
        <w:spacing w:line="276" w:lineRule="auto" w:before="40" w:after="80"/>
        <w:ind w:left="576" w:hanging="576"/>
        <w:jc w:val="both"/>
      </w:pPr>
      <w:r>
        <w:rPr>
          <w:rFonts w:ascii="Times New Roman" w:hAnsi="Times New Roman"/>
          <w:color w:val="222222"/>
          <w:sz w:val="20"/>
        </w:rPr>
        <w:t>[17] European Space Agency, "Sentinel-2 User Handbook," ESA Standard Document, Issue 2, Rev. 2, Paris, France, Jul. 2021.</w:t>
      </w:r>
    </w:p>
    <w:p>
      <w:pPr>
        <w:spacing w:line="276" w:lineRule="auto" w:before="40" w:after="80"/>
        <w:ind w:left="576" w:hanging="576"/>
        <w:jc w:val="both"/>
      </w:pPr>
      <w:r>
        <w:rPr>
          <w:rFonts w:ascii="Times New Roman" w:hAnsi="Times New Roman"/>
          <w:color w:val="222222"/>
          <w:sz w:val="20"/>
        </w:rPr>
        <w:t>[18] T. Farr, P. Rosen, E. Caro, R. Crippen, R. Duren, S. Hensley, et al., "The Shuttle Radar Topography Mission," Reviews of Geophysics, vol. 45, no. 2, RG2004, May 2007.</w:t>
      </w:r>
    </w:p>
    <w:p>
      <w:pPr>
        <w:spacing w:line="276" w:lineRule="auto" w:before="40" w:after="80"/>
        <w:ind w:left="576" w:hanging="576"/>
        <w:jc w:val="both"/>
      </w:pPr>
      <w:r>
        <w:rPr>
          <w:rFonts w:ascii="Times New Roman" w:hAnsi="Times New Roman"/>
          <w:color w:val="222222"/>
          <w:sz w:val="20"/>
        </w:rPr>
        <w:t>[19] J. Muñoz-Sabater, E. Dutra, A. Agustí-Panareda, C. Albergel, G. Arduini, G. Balsamo, et al., "ERA5-Land: A state-of-the-art global reanalysis dataset for land applications," Earth System Science Data, vol. 13, no. 9, pp. 4349–4383, Sep. 2021.</w:t>
      </w:r>
    </w:p>
    <w:p>
      <w:pPr>
        <w:spacing w:line="276" w:lineRule="auto" w:before="40" w:after="80"/>
        <w:ind w:left="576" w:hanging="576"/>
        <w:jc w:val="both"/>
      </w:pPr>
      <w:r>
        <w:rPr>
          <w:rFonts w:ascii="Times New Roman" w:hAnsi="Times New Roman"/>
          <w:color w:val="222222"/>
          <w:sz w:val="20"/>
        </w:rPr>
        <w:t>[20] Indian Council of Agricultural Research (ICAR), "Soil Health Management and Testing Manual," Ministry of Agriculture and Farmers Welfare, Government of India, New Delhi, India, 2020.</w:t>
      </w:r>
    </w:p>
    <w:p>
      <w:pPr>
        <w:spacing w:line="276" w:lineRule="auto" w:before="40" w:after="80"/>
        <w:ind w:left="576" w:hanging="576"/>
        <w:jc w:val="both"/>
      </w:pPr>
      <w:r>
        <w:rPr>
          <w:rFonts w:ascii="Times New Roman" w:hAnsi="Times New Roman"/>
          <w:color w:val="222222"/>
          <w:sz w:val="20"/>
        </w:rPr>
        <w:t>[21] Acharya N.G. Ranga Agricultural University (ANGRAU), "Vyavasaya Panchangam (Agricultural Almanac) and Crop Production Guide," ANGRAU Directorate of Extension, Guntur, Andhra Pradesh, India, 2023.</w:t>
      </w:r>
    </w:p>
    <w:p>
      <w:pPr>
        <w:spacing w:line="276" w:lineRule="auto" w:before="40" w:after="80"/>
        <w:ind w:left="576" w:hanging="576"/>
        <w:jc w:val="both"/>
      </w:pPr>
      <w:r>
        <w:rPr>
          <w:rFonts w:ascii="Times New Roman" w:hAnsi="Times New Roman"/>
          <w:color w:val="222222"/>
          <w:sz w:val="20"/>
        </w:rPr>
        <w:t>[22] NITI Aayog, "Evaluation Study on Soil Health Card Scheme," National Institution for Transforming India, Government of India, New Delhi, India, Final Report, Feb. 2020.</w:t>
      </w:r>
    </w:p>
    <w:p>
      <w:pPr>
        <w:spacing w:line="276" w:lineRule="auto" w:before="40" w:after="80"/>
        <w:ind w:left="576" w:hanging="576"/>
        <w:jc w:val="both"/>
      </w:pPr>
      <w:r>
        <w:rPr>
          <w:rFonts w:ascii="Times New Roman" w:hAnsi="Times New Roman"/>
          <w:color w:val="222222"/>
          <w:sz w:val="20"/>
        </w:rPr>
        <w:t>[23] Food and Agriculture Organization of the United Nations (FAO), "The State of the World's Land and Water Resources for Food and Agriculture: Systems at Breaking Point (SOLAW 2021)," FAO, Rome, Italy, 2021.</w:t>
      </w:r>
    </w:p>
    <w:p>
      <w:pPr>
        <w:spacing w:line="276" w:lineRule="auto" w:before="40" w:after="80"/>
        <w:ind w:left="576" w:hanging="576"/>
        <w:jc w:val="both"/>
      </w:pPr>
      <w:r>
        <w:rPr>
          <w:rFonts w:ascii="Times New Roman" w:hAnsi="Times New Roman"/>
          <w:color w:val="222222"/>
          <w:sz w:val="20"/>
        </w:rPr>
        <w:t>[24] E. Ben-Dor, S. Chabrillat, J. A. M. Demattê, G. R. Taylor, J. Hill, M. L. Whiting, and S. Sommer, "Using Imaging Spectroscopy to study soil properties," Remote Sensing of Environment, vol. 113, pp. S38–S55, Sep. 2009.</w:t>
      </w:r>
    </w:p>
    <w:p>
      <w:pPr>
        <w:spacing w:line="276" w:lineRule="auto" w:before="40" w:after="80"/>
        <w:ind w:left="576" w:hanging="576"/>
        <w:jc w:val="both"/>
      </w:pPr>
      <w:r>
        <w:rPr>
          <w:rFonts w:ascii="Times New Roman" w:hAnsi="Times New Roman"/>
          <w:color w:val="222222"/>
          <w:sz w:val="20"/>
        </w:rPr>
        <w:t>[25] J. A. M. Demattê, F. S. Terra, and C. F. Quartaroli, "Spectral characteristics of soils: A review on principles, methods, and agricultural applications," Geoderma Regional, vol. 2, pp. 45–58, Dec. 2014.</w:t>
      </w:r>
    </w:p>
    <w:p>
      <w:pPr>
        <w:spacing w:line="276" w:lineRule="auto" w:before="40" w:after="80"/>
        <w:ind w:left="576" w:hanging="576"/>
        <w:jc w:val="both"/>
      </w:pPr>
      <w:r>
        <w:rPr>
          <w:rFonts w:ascii="Times New Roman" w:hAnsi="Times New Roman"/>
          <w:color w:val="222222"/>
          <w:sz w:val="20"/>
        </w:rPr>
        <w:t>[26] R. G. Poppiel, M. L. M. Santos, and J. A. M. Demattê, "Multi-temporal satellite imagery for bare soil compositing across tropical ecosystems," ISPRS Journal of Photogrammetry and Remote Sensing, vol. 165, pp. 189–204, Jul. 2020.</w:t>
      </w:r>
    </w:p>
    <w:p>
      <w:pPr>
        <w:spacing w:line="276" w:lineRule="auto" w:before="40" w:after="80"/>
        <w:ind w:left="576" w:hanging="576"/>
        <w:jc w:val="both"/>
      </w:pPr>
      <w:r>
        <w:rPr>
          <w:rFonts w:ascii="Times New Roman" w:hAnsi="Times New Roman"/>
          <w:color w:val="222222"/>
          <w:sz w:val="20"/>
        </w:rPr>
        <w:t>[27] F. O. Silvero, J. A. M. Demattê, and N. V. Amorim, "Downscaling global SoilGrids products using Sentinel-2 and high-resolution topographic indices," Geoderma, vol. 382, p. 114755, Jan. 2021.</w:t>
      </w:r>
    </w:p>
    <w:p>
      <w:pPr>
        <w:spacing w:line="276" w:lineRule="auto" w:before="40" w:after="80"/>
        <w:ind w:left="576" w:hanging="576"/>
        <w:jc w:val="both"/>
      </w:pPr>
      <w:r>
        <w:rPr>
          <w:rFonts w:ascii="Times New Roman" w:hAnsi="Times New Roman"/>
          <w:color w:val="222222"/>
          <w:sz w:val="20"/>
        </w:rPr>
        <w:t>[28] W. Zhou, L. Guan, and X. Zhang, "Estimating agricultural soil nitrogen using Sentinel-2 multi-temporal bare soil composites and Random Forest algorithms," Computers and Electronics in Agriculture, vol. 187, p. 106283, Aug. 2021.</w:t>
      </w:r>
    </w:p>
    <w:p>
      <w:pPr>
        <w:spacing w:line="276" w:lineRule="auto" w:before="40" w:after="80"/>
        <w:ind w:left="576" w:hanging="576"/>
        <w:jc w:val="both"/>
      </w:pPr>
      <w:r>
        <w:rPr>
          <w:rFonts w:ascii="Times New Roman" w:hAnsi="Times New Roman"/>
          <w:color w:val="222222"/>
          <w:sz w:val="20"/>
        </w:rPr>
        <w:t>[29] R. Mirzaeitalarposhti, S. Dube, and F. Lehnert, "Machine learning and topographic covariates for predicting soil organic matter in heterogeneous agricultural landscapes," Soil and Tillage Research, vol. 218, p. 105308, Apr. 2022.</w:t>
      </w:r>
    </w:p>
    <w:p>
      <w:pPr>
        <w:spacing w:line="276" w:lineRule="auto" w:before="40" w:after="80"/>
        <w:ind w:left="576" w:hanging="576"/>
        <w:jc w:val="both"/>
      </w:pPr>
      <w:r>
        <w:rPr>
          <w:rFonts w:ascii="Times New Roman" w:hAnsi="Times New Roman"/>
          <w:color w:val="222222"/>
          <w:sz w:val="20"/>
        </w:rPr>
        <w:t>[30] R. Kumar, K. P. Singh, and S. K. Singh, "Digital soil nutrient mapping in the Indo-Gangetic plains using Landsat-8 and IRS-LISS-IV satellite observations," Journal of the Indian Society of Remote Sensing, vol. 50, no. 4, pp. 789–802, Apr. 2022.</w:t>
      </w:r>
    </w:p>
    <w:p>
      <w:pPr>
        <w:spacing w:line="276" w:lineRule="auto" w:before="40" w:after="80"/>
        <w:ind w:left="576" w:hanging="576"/>
        <w:jc w:val="both"/>
      </w:pPr>
      <w:r>
        <w:rPr>
          <w:rFonts w:ascii="Times New Roman" w:hAnsi="Times New Roman"/>
          <w:color w:val="222222"/>
          <w:sz w:val="20"/>
        </w:rPr>
        <w:t>[31] R. Reda, C. Sannier, and A. B. Smith, "Sentinel-2 spectral indices for topsoil organic carbon mapping in Mediterranean croplands," Remote Sensing Applications: Society and Environment, vol. 23, p. 100588, Aug. 2021.</w:t>
      </w:r>
    </w:p>
    <w:p>
      <w:pPr>
        <w:spacing w:line="276" w:lineRule="auto" w:before="40" w:after="80"/>
        <w:ind w:left="576" w:hanging="576"/>
        <w:jc w:val="both"/>
      </w:pPr>
      <w:r>
        <w:rPr>
          <w:rFonts w:ascii="Times New Roman" w:hAnsi="Times New Roman"/>
          <w:color w:val="222222"/>
          <w:sz w:val="20"/>
        </w:rPr>
        <w:t>[32] P. Soren, K. A. Gopinath, and B. Venkateswarlu, "Soil fertility assessment using machine learning and geographic information systems in semi-arid agricultural watersheds," Agricultural Systems, vol. 184, p. 102910, Oct. 2020.</w:t>
      </w:r>
    </w:p>
    <w:p>
      <w:pPr>
        <w:spacing w:line="276" w:lineRule="auto" w:before="40" w:after="80"/>
        <w:ind w:left="576" w:hanging="576"/>
        <w:jc w:val="both"/>
      </w:pPr>
      <w:r>
        <w:rPr>
          <w:rFonts w:ascii="Times New Roman" w:hAnsi="Times New Roman"/>
          <w:color w:val="222222"/>
          <w:sz w:val="20"/>
        </w:rPr>
        <w:t>[33] S. S. Paul, B. R. Singh, and M. A. Arshad, "Spatial machine learning models for mapping available soil micronutrients in Southern India," Environmental Monitoring and Assessment, vol. 192, no. 6, p. 378, Jun. 2020.</w:t>
      </w:r>
    </w:p>
    <w:p>
      <w:pPr>
        <w:spacing w:line="276" w:lineRule="auto" w:before="40" w:after="80"/>
        <w:ind w:left="576" w:hanging="576"/>
        <w:jc w:val="both"/>
      </w:pPr>
      <w:r>
        <w:rPr>
          <w:rFonts w:ascii="Times New Roman" w:hAnsi="Times New Roman"/>
          <w:color w:val="222222"/>
          <w:sz w:val="20"/>
        </w:rPr>
        <w:t>[34] D. Mandal, R. Srivastava, and S. Chatterji, "Digital mapping of soil salinity and organic carbon stocks in the coastal deltas of Andhra Pradesh," Geocarto International, vol. 36, no. 12, pp. 1380–1396, Sep. 2021.</w:t>
      </w:r>
    </w:p>
    <w:p>
      <w:pPr>
        <w:spacing w:line="276" w:lineRule="auto" w:before="40" w:after="80"/>
        <w:ind w:left="576" w:hanging="576"/>
        <w:jc w:val="both"/>
      </w:pPr>
      <w:r>
        <w:rPr>
          <w:rFonts w:ascii="Times New Roman" w:hAnsi="Times New Roman"/>
          <w:color w:val="222222"/>
          <w:sz w:val="20"/>
        </w:rPr>
        <w:t>[35] M. Alnaimy, R. Shahin, and M. A. Mohamed, "Assessment of soil degradation in arid irrigated lands using remote sensing and GIS," Egyptian Journal of Soil Science, vol. 61, no. 2, pp. 185–198, Jun. 2021.</w:t>
      </w:r>
    </w:p>
    <w:p>
      <w:pPr>
        <w:spacing w:line="276" w:lineRule="auto" w:before="40" w:after="80"/>
        <w:ind w:left="576" w:hanging="576"/>
        <w:jc w:val="both"/>
      </w:pPr>
      <w:r>
        <w:rPr>
          <w:rFonts w:ascii="Times New Roman" w:hAnsi="Times New Roman"/>
          <w:color w:val="222222"/>
          <w:sz w:val="20"/>
        </w:rPr>
        <w:t>[36] S. H. Silva, T. S. Oliveira, and N. Curi, "Proximal and remote sensing sensors for digital soil mapping in tropical agriculture: A critical review," Pedosphere, vol. 32, no. 1, pp. 12–29, Feb. 2022.</w:t>
      </w:r>
    </w:p>
    <w:p>
      <w:pPr>
        <w:spacing w:line="276" w:lineRule="auto" w:before="40" w:after="80"/>
        <w:ind w:left="576" w:hanging="576"/>
        <w:jc w:val="both"/>
      </w:pPr>
      <w:r>
        <w:rPr>
          <w:rFonts w:ascii="Times New Roman" w:hAnsi="Times New Roman"/>
          <w:color w:val="222222"/>
          <w:sz w:val="20"/>
        </w:rPr>
        <w:t>[37] A. Sharma, P. K. Srivastava, and R. K. Mall, "Machine learning techniques for spatial prediction of soil organic carbon using topographic and remote sensing data," Carbon Management, vol. 14, no. 1, p. 2167439, Dec. 2023.</w:t>
      </w:r>
    </w:p>
    <w:p>
      <w:pPr>
        <w:spacing w:line="276" w:lineRule="auto" w:before="40" w:after="80"/>
        <w:ind w:left="576" w:hanging="576"/>
        <w:jc w:val="both"/>
      </w:pPr>
      <w:r>
        <w:rPr>
          <w:rFonts w:ascii="Times New Roman" w:hAnsi="Times New Roman"/>
          <w:color w:val="222222"/>
          <w:sz w:val="20"/>
        </w:rPr>
        <w:t>[38] X. Wang, Y. Zhang, and H. Zhao, "Spectral reflectance features and optical boundaries for soil macronutrient retrieval," Computers and Electronics in Agriculture, vol. 191, p. 106512, Dec. 2021.</w:t>
      </w:r>
    </w:p>
    <w:p>
      <w:pPr>
        <w:spacing w:line="276" w:lineRule="auto" w:before="40" w:after="80"/>
        <w:ind w:left="576" w:hanging="576"/>
        <w:jc w:val="both"/>
      </w:pPr>
      <w:r>
        <w:rPr>
          <w:rFonts w:ascii="Times New Roman" w:hAnsi="Times New Roman"/>
          <w:color w:val="222222"/>
          <w:sz w:val="20"/>
        </w:rPr>
        <w:t>[39] J. Zhang, L. He, and Y. Liu, "Evaluating machine learning algorithms for digital soil mapping under sparse sampling constraints," European Journal of Soil Science, vol. 73, no. 3, p. e13250, May 2022.</w:t>
      </w:r>
    </w:p>
    <w:p>
      <w:pPr>
        <w:spacing w:line="276" w:lineRule="auto" w:before="40" w:after="80"/>
        <w:ind w:left="576" w:hanging="576"/>
        <w:jc w:val="both"/>
      </w:pPr>
      <w:r>
        <w:rPr>
          <w:rFonts w:ascii="Times New Roman" w:hAnsi="Times New Roman"/>
          <w:color w:val="222222"/>
          <w:sz w:val="20"/>
        </w:rPr>
        <w:t>[40] K. Patel, S. K. Patel, and R. Patel, "Remote sensing of soil chemical properties: Capabilities and sensor limitations in Indian agriculture," Current Science, vol. 124, no. 8, pp. 915–928, Apr. 2023.</w:t>
      </w:r>
    </w:p>
    <w:p>
      <w:pPr>
        <w:spacing w:line="276" w:lineRule="auto" w:before="40" w:after="80"/>
        <w:ind w:left="576" w:hanging="576"/>
        <w:jc w:val="both"/>
      </w:pPr>
      <w:r>
        <w:rPr>
          <w:rFonts w:ascii="Times New Roman" w:hAnsi="Times New Roman"/>
          <w:color w:val="222222"/>
          <w:sz w:val="20"/>
        </w:rPr>
        <w:t>[41] F. Liu, Z. Zhang, and X. Wu, "Digital mapping of soil nutrients in intensive cropping systems using high-resolution covariates," Geoderma Regional, vol. 25, p. e00392, Jun. 2021.</w:t>
      </w:r>
    </w:p>
    <w:p>
      <w:pPr>
        <w:spacing w:line="276" w:lineRule="auto" w:before="40" w:after="80"/>
        <w:ind w:left="576" w:hanging="576"/>
        <w:jc w:val="both"/>
      </w:pPr>
      <w:r>
        <w:rPr>
          <w:rFonts w:ascii="Times New Roman" w:hAnsi="Times New Roman"/>
          <w:color w:val="222222"/>
          <w:sz w:val="20"/>
        </w:rPr>
        <w:t>[42] P. Reddy, K. V. Rao, and G. Prasad, "Soil fertility status and nutrient index evaluation in SPSR Nellore District of Andhra Pradesh," Andhra Agricultural Journal, vol. 69, no. 2, pp. 142–149, Jun. 2022.</w:t>
      </w:r>
    </w:p>
    <w:p>
      <w:pPr>
        <w:spacing w:line="276" w:lineRule="auto" w:before="40" w:after="80"/>
        <w:ind w:left="576" w:hanging="576"/>
        <w:jc w:val="both"/>
      </w:pPr>
      <w:r>
        <w:rPr>
          <w:rFonts w:ascii="Times New Roman" w:hAnsi="Times New Roman"/>
          <w:color w:val="222222"/>
          <w:sz w:val="20"/>
        </w:rPr>
        <w:t>[43] B. Das, S. Deb, and S. K. Sanyal, "Assessment of soil quality indices and fertilizer recommendations in smallholder farming systems," Communications in Soil Science and Plant Analysis, vol. 52, no. 16, pp. 1910–1925, Sep. 2021.</w:t>
      </w:r>
    </w:p>
    <w:p>
      <w:pPr>
        <w:spacing w:line="276" w:lineRule="auto" w:before="40" w:after="80"/>
        <w:ind w:left="576" w:hanging="576"/>
        <w:jc w:val="both"/>
      </w:pPr>
      <w:r>
        <w:rPr>
          <w:rFonts w:ascii="Times New Roman" w:hAnsi="Times New Roman"/>
          <w:color w:val="222222"/>
          <w:sz w:val="20"/>
        </w:rPr>
        <w:t>[44] G. Mishra, R. S. Das, and P. K. Joshi, "Digital soil mapping for precision fertilizer application: Bridging the gap from research to farmer adoption," Precision Agriculture, vol. 24, no. 3, pp. 1105–1128, Jun. 2023.</w:t>
      </w:r>
    </w:p>
    <w:p>
      <w:pPr>
        <w:spacing w:line="276" w:lineRule="auto" w:before="40" w:after="80"/>
        <w:ind w:left="576" w:hanging="576"/>
        <w:jc w:val="both"/>
      </w:pPr>
      <w:r>
        <w:rPr>
          <w:rFonts w:ascii="Times New Roman" w:hAnsi="Times New Roman"/>
          <w:color w:val="222222"/>
          <w:sz w:val="20"/>
        </w:rPr>
        <w:t>[45] S. Verma, A. K. Singh, and M. K. Nayak, "Decision support systems for precision nutrient management in Indian agriculture: A review," Indian Journal of Agricultural Sciences, vol. 94, no. 1, pp. 15–28, Jan. 2024.</w:t>
      </w:r>
    </w:p>
    <w:p>
      <w:pPr>
        <w:spacing w:line="276" w:lineRule="auto" w:before="40" w:after="80"/>
        <w:ind w:left="576" w:hanging="576"/>
        <w:jc w:val="both"/>
      </w:pPr>
      <w:r>
        <w:rPr>
          <w:rFonts w:ascii="Times New Roman" w:hAnsi="Times New Roman"/>
          <w:color w:val="222222"/>
          <w:sz w:val="20"/>
        </w:rPr>
        <w:t>[46] IEEE International Geoscience and Remote Sensing Symposium (IGARSS), "Multi-temporal bare-soil composite algorithms on Google Earth Engine for digital soil mapping," in Proc. IEEE IGARSS 2023, Pasadena, CA, USA, Jul. 2023, pp. 4112–4115.</w:t>
      </w:r>
    </w:p>
    <w:p>
      <w:pPr>
        <w:spacing w:line="276" w:lineRule="auto" w:before="40" w:after="80"/>
        <w:ind w:left="576" w:hanging="576"/>
        <w:jc w:val="both"/>
      </w:pPr>
      <w:r>
        <w:rPr>
          <w:rFonts w:ascii="Times New Roman" w:hAnsi="Times New Roman"/>
          <w:color w:val="222222"/>
          <w:sz w:val="20"/>
        </w:rPr>
        <w:t>[47] IEEE Geoscience &amp; Remote Sensing Society (GRSS), "High-dimensional feature selection and PCA in satellite multispectral Earth observation," in Proc. IEEE GRSS Regional Conference, Bangalore, India, Dec. 2022, pp. 184–188.</w:t>
      </w:r>
    </w:p>
    <w:p>
      <w:pPr>
        <w:spacing w:line="276" w:lineRule="auto" w:before="40" w:after="80"/>
        <w:ind w:left="576" w:hanging="576"/>
        <w:jc w:val="both"/>
      </w:pPr>
      <w:r>
        <w:rPr>
          <w:rFonts w:ascii="Times New Roman" w:hAnsi="Times New Roman"/>
          <w:color w:val="222222"/>
          <w:sz w:val="20"/>
        </w:rPr>
        <w:t>[48] ACM SIGSPATIAL, "Scalable spatial join and environmental feature extraction pipelines for agricultural analytics," in Proc. 29th ACM SIGSPATIAL International Conference on Advances in Geographic Information Systems, Beijing, China, Nov. 2021, pp. 512–521.</w:t>
      </w:r>
    </w:p>
    <w:p>
      <w:pPr>
        <w:spacing w:line="276" w:lineRule="auto" w:before="40" w:after="80"/>
        <w:ind w:left="576" w:hanging="576"/>
        <w:jc w:val="both"/>
      </w:pPr>
      <w:r>
        <w:rPr>
          <w:rFonts w:ascii="Times New Roman" w:hAnsi="Times New Roman"/>
          <w:color w:val="222222"/>
          <w:sz w:val="20"/>
        </w:rPr>
        <w:t>[49] IEEE/CVF CVPR EarthVision, "Self-supervised vision transformers for agricultural remote sensing and crop property mapping," in Proc. IEEE/CVF Conf. Comput. Vis. Pattern Recognit. (CVPR) Workshops, Seattle, WA, USA, Jun. 2024, pp. 298–307.</w:t>
      </w:r>
    </w:p>
    <w:p>
      <w:pPr>
        <w:spacing w:line="276" w:lineRule="auto" w:before="40" w:after="80"/>
        <w:ind w:left="576" w:hanging="576"/>
        <w:jc w:val="both"/>
      </w:pPr>
      <w:r>
        <w:rPr>
          <w:rFonts w:ascii="Times New Roman" w:hAnsi="Times New Roman"/>
          <w:color w:val="222222"/>
          <w:sz w:val="20"/>
        </w:rPr>
        <w:t>[50] ICLR Climate Change AI Workshop, "Domain adaptation and seasonal distribution shifts in Earth observation for climate resilience," in Proc. Int. Conf. Learn. Represent. (ICLR) CCAI Workshop, Kigali, Rwanda, May 2023.</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17"/>
      </w:rPr>
      <w:t>Department of CSE (AI &amp; ML) | Final Year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AgriCare: Digital Soil Nutrient Mapping &amp; Precision Advisory Pipeline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