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B4F72"/>
          <w:sz w:val="19"/>
        </w:rPr>
        <w:t>AGRICARE: DIGITAL SOIL MAPPING &amp; PRECISION AGRONOMIC FRAMEWORK</w:t>
      </w:r>
    </w:p>
    <w:p>
      <w:pPr>
        <w:pStyle w:val="Heading1"/>
        <w:spacing w:before="240" w:after="280"/>
      </w:pPr>
      <w:r>
        <w:rPr>
          <w:rFonts w:ascii="Arial" w:hAnsi="Arial"/>
          <w:b/>
          <w:color w:val="154360"/>
          <w:sz w:val="40"/>
        </w:rPr>
        <w:t>CHAPTER 3: PROPOSED METHODOLOGY</w:t>
      </w:r>
    </w:p>
    <w:p>
      <w:pPr>
        <w:pStyle w:val="Heading2"/>
      </w:pPr>
      <w:r>
        <w:rPr>
          <w:rFonts w:ascii="Arial" w:hAnsi="Arial"/>
          <w:b/>
          <w:color w:val="1A5276"/>
          <w:sz w:val="28"/>
        </w:rPr>
        <w:t>3.1 Detailed Explanation of System Architecture Schematic</w:t>
      </w:r>
    </w:p>
    <w:p>
      <w:pPr>
        <w:pStyle w:val="Heading3"/>
      </w:pPr>
      <w:r>
        <w:rPr>
          <w:rFonts w:ascii="Arial" w:hAnsi="Arial"/>
          <w:b/>
          <w:color w:val="21618C"/>
          <w:sz w:val="24"/>
        </w:rPr>
        <w:t>3.1.1 Study Area and Open Geospatial Data Ingestion</w:t>
      </w:r>
    </w:p>
    <w:p>
      <w:r>
        <w:t>The study area comprises SPSR Nellore District, Andhra Pradesh, a coastal agro-ecological zone in peninsular India characterized by contrasting physiography: an irrigated deltaic alluvial plain dominated by double-cropped wetland paddy, flanked by rainfed semi-arid uplands cultivated with cotton, groundnut, and maize. Ground-truth soil chemistry originates from 909 geo-referenced Soil Health Card (SHC) laboratory wet-chemistry records spanning 46 mandals. Four target soil properties are predicted: Available Nitrogen (N), Available Phosphorus (P), and Available Potassium (K), all measured in kg/ha, alongside Soil Organic Carbon (OC, %). For cross-season transferability benchmarks, three multi-year Harmonized Sentinel-2 SCORPAN datasets are utilized for the 2023–24 (948 samples), 2024–25 (952 samples), and 2025–26 (938 samples) agricultural cycles.</w:t>
      </w:r>
    </w:p>
    <w:p>
      <w:r>
        <w:t>Explanatory environmental covariates are derived from four open-access geospatial repositories on Google Earth Engine (GEE): (1) Sentinel-2 MSI Level-2A surface reflectance (12 bands); (2) NASA SRTM 30m Digital Elevation Model; (3) ECMWF ERA5-Land reanalysis and TerraClimate (7 hydrometeorological variables); and (4) ISRIC SoilGrids 250m mineral fractions (clay, silt, and sand in g/kg). Cloud-native processing in GEE enables instantaneous covariate extraction across the district without local data storage.</w:t>
      </w:r>
    </w:p>
    <w:p>
      <w:pPr>
        <w:pStyle w:val="Heading3"/>
      </w:pPr>
      <w:r>
        <w:rPr>
          <w:rFonts w:ascii="Arial" w:hAnsi="Arial"/>
          <w:b/>
          <w:color w:val="21618C"/>
          <w:sz w:val="24"/>
        </w:rPr>
        <w:t>3.1.2 Five-Stage Operational Pipeline Architecture</w:t>
      </w:r>
    </w:p>
    <w:p>
      <w:r>
        <w:t>AgriCare is structured as a sequential 5-stage lifecycle, operationalizing Hans Jenny's pedometric state factor equation as formalized by McBratney's SCORPAN paradigm: S = f(s, c, o, r, p, a, n). The five pipeline stages are:</w:t>
      </w:r>
    </w:p>
    <w:p>
      <w:pPr>
        <w:pStyle w:val="ListBullet"/>
      </w:pPr>
      <w:r>
        <w:rPr>
          <w:b/>
        </w:rPr>
        <w:t xml:space="preserve">Stage 1 (Ground-Truth Digitization): </w:t>
      </w:r>
      <w:r>
        <w:t>Paper Soil Health Cards are parsed using OpenCV morphological grid filtering, adaptive Gaussian thresholding, and bilingual EasyOCR, verified by regex and physical boundary filters (N=909 records).</w:t>
      </w:r>
    </w:p>
    <w:p>
      <w:pPr>
        <w:pStyle w:val="ListBullet"/>
      </w:pPr>
      <w:r>
        <w:rPr>
          <w:b/>
        </w:rPr>
        <w:t xml:space="preserve">Stage 2 (GEE Bare-Soil Covariate Extraction): </w:t>
      </w:r>
      <w:r>
        <w:t>Sentinel-2 L2A surface reflectance is filtered during the pre-sowing window (April 1 to June 30) using BSI &gt; 0.05 and NDVI &lt; 0.25 bare-soil masks, resampled to a uniform 10m grid, and sampled alongside SRTM DEM, ERA5-Land, and SoilGrids layers.</w:t>
      </w:r>
    </w:p>
    <w:p>
      <w:pPr>
        <w:pStyle w:val="ListBullet"/>
      </w:pPr>
      <w:r>
        <w:rPr>
          <w:b/>
        </w:rPr>
        <w:t xml:space="preserve">Stage 3 (SCORPAN Feature Engineering): </w:t>
      </w:r>
      <w:r>
        <w:t>Synthesizes 39 baseline covariates and 8 interaction/trend terms into a 47-dimensional feature matrix, incorporating sediment redistribution and catenary hydrology (Clay_x_Elevation, Moisture_div_Slope).</w:t>
      </w:r>
    </w:p>
    <w:p>
      <w:pPr>
        <w:pStyle w:val="ListBullet"/>
      </w:pPr>
      <w:r>
        <w:rPr>
          <w:b/>
        </w:rPr>
        <w:t xml:space="preserve">Stage 4 (Dual-Head Validation, Few-Shot Domain Calibration &amp; CQR): </w:t>
      </w:r>
      <w:r>
        <w:t>Validates generalization via Random 5-Fold, Spatial-Block K-Fold (5km grids), and Out-of-Time testing. Cross-season monsoon drift is neutralized via N=25 anchor calibration, while Conformalized Quantile Regression (CQR) guarantees &gt;=90% empirical coverage.</w:t>
      </w:r>
    </w:p>
    <w:p>
      <w:pPr>
        <w:pStyle w:val="ListBullet"/>
      </w:pPr>
      <w:r>
        <w:rPr>
          <w:b/>
        </w:rPr>
        <w:t xml:space="preserve">Stage 5 (ANGRAU Precision Fertilizer Advisory): </w:t>
      </w:r>
      <w:r>
        <w:t>Integrates continuous hybrid VotingRegressor forecasts with ICAR ExtraTreesClassifier ratings into ANGRAU STCR mass-balance equations, automating plot-specific Urea, DAP, and MOP recommendations (kg/acre).</w:t>
      </w:r>
    </w:p>
    <w:p>
      <w:pPr>
        <w:pStyle w:val="Heading2"/>
      </w:pPr>
      <w:r>
        <w:rPr>
          <w:rFonts w:ascii="Arial" w:hAnsi="Arial"/>
          <w:b/>
          <w:color w:val="1A5276"/>
          <w:sz w:val="28"/>
        </w:rPr>
        <w:t>3.2 Modular Breakdown of the Technical Pipeline</w:t>
      </w:r>
    </w:p>
    <w:p>
      <w:r>
        <w:rPr>
          <w:b/>
          <w:sz w:val="22"/>
        </w:rPr>
        <w:t>Table 3.1: Spectral Band Specifications of the Multispectral Instrument (Effective Resolution: 10m)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Band Identifier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Central λ (nm)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Bandwidth (nm)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Spatial Resolution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Physical Pedological Sensitivity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B1 Coastal Aerosol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443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60m)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Atmospheric aerosol scattering correction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B2 Blue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490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(Native)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Organic matter absorption; iron oxide discrimination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B3 Green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560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35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(Native)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Chlorophyll reflectance peak; green peak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B4 Red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665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(Native)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Chlorophyll and ferric iron (hematite) absorption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B5 Red Edge 1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705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20m)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Boundary of vegetation stress &amp; canopy chlorophyll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B6 Red Edge 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740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20m)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Leaf cellular structure; surrogate for nitrogen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B7 Red Edge 3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783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20m)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Canopy biomass density &amp; Leaf Area Index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B8 Broad NIR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842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(Native)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Structural scattering by vegetation canopy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B8A Narrow NIR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865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20m)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Narrow near-infrared plateau; organic carbon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B9 Water Vapour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945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60m)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Atmospheric water-vapour column correction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B11 SWIR 1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1610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90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20m)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Clay-mineral (O-H) lattice absorption &amp; moisture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B12 SWIR 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2190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10 m (Resampled from 20m)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C-H absorption in organic carbon; carbonates</w:t>
            </w:r>
          </w:p>
        </w:tc>
      </w:tr>
    </w:tbl>
    <w:p>
      <w:r>
        <w:t>Note on Spatial Resampling: In Google Earth Engine, all 20m and 60m Sentinel-2 Level-2A surface reflectance bands are resampled to a uniform 10m processing resolution via bilinear interpolation to align with native 10m visible bands (B2, B3, B4, B8), enabling fine-scale 10m plot-level digital soil mapping.</w:t>
      </w:r>
    </w:p>
    <w:p>
      <w:r>
        <w:rPr>
          <w:b/>
          <w:sz w:val="22"/>
        </w:rPr>
        <w:t>Table 3.2: Complete Catalog of 47 Engineered SCORPAN Features in AgriCare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shd w:val="clear" w:color="auto" w:fill="1B4F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2340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Variable Names / Symbols</w:t>
            </w:r>
          </w:p>
        </w:tc>
        <w:tc>
          <w:tcPr>
            <w:tcW w:type="dxa" w:w="2340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Physical Domain Rationale</w:t>
            </w:r>
          </w:p>
        </w:tc>
      </w:tr>
      <w:tr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1. Sentinel-2 Bands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B1, B2, B3, B4, B5, B6, B7, B8, B8A, B9, B11, B12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Direct optical and shortwave infrared reflectance (effective 10m)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2. Spectral Indices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NDVI, NDRE, EVI, SAVI, BSI, Clay_Ratio, OC_Index, Integral_NDVI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Vegetation vigor, bare soil albedo, clay/carbon absorption</w:t>
            </w:r>
          </w:p>
        </w:tc>
      </w:tr>
      <w:tr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3. Geomorphometry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Elevation_m, Slope_deg, Hillshade, TWI, Curvature, Aspect_Sin, Aspect_Cos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Topographic water accumulation, illumination, drainage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4. Climate Reanalysis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Soil_Moisture, Soil_Temp, LST_K, Precip_Mean, PET, Aridity_Index, VPD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Thermodynamic soil moisture, weathering, evapotranspiration</w:t>
            </w:r>
          </w:p>
        </w:tc>
      </w:tr>
      <w:tr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5. Texture &amp; Space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Clay_Fraction, Sand_Fraction, Silt_Fraction, Latitude, Longitude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Physical mineral matrix, cation exchange, coordinates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6. Physical Interactions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Clay_x_Moisture, Temp_x_VPD, BSI_div_NDVI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Coupled hydrological and atmospheric evaporative demand</w:t>
            </w:r>
          </w:p>
        </w:tc>
      </w:tr>
      <w:tr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7. Spatial Polynomials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Spatial_Lat2, Spatial_Lon2, Spatial_Lat_Lon</w:t>
            </w:r>
          </w:p>
        </w:tc>
        <w:tc>
          <w:tcPr>
            <w:tcW w:type="dxa" w:w="2340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Geographic trend surface across Nellore delta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8. Soil-Terrain Hydrology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Clay_x_Elevation, Moisture_div_Slope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Sediment redistribution &amp; erosion-deposition dynamics</w:t>
            </w:r>
          </w:p>
        </w:tc>
      </w:tr>
    </w:tbl>
    <w:p>
      <w:r>
        <w:t>Ablation Impact: Incremental ablation experiments prove that Sentinel-2 optical bands alone achieve a mean R² of 0.3415. Layering geomorphometry (R²=0.4120), climate reanalysis (R²=0.4682), soil texture (R²=0.4935), and the 8 physical interaction terms (Categories 6, 7, and 8) elevates overall multi-nutrient mean R² to 0.5207.</w:t>
      </w:r>
    </w:p>
    <w:p>
      <w:pPr>
        <w:pStyle w:val="Heading3"/>
      </w:pPr>
      <w:r>
        <w:rPr>
          <w:rFonts w:ascii="Arial" w:hAnsi="Arial"/>
          <w:b/>
          <w:color w:val="21618C"/>
          <w:sz w:val="24"/>
        </w:rPr>
        <w:t>3.2.4 Dual-Head Machine Learning Architecture</w:t>
      </w:r>
    </w:p>
    <w:p>
      <w:r>
        <w:t>To eliminate boundary thresholding errors inherent in monolithic regression models, AgriCare introduces a parallel Dual-Head architecture:</w:t>
        <w:br/>
        <w:t>• Head A (Continuous Regression): Formulated as a weighted hybrid VotingRegressor combining 70% ExtraTreesRegressor (350 trees, max_depth=16, min_samples_leaf=2) and 30% GradientBoostingRegressor:</w:t>
        <w:br/>
        <w:t xml:space="preserve">    y_hat_continuous = 0.70 * y_hat_ExtraTrees + 0.30 * y_hat_GradientBoosting    ... (3.19)</w:t>
        <w:br/>
        <w:t>Target variables P and K undergo logarithmic transformation prior to fitting to eliminate right-skewness:</w:t>
        <w:br/>
        <w:t xml:space="preserve">    y_trans = ln(1 + y)  ==&gt;  y_hat = max( 0, exp(y_hat_trans) - 1 )    ... (3.18)</w:t>
        <w:br/>
        <w:t>• Head B (ICAR Fertility Classification): An independent ExtraTreesClassifier (300 trees, max_depth=14) trained directly on statutory Indian Council of Agricultural Research (ICAR) fertility classes (Low, Medium, High). Predictions output posterior confidence percentages:</w:t>
        <w:br/>
        <w:t xml:space="preserve">    Confidence(%) = max_c P(c | x) * 100    ... (3.22)</w:t>
      </w:r>
    </w:p>
    <w:p>
      <w:r>
        <w:rPr>
          <w:b/>
          <w:sz w:val="22"/>
        </w:rPr>
        <w:t>Table 3.3: Statutory ICAR Soil Fertility Classification Rating Scales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Soil Nutrient / Property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Low (Tier 0)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Medium (Tier 1)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High (Tier 2)</w:t>
            </w:r>
          </w:p>
        </w:tc>
        <w:tc>
          <w:tcPr>
            <w:tcW w:type="dxa" w:w="1872"/>
            <w:shd w:val="clear" w:color="auto" w:fill="1B4F72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Analytical Method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Available Nitrogen (N)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280 kg/ha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280 – 560 kg/ha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560 kg/ha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Alkaline KMnO4 Distillation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Available Phosphorus (P, Olsen)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10 kg/ha (equiv. &lt; 23 kg/ha P2O5)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 – 25 kg/ha (equiv. 23 – 56 kg/ha P2O5)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25 kg/ha (equiv. &gt; 56 kg/ha P2O5)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Olsen 0.5M NaHCO3 Spectrophotometry</w:t>
            </w:r>
          </w:p>
        </w:tc>
      </w:tr>
      <w:tr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Available Potassium (K)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140 kg/ha (equiv. &lt; 168 kg/ha K2O)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140 – 280 kg/ha (equiv. 168 – 337 kg/ha K2O)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280 kg/ha (equiv. &gt; 337 kg/ha K2O)</w:t>
            </w:r>
          </w:p>
        </w:tc>
        <w:tc>
          <w:tcPr>
            <w:tcW w:type="dxa" w:w="1872"/>
            <w:shd w:val="clear" w:color="auto" w:fill="F2F4F4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Neutral 1N NH4OAc Flame Photometry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Soil Organic Carbon (OC)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&lt; 0.50 %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0.50 % – 0.75 %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&gt; 0.75 %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Walkley-Black Wet Oxidation</w:t>
            </w:r>
          </w:p>
        </w:tc>
      </w:tr>
    </w:tbl>
    <w:p>
      <w:pPr>
        <w:pStyle w:val="Heading3"/>
      </w:pPr>
      <w:r>
        <w:rPr>
          <w:rFonts w:ascii="Arial" w:hAnsi="Arial"/>
          <w:b/>
          <w:color w:val="21618C"/>
          <w:sz w:val="24"/>
        </w:rPr>
        <w:t>3.2.5 Few-Shot Domain Adaptation &amp; Conformalized Quantile Regression</w:t>
      </w:r>
    </w:p>
    <w:p>
      <w:r>
        <w:t>Few-Shot Seasonal Calibration: Inter-annual monsoon variance alters baseline soil albedo and moisture, introducing cross-season bias (MBE = +19.74 kg/ha for N, +80.82 kg/ha for K). AgriCare draws a minimal batch of K=25 anchor ground-truth tests from the new season, calculates the mean residual offset Delta = (1/K) * Sum(y_true - y_hat_base), and shifts un-sampled predictions:</w:t>
        <w:br/>
        <w:t xml:space="preserve">    y_hat_calibrated = max(0, y_hat_base + Delta)    ... (3.27)</w:t>
        <w:br/>
        <w:t>This additive offset eliminates retraining overhead, reduces cross-cycle RMSE by 32.4%, and recovers Nitrogen R² from 0.3420 back to 0.5840.</w:t>
      </w:r>
    </w:p>
    <w:p>
      <w:r>
        <w:t>Conformalized Quantile Regression (CQR): Raw Quantile Random Forest intervals under-cover test observations (PICP ≈ 73%–77% on uncalibrated sets). CQR (Romano et al., NeurIPS 2019) evaluates non-conformity scores on a 20% holdout calibration set (N_calib ≈ 180):</w:t>
        <w:br/>
        <w:t xml:space="preserve">    E_i = max( q_lo(x_i) - y_i,  y_i - q_hi(x_i) )    ... (3.28)</w:t>
        <w:br/>
        <w:t>The empirical correction quantile q_hat_conf is evaluated at level ceil((N_calib + 1)(1 - alpha)) / N_calib. Expanding test intervals by q_hat_conf:</w:t>
        <w:br/>
        <w:t xml:space="preserve">    Interval_calibrated = [ max(0, q_lo - q_hat_conf),  q_hi + q_hat_conf ]    ... (3.29)</w:t>
        <w:br/>
        <w:t>guarantees empirical prediction coverage PICP &gt;= 90.0% (achieving 95.10% for P, 92.86% for OC, and &gt;=90% under calibrated domain drift).</w:t>
      </w:r>
    </w:p>
    <w:p>
      <w:pPr>
        <w:pStyle w:val="Heading3"/>
      </w:pPr>
      <w:r>
        <w:rPr>
          <w:rFonts w:ascii="Arial" w:hAnsi="Arial"/>
          <w:b/>
          <w:color w:val="21618C"/>
          <w:sz w:val="24"/>
        </w:rPr>
        <w:t>3.2.6 ANGRAU Precision Fertilizer Advisory Engine</w:t>
      </w:r>
    </w:p>
    <w:p>
      <w:r>
        <w:t>Commercial fertilizer prescriptions are automated using Acharya N.G. Ranga Agricultural University (ANGRAU) STCR baseline recommendations for major crops in SPSR Nellore (Paddy: 120-60-40, Maize: 150-60-50, Cotton: 120-60-60, Groundnut: 20-40-50 in N-P2O5-K2O kg/ha). Requirements are adjusted by statutory tier multipliers (+25% for Low, 0% for Medium, -25% for High). Because Di-Ammonium Phosphate (DAP) supplies 18% N and 46% P2O5, DAP is calculated first, and its nitrogen contribution is credited against Urea:</w:t>
        <w:br/>
        <w:t xml:space="preserve">    DAP (kg/ha) = R_P / 0.46;    N_DAP = 0.18 * DAP    ... (3.31)</w:t>
        <w:br/>
        <w:t xml:space="preserve">    Urea (kg/ha) = max(0, R_N - N_DAP) / 0.46;    MOP (kg/ha) = R_K / 0.60    ... (3.32)</w:t>
        <w:br/>
        <w:t xml:space="preserve">    Prescription (kg/acre) = Dose (kg/ha) * 0.4047    ... (3.33)</w:t>
        <w:br/>
        <w:t>For Paddy under Low-N, Medium-P, High-K conditions, the exact prescription is 52.8 kg DAP, 111.3 kg Urea, and 20.2 kg MOP per acre.</w:t>
      </w:r>
    </w:p>
    <w:p>
      <w:pPr>
        <w:pStyle w:val="Heading3"/>
      </w:pPr>
      <w:r>
        <w:rPr>
          <w:rFonts w:ascii="Arial" w:hAnsi="Arial"/>
          <w:b/>
          <w:color w:val="21618C"/>
          <w:sz w:val="24"/>
        </w:rPr>
        <w:t>3.2.7 Future Multi-Sensor Radar &amp; Micronutrient Extensions</w:t>
      </w:r>
    </w:p>
    <w:p>
      <w:r>
        <w:t>To resolve optical penetration barriers for non-reflective phosphate ions and secondary nutrients, three extensions are detailed:</w:t>
        <w:br/>
        <w:t>1. Sentinel-1 C-Band SAR Radar Fusion: Ingestion of dual-polarization backscatter (VV, VH in dB) and radar indices (Ratio = VH/VV, RVI = 4*VH / (VV + VH)) to penetrate vegetative canopy and directly gauge topsoil dielectric moisture.</w:t>
        <w:br/>
        <w:t>2. Spaceborne Hyperspectral Ingestion (PRISMA / EnMAP): Contiguous 240-band spectroscopy (400–2500 nm) to detect narrow mineral absorption doublets.</w:t>
        <w:br/>
        <w:t>3. 12-Parameter Soil Health Card Expansion: Multi-label classification heads for secondary (S, Ca, Mg) and micronutrients (Zn, Fe, B), eliminating crop yield bottlenecks governed by Liebig's Law of the Minimum.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