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000000"/>
          <w:sz w:val="40"/>
          <w:szCs w:val="40"/>
        </w:rPr>
        <w:t xml:space="preserve">Especificación de Requisitos de Software</w:t>
      </w:r>
    </w:p>
    <w:p>
      <w:pPr>
        <w:spacing w:after="100"/>
        <w:jc w:val="center"/>
      </w:pPr>
      <w:r>
        <w:rPr>
          <w:i/>
          <w:iCs/>
          <w:color w:val="000000"/>
          <w:sz w:val="24"/>
          <w:szCs w:val="24"/>
        </w:rPr>
        <w:t xml:space="preserve">(ERS / SRS)</w:t>
      </w:r>
    </w:p>
    <w:p>
      <w:pPr>
        <w:pBdr>
          <w:bottom w:val="single" w:color="000000" w:sz="8" w:space="8"/>
        </w:pBdr>
        <w:spacing w:after="300" w:before="300"/>
      </w:pPr>
    </w:p>
    <w:p>
      <w:pPr>
        <w:spacing w:after="120"/>
        <w:jc w:val="center"/>
      </w:pPr>
      <w:r>
        <w:rPr>
          <w:b/>
          <w:bCs/>
          <w:color w:val="000000"/>
          <w:sz w:val="32"/>
          <w:szCs w:val="32"/>
        </w:rPr>
        <w:t xml:space="preserve">Sistema de Gestión Integral para Gimnasios</w:t>
      </w:r>
    </w:p>
    <w:p>
      <w:pPr>
        <w:spacing w:after="100"/>
        <w:jc w:val="center"/>
      </w:pPr>
      <w:r>
        <w:rPr>
          <w:color w:val="000000"/>
          <w:sz w:val="26"/>
          <w:szCs w:val="26"/>
        </w:rPr>
        <w:t xml:space="preserve">(SGIG)</w:t>
      </w:r>
    </w:p>
    <w:p>
      <w:pPr>
        <w:spacing w:before="900"/>
      </w:pPr>
    </w:p>
    <w:p>
      <w:pPr>
        <w:spacing w:after="100"/>
        <w:jc w:val="center"/>
      </w:pPr>
      <w:r>
        <w:rPr>
          <w:color w:val="000000"/>
          <w:sz w:val="22"/>
          <w:szCs w:val="22"/>
        </w:rPr>
        <w:t xml:space="preserve">Taller de Programación II — 2026</w:t>
      </w:r>
    </w:p>
    <w:p>
      <w:pPr>
        <w:spacing w:after="100"/>
        <w:jc w:val="center"/>
      </w:pPr>
      <w:r>
        <w:rPr>
          <w:color w:val="000000"/>
          <w:sz w:val="20"/>
          <w:szCs w:val="20"/>
        </w:rPr>
        <w:t xml:space="preserve">Licenciatura en Sistemas de Información — FACENA</w:t>
      </w:r>
    </w:p>
    <w:p>
      <w:pPr>
        <w:spacing w:before="900"/>
      </w:pPr>
    </w:p>
    <w:p>
      <w:pPr>
        <w:spacing w:after="100"/>
        <w:jc w:val="center"/>
      </w:pPr>
      <w:r>
        <w:rPr>
          <w:b/>
          <w:bCs/>
          <w:color w:val="000000"/>
          <w:sz w:val="22"/>
          <w:szCs w:val="22"/>
        </w:rPr>
        <w:t xml:space="preserve">Versión 4.0</w:t>
      </w:r>
    </w:p>
    <w:p>
      <w:pPr>
        <w:spacing w:after="100"/>
        <w:jc w:val="center"/>
      </w:pPr>
      <w:r>
        <w:rPr>
          <w:color w:val="000000"/>
          <w:sz w:val="20"/>
          <w:szCs w:val="20"/>
        </w:rPr>
        <w:t xml:space="preserve">31 de agosto de 2026</w:t>
      </w:r>
    </w:p>
    <w:p>
      <w:pPr>
        <w:pageBreakBefore/>
      </w:pPr>
    </w:p>
    <w:p>
      <w:pPr>
        <w:pStyle w:val="Heading1"/>
        <w:spacing w:after="160" w:before="320"/>
      </w:pPr>
      <w:r>
        <w:t xml:space="preserve">Control de versiones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220"/>
      </w:tblGrid>
      <w:tr>
        <w:trPr>
          <w:cantSplit/>
        </w:trPr>
        <w:tc>
          <w:tcPr>
            <w:tcW w:type="dxa" w:w="1400"/>
            <w:shd w:fill="D9D9D9" w:val="clear"/>
            <w:tcMar>
              <w:top w:type="dxa" w:w="70"/>
              <w:left w:type="dxa" w:w="100"/>
              <w:bottom w:type="dxa" w:w="70"/>
              <w:right w:type="dxa" w:w="100"/>
            </w:tcMar>
          </w:tcPr>
          <w:p>
            <w:r>
              <w:rPr>
                <w:b/>
                <w:bCs/>
                <w:color w:val="000000"/>
                <w:sz w:val="19"/>
                <w:szCs w:val="19"/>
              </w:rPr>
              <w:t xml:space="preserve">Versión</w:t>
            </w:r>
          </w:p>
        </w:tc>
        <w:tc>
          <w:tcPr>
            <w:tcW w:type="dxa" w:w="1800"/>
            <w:shd w:fill="D9D9D9" w:val="clear"/>
            <w:tcMar>
              <w:top w:type="dxa" w:w="70"/>
              <w:left w:type="dxa" w:w="100"/>
              <w:bottom w:type="dxa" w:w="70"/>
              <w:right w:type="dxa" w:w="100"/>
            </w:tcMar>
          </w:tcPr>
          <w:p>
            <w:r>
              <w:rPr>
                <w:b/>
                <w:bCs/>
                <w:color w:val="000000"/>
                <w:sz w:val="19"/>
                <w:szCs w:val="19"/>
              </w:rPr>
              <w:t xml:space="preserve">Fecha</w:t>
            </w:r>
          </w:p>
        </w:tc>
        <w:tc>
          <w:tcPr>
            <w:tcW w:type="dxa" w:w="6220"/>
            <w:shd w:fill="D9D9D9" w:val="clear"/>
            <w:tcMar>
              <w:top w:type="dxa" w:w="70"/>
              <w:left w:type="dxa" w:w="100"/>
              <w:bottom w:type="dxa" w:w="70"/>
              <w:right w:type="dxa" w:w="100"/>
            </w:tcMar>
          </w:tcPr>
          <w:p>
            <w:r>
              <w:rPr>
                <w:b/>
                <w:bCs/>
                <w:color w:val="000000"/>
                <w:sz w:val="19"/>
                <w:szCs w:val="19"/>
              </w:rPr>
              <w:t xml:space="preserve">Descripción</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1.0</w:t>
            </w:r>
          </w:p>
        </w:tc>
        <w:tc>
          <w:tcPr>
            <w:tcW w:type="dxa" w:w="1800"/>
            <w:tcMar>
              <w:top w:type="dxa" w:w="70"/>
              <w:left w:type="dxa" w:w="100"/>
              <w:bottom w:type="dxa" w:w="70"/>
              <w:right w:type="dxa" w:w="100"/>
            </w:tcMar>
          </w:tcPr>
          <w:p>
            <w:r>
              <w:rPr>
                <w:b w:val="false"/>
                <w:bCs w:val="false"/>
                <w:color w:val="000000"/>
                <w:sz w:val="19"/>
                <w:szCs w:val="19"/>
              </w:rPr>
              <w:t xml:space="preserve">Primer cuatrimestre 2026</w:t>
            </w:r>
          </w:p>
        </w:tc>
        <w:tc>
          <w:tcPr>
            <w:tcW w:type="dxa" w:w="6220"/>
            <w:tcMar>
              <w:top w:type="dxa" w:w="70"/>
              <w:left w:type="dxa" w:w="100"/>
              <w:bottom w:type="dxa" w:w="70"/>
              <w:right w:type="dxa" w:w="100"/>
            </w:tcMar>
          </w:tcPr>
          <w:p>
            <w:r>
              <w:rPr>
                <w:b w:val="false"/>
                <w:bCs w:val="false"/>
                <w:color w:val="000000"/>
                <w:sz w:val="19"/>
                <w:szCs w:val="19"/>
              </w:rPr>
              <w:t xml:space="preserve">Versión inicial. Alcance ampliado: incluía gestión de sedes, gastos limitados a mantenimiento, disciplinas, rutinas y clases programadas.</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2.0</w:t>
            </w:r>
          </w:p>
        </w:tc>
        <w:tc>
          <w:tcPr>
            <w:tcW w:type="dxa" w:w="1800"/>
            <w:tcMar>
              <w:top w:type="dxa" w:w="70"/>
              <w:left w:type="dxa" w:w="100"/>
              <w:bottom w:type="dxa" w:w="70"/>
              <w:right w:type="dxa" w:w="100"/>
            </w:tcMar>
          </w:tcPr>
          <w:p>
            <w:r>
              <w:rPr>
                <w:b w:val="false"/>
                <w:bCs w:val="false"/>
                <w:color w:val="000000"/>
                <w:sz w:val="19"/>
                <w:szCs w:val="19"/>
              </w:rPr>
              <w:t xml:space="preserve">19/08/2026</w:t>
            </w:r>
          </w:p>
        </w:tc>
        <w:tc>
          <w:tcPr>
            <w:tcW w:type="dxa" w:w="6220"/>
            <w:tcMar>
              <w:top w:type="dxa" w:w="70"/>
              <w:left w:type="dxa" w:w="100"/>
              <w:bottom w:type="dxa" w:w="70"/>
              <w:right w:type="dxa" w:w="100"/>
            </w:tcMar>
          </w:tcPr>
          <w:p>
            <w:r>
              <w:rPr>
                <w:b w:val="false"/>
                <w:bCs w:val="false"/>
                <w:color w:val="000000"/>
                <w:sz w:val="19"/>
                <w:szCs w:val="19"/>
              </w:rPr>
              <w:t xml:space="preserve">Alcance reducido y consolidado para ajustarse al tiempo de desarrollo disponible. Se incorpora el modelo de Persona especializada en Socio/Empleado, se agrega la gestión de gastos generales, y se elimina la gestión de sedes y el módulo deportivo (clases y rutinas).</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3.0</w:t>
            </w:r>
          </w:p>
        </w:tc>
        <w:tc>
          <w:tcPr>
            <w:tcW w:type="dxa" w:w="1800"/>
            <w:tcMar>
              <w:top w:type="dxa" w:w="70"/>
              <w:left w:type="dxa" w:w="100"/>
              <w:bottom w:type="dxa" w:w="70"/>
              <w:right w:type="dxa" w:w="100"/>
            </w:tcMar>
          </w:tcPr>
          <w:p>
            <w:r>
              <w:rPr>
                <w:b w:val="false"/>
                <w:bCs w:val="false"/>
                <w:color w:val="000000"/>
                <w:sz w:val="19"/>
                <w:szCs w:val="19"/>
              </w:rPr>
              <w:t xml:space="preserve">26/08/2026</w:t>
            </w:r>
          </w:p>
        </w:tc>
        <w:tc>
          <w:tcPr>
            <w:tcW w:type="dxa" w:w="6220"/>
            <w:tcMar>
              <w:top w:type="dxa" w:w="70"/>
              <w:left w:type="dxa" w:w="100"/>
              <w:bottom w:type="dxa" w:w="70"/>
              <w:right w:type="dxa" w:w="100"/>
            </w:tcMar>
          </w:tcPr>
          <w:p>
            <w:r>
              <w:rPr>
                <w:b w:val="false"/>
                <w:bCs w:val="false"/>
                <w:color w:val="000000"/>
                <w:sz w:val="19"/>
                <w:szCs w:val="19"/>
              </w:rPr>
              <w:t xml:space="preserve">Refactorización del modelo de datos y de los roles. Se elimina la entidad Empleado: Persona se especializa ahora en Socio y en Usuario, quedando este último con los datos laborales del personal (legajo, fecha de ingreso) además de sus credenciales. Se incorpora el rol Técnico, responsable de máquinas y mantenimientos. Se elimina la tabla Categoría de Gasto.</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3.1</w:t>
            </w:r>
          </w:p>
        </w:tc>
        <w:tc>
          <w:tcPr>
            <w:tcW w:type="dxa" w:w="1800"/>
            <w:tcMar>
              <w:top w:type="dxa" w:w="70"/>
              <w:left w:type="dxa" w:w="100"/>
              <w:bottom w:type="dxa" w:w="70"/>
              <w:right w:type="dxa" w:w="100"/>
            </w:tcMar>
          </w:tcPr>
          <w:p>
            <w:r>
              <w:rPr>
                <w:b w:val="false"/>
                <w:bCs w:val="false"/>
                <w:color w:val="000000"/>
                <w:sz w:val="19"/>
                <w:szCs w:val="19"/>
              </w:rPr>
              <w:t xml:space="preserve">27/08/2026</w:t>
            </w:r>
          </w:p>
        </w:tc>
        <w:tc>
          <w:tcPr>
            <w:tcW w:type="dxa" w:w="6220"/>
            <w:tcMar>
              <w:top w:type="dxa" w:w="70"/>
              <w:left w:type="dxa" w:w="100"/>
              <w:bottom w:type="dxa" w:w="70"/>
              <w:right w:type="dxa" w:w="100"/>
            </w:tcMar>
          </w:tcPr>
          <w:p>
            <w:r>
              <w:rPr>
                <w:b w:val="false"/>
                <w:bCs w:val="false"/>
                <w:color w:val="000000"/>
                <w:sz w:val="19"/>
                <w:szCs w:val="19"/>
              </w:rPr>
              <w:t xml:space="preserve">Cambio de lenguaje de implementación: de Visual Basic .NET a C#, sobre el mismo entorno .NET Framework y Windows Forms. No afecta el modelo de datos, los roles ni los requisitos funcionales — solo RNF#08 y las referencias al lenguaje en el resto del documento.</w:t>
            </w:r>
          </w:p>
        </w:tc>
      </w:tr>
      <w:tr>
        <w:trPr>
          <w:cantSplit/>
        </w:trPr>
        <w:tc>
          <w:tcPr>
            <w:tcW w:type="dxa" w:w="1400"/>
            <w:tcMar>
              <w:top w:type="dxa" w:w="70"/>
              <w:left w:type="dxa" w:w="100"/>
              <w:bottom w:type="dxa" w:w="70"/>
              <w:right w:type="dxa" w:w="100"/>
            </w:tcMar>
          </w:tcPr>
          <w:p>
            <w:r>
              <w:rPr>
                <w:b w:val="false"/>
                <w:bCs w:val="false"/>
                <w:color w:val="000000"/>
                <w:sz w:val="19"/>
                <w:szCs w:val="19"/>
              </w:rPr>
              <w:t xml:space="preserve">4.0</w:t>
            </w:r>
          </w:p>
        </w:tc>
        <w:tc>
          <w:tcPr>
            <w:tcW w:type="dxa" w:w="1800"/>
            <w:tcMar>
              <w:top w:type="dxa" w:w="70"/>
              <w:left w:type="dxa" w:w="100"/>
              <w:bottom w:type="dxa" w:w="70"/>
              <w:right w:type="dxa" w:w="100"/>
            </w:tcMar>
          </w:tcPr>
          <w:p>
            <w:r>
              <w:rPr>
                <w:b w:val="false"/>
                <w:bCs w:val="false"/>
                <w:color w:val="000000"/>
                <w:sz w:val="19"/>
                <w:szCs w:val="19"/>
              </w:rPr>
              <w:t xml:space="preserve">31/08/2026</w:t>
            </w:r>
          </w:p>
        </w:tc>
        <w:tc>
          <w:tcPr>
            <w:tcW w:type="dxa" w:w="6220"/>
            <w:tcMar>
              <w:top w:type="dxa" w:w="70"/>
              <w:left w:type="dxa" w:w="100"/>
              <w:bottom w:type="dxa" w:w="70"/>
              <w:right w:type="dxa" w:w="100"/>
            </w:tcMar>
          </w:tcPr>
          <w:p>
            <w:r>
              <w:rPr>
                <w:b w:val="false"/>
                <w:bCs w:val="false"/>
                <w:color w:val="000000"/>
                <w:sz w:val="19"/>
                <w:szCs w:val="19"/>
              </w:rPr>
              <w:t xml:space="preserve">Refactorización de Tesorería y baja del módulo de Gastos. Se elimina la tabla Gasto y la generación automática de gasto por Mantenimiento (RF#22 y RF#23 dados de baja); el Mantenimiento queda simplificado a la relación Máquina–Técnico. Se incorpora la tabla intermedia Facturación entre Socio, Plan y Pago, para sostener planes de periodicidad Diaria, Semanal, Mensual o Anual y calcular el vencimiento de cuota por calendario. El módulo de Gastos se redefine como Reportes, con un Reporte de Ingresos simple (RF#24) filtrado por rango de fechas. Se actualiza además la descripción del entorno tecnológico: proyecto sobre .NET moderno (SDK-style) en lugar de .NET Framework, y acceso a datos mediante Dapper sobre Microsoft SQL Server (se descarta MS Access como motor alternativo).</w:t>
            </w:r>
          </w:p>
        </w:tc>
      </w:tr>
    </w:tbl>
    <w:p>
      <w:pPr>
        <w:pageBreakBefore/>
      </w:pPr>
    </w:p>
    <w:p>
      <w:pPr>
        <w:pStyle w:val="Heading1"/>
        <w:spacing w:after="2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160"/>
      </w:pPr>
      <w:r>
        <w:rPr>
          <w:i/>
          <w:iCs/>
          <w:color w:val="444444"/>
          <w:sz w:val="18"/>
          <w:szCs w:val="18"/>
        </w:rPr>
        <w:t xml:space="preserve">(Este índice se genera automáticamente. En Microsoft Word, hacer clic derecho sobre él y seleccionar “Actualizar campo” → “Actualizar todo el índice”.)</w:t>
      </w:r>
    </w:p>
    <w:p>
      <w:pPr>
        <w:pageBreakBefore/>
      </w:pPr>
    </w:p>
    <w:p>
      <w:pPr>
        <w:pStyle w:val="Heading1"/>
        <w:spacing w:after="160" w:before="320"/>
      </w:pPr>
      <w:r>
        <w:t xml:space="preserve">1. Introducción</w:t>
      </w:r>
    </w:p>
    <w:p>
      <w:pPr>
        <w:pStyle w:val="Heading2"/>
        <w:spacing w:after="120" w:before="240"/>
      </w:pPr>
      <w:r>
        <w:t xml:space="preserve">1.1 Propósito</w:t>
      </w:r>
    </w:p>
    <w:p>
      <w:pPr>
        <w:spacing w:after="160"/>
      </w:pPr>
      <w:r>
        <w:t xml:space="preserve">El propósito de este documento es definir la Especificación de Requisitos de Software (ERS) para el Sistema de Gestión Integral para Gimnasios (SGIG). Este documento describe el comportamiento del sistema, sus funcionalidades, restricciones y requerimientos no funcionales, siguiendo como referencia estructural la norma IEEE Std 830-1998 (Recommended Practice for Software Requirements Specifications). Está dirigido al equipo de desarrollo, a los docentes evaluadores de la cátedra Taller de Programación II y a los potenciales administradores del sistema.</w:t>
      </w:r>
    </w:p>
    <w:p>
      <w:pPr>
        <w:pStyle w:val="Heading2"/>
        <w:spacing w:after="120" w:before="240"/>
      </w:pPr>
      <w:r>
        <w:t xml:space="preserve">1.2 Alcance</w:t>
      </w:r>
    </w:p>
    <w:p>
      <w:pPr>
        <w:spacing w:after="160"/>
      </w:pPr>
      <w:r>
        <w:t xml:space="preserve">El SGIG es una aplicación de escritorio destinada a administrar las operaciones diarias de un gimnasio de una única sede. El sistema abarca seis áreas funcionales:</w:t>
      </w:r>
    </w:p>
    <w:p>
      <w:pPr>
        <w:pStyle w:val="ListParagraph"/>
        <w:numPr>
          <w:ilvl w:val="0"/>
          <w:numId w:val="1"/>
        </w:numPr>
        <w:spacing w:after="70"/>
      </w:pPr>
      <w:r>
        <w:t xml:space="preserve">Gestión de seguridad: control de Usuarios y Roles (Administrador, Recepcionista y Técnico).</w:t>
      </w:r>
    </w:p>
    <w:p>
      <w:pPr>
        <w:pStyle w:val="ListParagraph"/>
        <w:numPr>
          <w:ilvl w:val="0"/>
          <w:numId w:val="1"/>
        </w:numPr>
        <w:spacing w:after="70"/>
      </w:pPr>
      <w:r>
        <w:t xml:space="preserve">Administración de personas: mediante un modelo unificado de Persona que se especializa en Socio y/o Usuario del sistema según corresponda, evitando la duplicación de datos personales cuando un mismo individuo cumple ambos papeles.</w:t>
      </w:r>
    </w:p>
    <w:p>
      <w:pPr>
        <w:pStyle w:val="ListParagraph"/>
        <w:numPr>
          <w:ilvl w:val="0"/>
          <w:numId w:val="1"/>
        </w:numPr>
        <w:spacing w:after="70"/>
      </w:pPr>
      <w:r>
        <w:t xml:space="preserve">Tesorería: administración de Planes de membresía (con periodicidad Diaria, Semanal, Mensual o Anual) y registro de cobro de cuotas a través de una Facturación por cada ciclo, con cálculo automático de vencimientos.</w:t>
      </w:r>
    </w:p>
    <w:p>
      <w:pPr>
        <w:pStyle w:val="ListParagraph"/>
        <w:numPr>
          <w:ilvl w:val="0"/>
          <w:numId w:val="1"/>
        </w:numPr>
        <w:spacing w:after="70"/>
      </w:pPr>
      <w:r>
        <w:t xml:space="preserve">Control de acceso lógico: pantalla de Check-in que valida el estado de la cuota de un socio a partir de su número de documento.</w:t>
      </w:r>
    </w:p>
    <w:p>
      <w:pPr>
        <w:pStyle w:val="ListParagraph"/>
        <w:numPr>
          <w:ilvl w:val="0"/>
          <w:numId w:val="1"/>
        </w:numPr>
        <w:spacing w:after="70"/>
      </w:pPr>
      <w:r>
        <w:t xml:space="preserve">Gestión de activos: inventario de Máquinas y registro de sus Mantenimientos, a cargo del rol Técnico.</w:t>
      </w:r>
    </w:p>
    <w:p>
      <w:pPr>
        <w:pStyle w:val="ListParagraph"/>
        <w:numPr>
          <w:ilvl w:val="0"/>
          <w:numId w:val="1"/>
        </w:numPr>
        <w:spacing w:after="70"/>
      </w:pPr>
      <w:r>
        <w:t xml:space="preserve">Reportes: reporte de ingresos por cuotas, filtrable por rango de fechas.</w:t>
      </w:r>
    </w:p>
    <w:p>
      <w:pPr>
        <w:spacing w:after="160"/>
      </w:pPr>
      <w:r>
        <w:t xml:space="preserve">Quedan explícitamente fuera del alcance de esta versión del sistema:</w:t>
      </w:r>
    </w:p>
    <w:p>
      <w:pPr>
        <w:pStyle w:val="ListParagraph"/>
        <w:numPr>
          <w:ilvl w:val="0"/>
          <w:numId w:val="1"/>
        </w:numPr>
        <w:spacing w:after="70"/>
      </w:pPr>
      <w:r>
        <w:t xml:space="preserve">La administración de múltiples sedes o sucursales: el sistema fue diseñado y acotado para operar sobre un único establecimiento, decisión tomada para ajustar el proyecto al tiempo de desarrollo disponible en la cátedra.</w:t>
      </w:r>
    </w:p>
    <w:p>
      <w:pPr>
        <w:pStyle w:val="ListParagraph"/>
        <w:numPr>
          <w:ilvl w:val="0"/>
          <w:numId w:val="1"/>
        </w:numPr>
        <w:spacing w:after="70"/>
      </w:pPr>
      <w:r>
        <w:t xml:space="preserve">La programación de clases grupales y el armado de rutinas de entrenamiento personalizadas (módulo deportivo), descartado por el mismo motivo.</w:t>
      </w:r>
    </w:p>
    <w:p>
      <w:pPr>
        <w:pStyle w:val="ListParagraph"/>
        <w:numPr>
          <w:ilvl w:val="0"/>
          <w:numId w:val="1"/>
        </w:numPr>
        <w:spacing w:after="70"/>
      </w:pPr>
      <w:r>
        <w:t xml:space="preserve">El registro de gastos del gimnasio y el reporte de balance (ingresos contra egresos): se simplificó el alcance de Tesorería a la gestión de ingresos por cuotas; el costo de un Mantenimiento no genera un movimiento contable dentro del sistema.</w:t>
      </w:r>
    </w:p>
    <w:p>
      <w:pPr>
        <w:pStyle w:val="ListParagraph"/>
        <w:numPr>
          <w:ilvl w:val="0"/>
          <w:numId w:val="1"/>
        </w:numPr>
        <w:spacing w:after="70"/>
      </w:pPr>
      <w:r>
        <w:t xml:space="preserve">La interacción con hardware externo automatizado (lectores biométricos, molinetes físicos).</w:t>
      </w:r>
    </w:p>
    <w:p>
      <w:pPr>
        <w:pStyle w:val="ListParagraph"/>
        <w:numPr>
          <w:ilvl w:val="0"/>
          <w:numId w:val="1"/>
        </w:numPr>
        <w:spacing w:after="70"/>
      </w:pPr>
      <w:r>
        <w:t xml:space="preserve">La emisión de comprobantes o facturación con validez fiscal ante entidades gubernamentales — la “Facturación” del modelo de datos es un término interno para el ciclo de cuota de un socio, no un comprobante fiscal.</w:t>
      </w:r>
    </w:p>
    <w:p>
      <w:pPr>
        <w:pStyle w:val="Heading2"/>
        <w:spacing w:after="120" w:before="240"/>
      </w:pPr>
      <w:r>
        <w:t xml:space="preserve">1.3 Definiciones, acrónimos y abreviaturas</w:t>
      </w:r>
    </w:p>
    <w:p>
      <w:pPr>
        <w:pStyle w:val="ListParagraph"/>
        <w:numPr>
          <w:ilvl w:val="0"/>
          <w:numId w:val="1"/>
        </w:numPr>
        <w:spacing w:after="70"/>
      </w:pPr>
      <w:r>
        <w:t xml:space="preserve">SGIG: Sistema de Gestión Integral para Gimnasios.</w:t>
      </w:r>
    </w:p>
    <w:p>
      <w:pPr>
        <w:pStyle w:val="ListParagraph"/>
        <w:numPr>
          <w:ilvl w:val="0"/>
          <w:numId w:val="1"/>
        </w:numPr>
        <w:spacing w:after="70"/>
      </w:pPr>
      <w:r>
        <w:t xml:space="preserve">ERS / SRS: Especificación de Requisitos de Software (Software Requirements Specification).</w:t>
      </w:r>
    </w:p>
    <w:p>
      <w:pPr>
        <w:pStyle w:val="ListParagraph"/>
        <w:numPr>
          <w:ilvl w:val="0"/>
          <w:numId w:val="1"/>
        </w:numPr>
        <w:spacing w:after="70"/>
      </w:pPr>
      <w:r>
        <w:t xml:space="preserve">CRUD: operaciones básicas de base de datos (Create, Read, Update, Delete).</w:t>
      </w:r>
    </w:p>
    <w:p>
      <w:pPr>
        <w:pStyle w:val="ListParagraph"/>
        <w:numPr>
          <w:ilvl w:val="0"/>
          <w:numId w:val="1"/>
        </w:numPr>
        <w:spacing w:after="70"/>
      </w:pPr>
      <w:r>
        <w:t xml:space="preserve">Check-in: proceso de registro y validación de entrada de un socio al establecimiento.</w:t>
      </w:r>
    </w:p>
    <w:p>
      <w:pPr>
        <w:pStyle w:val="ListParagraph"/>
        <w:numPr>
          <w:ilvl w:val="0"/>
          <w:numId w:val="1"/>
        </w:numPr>
        <w:spacing w:after="70"/>
      </w:pPr>
      <w:r>
        <w:t xml:space="preserve">MDIParent: interfaz de múltiples documentos; ventana principal que contiene a los demás formularios del sistema.</w:t>
      </w:r>
    </w:p>
    <w:p>
      <w:pPr>
        <w:pStyle w:val="ListParagraph"/>
        <w:numPr>
          <w:ilvl w:val="0"/>
          <w:numId w:val="1"/>
        </w:numPr>
        <w:spacing w:after="70"/>
      </w:pPr>
      <w:r>
        <w:t xml:space="preserve">Persona: entidad que concentra los datos personales únicos de un individuo (documento, nombre, contacto, domicilio).</w:t>
      </w:r>
    </w:p>
    <w:p>
      <w:pPr>
        <w:pStyle w:val="ListParagraph"/>
        <w:numPr>
          <w:ilvl w:val="0"/>
          <w:numId w:val="1"/>
        </w:numPr>
        <w:spacing w:after="70"/>
      </w:pPr>
      <w:r>
        <w:t xml:space="preserve">Socio: especialización de Persona; cliente registrado en el gimnasio que abona una cuota.</w:t>
      </w:r>
    </w:p>
    <w:p>
      <w:pPr>
        <w:pStyle w:val="ListParagraph"/>
        <w:numPr>
          <w:ilvl w:val="0"/>
          <w:numId w:val="1"/>
        </w:numPr>
        <w:spacing w:after="70"/>
      </w:pPr>
      <w:r>
        <w:t xml:space="preserve">Usuario: especialización de Persona; miembro del personal del gimnasio con acceso al sistema. Concentra tanto sus datos laborales (legajo, fecha de ingreso) como sus credenciales y su Rol.</w:t>
      </w:r>
    </w:p>
    <w:p>
      <w:pPr>
        <w:pStyle w:val="ListParagraph"/>
        <w:numPr>
          <w:ilvl w:val="0"/>
          <w:numId w:val="1"/>
        </w:numPr>
        <w:spacing w:after="70"/>
      </w:pPr>
      <w:r>
        <w:t xml:space="preserve">Facturación: tabla intermedia que representa un ciclo de cuota de un Socio sobre un Plan (fecha de emisión, fecha de vencimiento y monto vigente al momento de emitirla). Cada Facturación se salda con uno o más Pagos.</w:t>
      </w:r>
    </w:p>
    <w:p>
      <w:pPr>
        <w:pStyle w:val="ListParagraph"/>
        <w:numPr>
          <w:ilvl w:val="0"/>
          <w:numId w:val="1"/>
        </w:numPr>
        <w:spacing w:after="70"/>
      </w:pPr>
      <w:r>
        <w:t xml:space="preserve">Rol: perfil que determina qué opciones del sistema tiene habilitadas un Usuario (Administrador, Recepcionista o Técnico).</w:t>
      </w:r>
    </w:p>
    <w:p>
      <w:pPr>
        <w:pStyle w:val="ListParagraph"/>
        <w:numPr>
          <w:ilvl w:val="0"/>
          <w:numId w:val="1"/>
        </w:numPr>
        <w:spacing w:after="70"/>
      </w:pPr>
      <w:r>
        <w:t xml:space="preserve">Baja lógica: desactivación de un registro (campo “activo”) sin eliminarlo físicamente de la base de datos, preservando su historial.</w:t>
      </w:r>
    </w:p>
    <w:p>
      <w:pPr>
        <w:pStyle w:val="ListParagraph"/>
        <w:numPr>
          <w:ilvl w:val="0"/>
          <w:numId w:val="1"/>
        </w:numPr>
        <w:spacing w:after="70"/>
      </w:pPr>
      <w:r>
        <w:t xml:space="preserve">RF / RNF: Requisito Funcional / Requisito No Funcional.</w:t>
      </w:r>
    </w:p>
    <w:p>
      <w:pPr>
        <w:pStyle w:val="ListParagraph"/>
        <w:numPr>
          <w:ilvl w:val="0"/>
          <w:numId w:val="1"/>
        </w:numPr>
        <w:spacing w:after="70"/>
      </w:pPr>
      <w:r>
        <w:t xml:space="preserve">HU: Historia de Usuario.</w:t>
      </w:r>
    </w:p>
    <w:p>
      <w:pPr>
        <w:pStyle w:val="Heading2"/>
        <w:spacing w:after="120" w:before="240"/>
      </w:pPr>
      <w:r>
        <w:t xml:space="preserve">1.4 Referencias</w:t>
      </w:r>
    </w:p>
    <w:p>
      <w:pPr>
        <w:pStyle w:val="ListParagraph"/>
        <w:numPr>
          <w:ilvl w:val="0"/>
          <w:numId w:val="1"/>
        </w:numPr>
        <w:spacing w:after="70"/>
      </w:pPr>
      <w:r>
        <w:t xml:space="preserve">IEEE Std 830-1998 — IEEE Recommended Practice for Software Requirements Specifications.</w:t>
      </w:r>
    </w:p>
    <w:p>
      <w:pPr>
        <w:pStyle w:val="ListParagraph"/>
        <w:numPr>
          <w:ilvl w:val="0"/>
          <w:numId w:val="1"/>
        </w:numPr>
        <w:spacing w:after="70"/>
      </w:pPr>
      <w:r>
        <w:t xml:space="preserve">Cátedra Taller de Programación II — Documento de Notación Húngara (2015).</w:t>
      </w:r>
    </w:p>
    <w:p>
      <w:pPr>
        <w:pStyle w:val="ListParagraph"/>
        <w:numPr>
          <w:ilvl w:val="0"/>
          <w:numId w:val="1"/>
        </w:numPr>
        <w:spacing w:after="70"/>
      </w:pPr>
      <w:r>
        <w:t xml:space="preserve">Cátedra Taller de Programación II — Material teórico completo.</w:t>
      </w:r>
    </w:p>
    <w:p>
      <w:pPr>
        <w:pStyle w:val="Heading2"/>
        <w:spacing w:after="120" w:before="240"/>
      </w:pPr>
      <w:r>
        <w:t xml:space="preserve">1.5 Visión general del documento</w:t>
      </w:r>
    </w:p>
    <w:p>
      <w:pPr>
        <w:spacing w:after="160"/>
      </w:pPr>
      <w:r>
        <w:t xml:space="preserve">El resto de este documento se organiza de la siguiente manera: la Sección 2 presenta una descripción general del producto, sus usuarios y restricciones. La Sección 3 enumera las Historias de Usuario que dieron origen a los requisitos. La Sección 4 detalla los Requisitos Específicos (funcionales, no funcionales e interfaces externas). La Sección 5 reúne los diagramas del sistema (Entidad-Relación y Casos de Uso). Finalmente, el Anexo A contiene el Manual de Usuario.</w:t>
      </w:r>
    </w:p>
    <w:p>
      <w:pPr>
        <w:pStyle w:val="Heading1"/>
        <w:spacing w:after="160" w:before="320"/>
      </w:pPr>
      <w:r>
        <w:t xml:space="preserve">2. Descripción General</w:t>
      </w:r>
    </w:p>
    <w:p>
      <w:pPr>
        <w:pStyle w:val="Heading2"/>
        <w:spacing w:after="120" w:before="240"/>
      </w:pPr>
      <w:r>
        <w:t xml:space="preserve">2.1 Perspectiva del producto</w:t>
      </w:r>
    </w:p>
    <w:p>
      <w:pPr>
        <w:spacing w:after="160"/>
      </w:pPr>
      <w:r>
        <w:t xml:space="preserve">El SGIG operará como una aplicación stand-alone (de escritorio) sobre el sistema operativo Windows. Estará desarrollado sobre un proyecto .NET moderno (SDK-style) utilizando C# y Windows Forms para la interfaz gráfica, bajo una arquitectura de formulario contenedor MDIParent. Los datos persistirán de manera local o en una red de área local (LAN), utilizando Microsoft SQL Server como motor de base de datos relacional, con acceso a datos mediante Dapper sobre ADO.NET (Microsoft.Data.SqlClient).</w:t>
      </w:r>
    </w:p>
    <w:p>
      <w:pPr>
        <w:pStyle w:val="Heading2"/>
        <w:spacing w:after="120" w:before="240"/>
      </w:pPr>
      <w:r>
        <w:t xml:space="preserve">2.2 Funciones del producto</w:t>
      </w:r>
    </w:p>
    <w:p>
      <w:pPr>
        <w:spacing w:after="160"/>
      </w:pPr>
      <w:r>
        <w:t xml:space="preserve">De forma resumida, el sistema permite:</w:t>
      </w:r>
    </w:p>
    <w:p>
      <w:pPr>
        <w:pStyle w:val="ListParagraph"/>
        <w:numPr>
          <w:ilvl w:val="0"/>
          <w:numId w:val="1"/>
        </w:numPr>
        <w:spacing w:after="70"/>
      </w:pPr>
      <w:r>
        <w:t xml:space="preserve">Autenticar usuarios y restringir el menú según su rol (Seguridad).</w:t>
      </w:r>
    </w:p>
    <w:p>
      <w:pPr>
        <w:pStyle w:val="ListParagraph"/>
        <w:numPr>
          <w:ilvl w:val="0"/>
          <w:numId w:val="1"/>
        </w:numPr>
        <w:spacing w:after="70"/>
      </w:pPr>
      <w:r>
        <w:t xml:space="preserve">Registrar personas y especializarlas como socios y/o usuarios del sistema (Personas).</w:t>
      </w:r>
    </w:p>
    <w:p>
      <w:pPr>
        <w:pStyle w:val="ListParagraph"/>
        <w:numPr>
          <w:ilvl w:val="0"/>
          <w:numId w:val="1"/>
        </w:numPr>
        <w:spacing w:after="70"/>
      </w:pPr>
      <w:r>
        <w:t xml:space="preserve">Administrar planes y cobrar cuotas con vencimiento automático calculado por calendario (Tesorería).</w:t>
      </w:r>
    </w:p>
    <w:p>
      <w:pPr>
        <w:pStyle w:val="ListParagraph"/>
        <w:numPr>
          <w:ilvl w:val="0"/>
          <w:numId w:val="1"/>
        </w:numPr>
        <w:spacing w:after="70"/>
      </w:pPr>
      <w:r>
        <w:t xml:space="preserve">Validar el ingreso de socios por documento (Control de Acceso).</w:t>
      </w:r>
    </w:p>
    <w:p>
      <w:pPr>
        <w:pStyle w:val="ListParagraph"/>
        <w:numPr>
          <w:ilvl w:val="0"/>
          <w:numId w:val="1"/>
        </w:numPr>
        <w:spacing w:after="70"/>
      </w:pPr>
      <w:r>
        <w:t xml:space="preserve">Llevar el inventario de máquinas y sus mantenimientos (Activos).</w:t>
      </w:r>
    </w:p>
    <w:p>
      <w:pPr>
        <w:pStyle w:val="ListParagraph"/>
        <w:numPr>
          <w:ilvl w:val="0"/>
          <w:numId w:val="1"/>
        </w:numPr>
        <w:spacing w:after="70"/>
      </w:pPr>
      <w:r>
        <w:t xml:space="preserve">Reportar los ingresos por cuotas de un período (Reportes).</w:t>
      </w:r>
    </w:p>
    <w:p>
      <w:pPr>
        <w:pStyle w:val="Heading2"/>
        <w:spacing w:after="120" w:before="240"/>
      </w:pPr>
      <w:r>
        <w:t xml:space="preserve">2.3 Características de los usuarios</w:t>
      </w:r>
    </w:p>
    <w:p>
      <w:pPr>
        <w:spacing w:after="160"/>
      </w:pPr>
      <w:r>
        <w:t xml:space="preserve">Se identificaron tres perfiles (roles) de usuario que interactúan con el sistema:</w:t>
      </w:r>
    </w:p>
    <w:p>
      <w:pPr>
        <w:pStyle w:val="ListParagraph"/>
        <w:numPr>
          <w:ilvl w:val="0"/>
          <w:numId w:val="1"/>
        </w:numPr>
        <w:spacing w:after="70"/>
      </w:pPr>
      <w:r>
        <w:t xml:space="preserve">Administrador (Gerente/Dueño): posee control total sobre la plataforma. Es el único que puede gestionar usuarios y roles, crear copias de seguridad, modificar precios de los planes, administrar tablas paramétricas y consultar el reporte de ingresos.</w:t>
      </w:r>
    </w:p>
    <w:p>
      <w:pPr>
        <w:pStyle w:val="ListParagraph"/>
        <w:numPr>
          <w:ilvl w:val="0"/>
          <w:numId w:val="1"/>
        </w:numPr>
        <w:spacing w:after="70"/>
      </w:pPr>
      <w:r>
        <w:t xml:space="preserve">Recepcionista: usuario con perfil operativo de atención al público. Su función principal es registrar y mantener actualizados los socios, cobrar cuotas y supervisar la pantalla de Check-in.</w:t>
      </w:r>
    </w:p>
    <w:p>
      <w:pPr>
        <w:pStyle w:val="ListParagraph"/>
        <w:numPr>
          <w:ilvl w:val="0"/>
          <w:numId w:val="1"/>
        </w:numPr>
        <w:spacing w:after="70"/>
      </w:pPr>
      <w:r>
        <w:t xml:space="preserve">Técnico: usuario responsable del equipamiento. Administra el inventario de máquinas y registra los mantenimientos realizados sobre ellas.</w:t>
      </w:r>
    </w:p>
    <w:p>
      <w:pPr>
        <w:spacing w:after="160"/>
      </w:pPr>
      <w:r>
        <w:t xml:space="preserve">La tabla de Roles es paramétrica: queda preparada para incorporar nuevos perfiles en el futuro sin requerir cambios estructurales en el sistema.</w:t>
      </w:r>
    </w:p>
    <w:p>
      <w:pPr>
        <w:pStyle w:val="Heading2"/>
        <w:spacing w:after="120" w:before="240"/>
      </w:pPr>
      <w:r>
        <w:t xml:space="preserve">2.4 Restricciones generales</w:t>
      </w:r>
    </w:p>
    <w:p>
      <w:pPr>
        <w:pStyle w:val="ListParagraph"/>
        <w:numPr>
          <w:ilvl w:val="0"/>
          <w:numId w:val="1"/>
        </w:numPr>
        <w:spacing w:after="70"/>
      </w:pPr>
      <w:r>
        <w:t xml:space="preserve">El sistema opera sobre una única sede o establecimiento (sin soporte multi-sede).</w:t>
      </w:r>
    </w:p>
    <w:p>
      <w:pPr>
        <w:pStyle w:val="ListParagraph"/>
        <w:numPr>
          <w:ilvl w:val="0"/>
          <w:numId w:val="1"/>
        </w:numPr>
        <w:spacing w:after="70"/>
      </w:pPr>
      <w:r>
        <w:t xml:space="preserve">No incluye módulo deportivo (clases programadas ni rutinas de entrenamiento) en esta versión.</w:t>
      </w:r>
    </w:p>
    <w:p>
      <w:pPr>
        <w:pStyle w:val="ListParagraph"/>
        <w:numPr>
          <w:ilvl w:val="0"/>
          <w:numId w:val="1"/>
        </w:numPr>
        <w:spacing w:after="70"/>
      </w:pPr>
      <w:r>
        <w:t xml:space="preserve">No incluye gestión de gastos ni reporte de balance; el módulo de Reportes se limita a ingresos por cuotas.</w:t>
      </w:r>
    </w:p>
    <w:p>
      <w:pPr>
        <w:pStyle w:val="ListParagraph"/>
        <w:numPr>
          <w:ilvl w:val="0"/>
          <w:numId w:val="1"/>
        </w:numPr>
        <w:spacing w:after="70"/>
      </w:pPr>
      <w:r>
        <w:t xml:space="preserve">No emite comprobantes con validez fiscal.</w:t>
      </w:r>
    </w:p>
    <w:p>
      <w:pPr>
        <w:pStyle w:val="ListParagraph"/>
        <w:numPr>
          <w:ilvl w:val="0"/>
          <w:numId w:val="1"/>
        </w:numPr>
        <w:spacing w:after="70"/>
      </w:pPr>
      <w:r>
        <w:t xml:space="preserve">No se integra con hardware biométrico ni molinetes físicos.</w:t>
      </w:r>
    </w:p>
    <w:p>
      <w:pPr>
        <w:pStyle w:val="ListParagraph"/>
        <w:numPr>
          <w:ilvl w:val="0"/>
          <w:numId w:val="1"/>
        </w:numPr>
        <w:spacing w:after="70"/>
      </w:pPr>
      <w:r>
        <w:t xml:space="preserve">Debe desarrollarse en C# sobre Visual Studio, según lo exigido por la cátedra.</w:t>
      </w:r>
    </w:p>
    <w:p>
      <w:pPr>
        <w:pStyle w:val="Heading2"/>
        <w:spacing w:after="120" w:before="240"/>
      </w:pPr>
      <w:r>
        <w:t xml:space="preserve">2.5 Supuestos y dependencias</w:t>
      </w:r>
    </w:p>
    <w:p>
      <w:pPr>
        <w:pStyle w:val="ListParagraph"/>
        <w:numPr>
          <w:ilvl w:val="0"/>
          <w:numId w:val="1"/>
        </w:numPr>
        <w:spacing w:after="70"/>
      </w:pPr>
      <w:r>
        <w:t xml:space="preserve">Se asume un único operador realizando Check-in por vez en el horario de mayor concurrencia.</w:t>
      </w:r>
    </w:p>
    <w:p>
      <w:pPr>
        <w:pStyle w:val="ListParagraph"/>
        <w:numPr>
          <w:ilvl w:val="0"/>
          <w:numId w:val="1"/>
        </w:numPr>
        <w:spacing w:after="70"/>
      </w:pPr>
      <w:r>
        <w:t xml:space="preserve">Se asume disponibilidad constante del motor de base de datos durante el horario de atención del gimnasio.</w:t>
      </w:r>
    </w:p>
    <w:p>
      <w:pPr>
        <w:pStyle w:val="ListParagraph"/>
        <w:numPr>
          <w:ilvl w:val="0"/>
          <w:numId w:val="1"/>
        </w:numPr>
        <w:spacing w:after="70"/>
      </w:pPr>
      <w:r>
        <w:t xml:space="preserve">Se asume que el Administrador realiza copias de seguridad periódicas utilizando la funcionalidad provista (RF#25).</w:t>
      </w:r>
    </w:p>
    <w:p>
      <w:pPr>
        <w:pStyle w:val="Heading1"/>
        <w:spacing w:after="160" w:before="320"/>
      </w:pPr>
      <w:r>
        <w:t xml:space="preserve">3. Historias de Usuario</w:t>
      </w:r>
    </w:p>
    <w:p>
      <w:pPr>
        <w:spacing w:after="160"/>
      </w:pPr>
      <w:r>
        <w:t xml:space="preserve">Las Historias de Usuario describen las necesidades del sistema desde la perspectiva de quien lo utilizará:</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20"/>
      </w:tblGrid>
      <w:tr>
        <w:trPr>
          <w:cantSplit/>
        </w:trPr>
        <w:tc>
          <w:tcPr>
            <w:tcW w:type="dxa" w:w="900"/>
            <w:shd w:fill="D9D9D9" w:val="clear"/>
            <w:tcMar>
              <w:top w:type="dxa" w:w="70"/>
              <w:left w:type="dxa" w:w="100"/>
              <w:bottom w:type="dxa" w:w="70"/>
              <w:right w:type="dxa" w:w="100"/>
            </w:tcMar>
          </w:tcPr>
          <w:p>
            <w:r>
              <w:rPr>
                <w:b/>
                <w:bCs/>
                <w:color w:val="000000"/>
                <w:sz w:val="19"/>
                <w:szCs w:val="19"/>
              </w:rPr>
              <w:t xml:space="preserve">ID</w:t>
            </w:r>
          </w:p>
        </w:tc>
        <w:tc>
          <w:tcPr>
            <w:tcW w:type="dxa" w:w="2500"/>
            <w:shd w:fill="D9D9D9" w:val="clear"/>
            <w:tcMar>
              <w:top w:type="dxa" w:w="70"/>
              <w:left w:type="dxa" w:w="100"/>
              <w:bottom w:type="dxa" w:w="70"/>
              <w:right w:type="dxa" w:w="100"/>
            </w:tcMar>
          </w:tcPr>
          <w:p>
            <w:r>
              <w:rPr>
                <w:b/>
                <w:bCs/>
                <w:color w:val="000000"/>
                <w:sz w:val="19"/>
                <w:szCs w:val="19"/>
              </w:rPr>
              <w:t xml:space="preserve">Rol</w:t>
            </w:r>
          </w:p>
        </w:tc>
        <w:tc>
          <w:tcPr>
            <w:tcW w:type="dxa" w:w="6020"/>
            <w:shd w:fill="D9D9D9" w:val="clear"/>
            <w:tcMar>
              <w:top w:type="dxa" w:w="70"/>
              <w:left w:type="dxa" w:w="100"/>
              <w:bottom w:type="dxa" w:w="70"/>
              <w:right w:type="dxa" w:w="100"/>
            </w:tcMar>
          </w:tcPr>
          <w:p>
            <w:r>
              <w:rPr>
                <w:b/>
                <w:bCs/>
                <w:color w:val="000000"/>
                <w:sz w:val="19"/>
                <w:szCs w:val="19"/>
              </w:rPr>
              <w:t xml:space="preserve">Historia de Usuario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HU-01</w:t>
            </w:r>
          </w:p>
        </w:tc>
        <w:tc>
          <w:tcPr>
            <w:tcW w:type="dxa" w:w="2500"/>
            <w:tcMar>
              <w:top w:type="dxa" w:w="70"/>
              <w:left w:type="dxa" w:w="100"/>
              <w:bottom w:type="dxa" w:w="70"/>
              <w:right w:type="dxa" w:w="100"/>
            </w:tcMar>
          </w:tcPr>
          <w:p>
            <w:r>
              <w:rPr>
                <w:b w:val="false"/>
                <w:bCs w:val="false"/>
                <w:color w:val="000000"/>
                <w:sz w:val="19"/>
                <w:szCs w:val="19"/>
              </w:rPr>
              <w:t xml:space="preserve">Todos los roles</w:t>
            </w:r>
          </w:p>
        </w:tc>
        <w:tc>
          <w:tcPr>
            <w:tcW w:type="dxa" w:w="6020"/>
            <w:tcMar>
              <w:top w:type="dxa" w:w="70"/>
              <w:left w:type="dxa" w:w="100"/>
              <w:bottom w:type="dxa" w:w="70"/>
              <w:right w:type="dxa" w:w="100"/>
            </w:tcMar>
          </w:tcPr>
          <w:p>
            <w:r>
              <w:rPr>
                <w:b w:val="false"/>
                <w:bCs w:val="false"/>
                <w:color w:val="000000"/>
                <w:sz w:val="19"/>
                <w:szCs w:val="19"/>
              </w:rPr>
              <w:t xml:space="preserve">Quiero iniciar sesión con mi usuario y contraseña, para acceder únicamente a las funciones del sistema habilitadas para mi rol.</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HU-02</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dar de alta al personal del gimnasio creando su usuario, con su legajo, fecha de ingreso y rol asignado, para controlar quién accede al sistema y qué puede hacer.</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HU-03</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mantener actualizadas las tablas paramétricas (localidades, provincias, roles, tipos de documento, medios de pago), para que el resto del sistema tenga datos consistentes para elegir.</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HU-04</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gestionar el catálogo de planes (precio, periodicidad), para actualizar tarifas frente a la inflación sin alterar las facturaciones ya emitidas.</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HU-05</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registrar nuevos socios reutilizando los datos si la persona ya está cargada en el sistema, para no cargar dos veces la misma información.</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HU-06</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modificar los datos de un socio y darlo de baja lógica cuando corresponda, para mantener el padrón actualizado sin perder su historial.</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HU-07</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registrar el cobro de una cuota de un socio para el plan que corresponda, para que el sistema genere la facturación y calcule automáticamente la nueva fecha de vencimiento.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HU-08</w:t>
            </w:r>
          </w:p>
        </w:tc>
        <w:tc>
          <w:tcPr>
            <w:tcW w:type="dxa" w:w="2500"/>
            <w:tcMar>
              <w:top w:type="dxa" w:w="70"/>
              <w:left w:type="dxa" w:w="100"/>
              <w:bottom w:type="dxa" w:w="70"/>
              <w:right w:type="dxa" w:w="100"/>
            </w:tcMar>
          </w:tcPr>
          <w:p>
            <w:r>
              <w:rPr>
                <w:b w:val="false"/>
                <w:bCs w:val="false"/>
                <w:color w:val="000000"/>
                <w:sz w:val="19"/>
                <w:szCs w:val="19"/>
              </w:rPr>
              <w:t xml:space="preserve">Administrador / Recepcionista</w:t>
            </w:r>
          </w:p>
        </w:tc>
        <w:tc>
          <w:tcPr>
            <w:tcW w:type="dxa" w:w="6020"/>
            <w:tcMar>
              <w:top w:type="dxa" w:w="70"/>
              <w:left w:type="dxa" w:w="100"/>
              <w:bottom w:type="dxa" w:w="70"/>
              <w:right w:type="dxa" w:w="100"/>
            </w:tcMar>
          </w:tcPr>
          <w:p>
            <w:r>
              <w:rPr>
                <w:b w:val="false"/>
                <w:bCs w:val="false"/>
                <w:color w:val="000000"/>
                <w:sz w:val="19"/>
                <w:szCs w:val="19"/>
              </w:rPr>
              <w:t xml:space="preserve">Quiero consultar el historial de facturaciones y pagos de un socio, para resolver reclamos o verificar su situación.</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HU-09</w:t>
            </w:r>
          </w:p>
        </w:tc>
        <w:tc>
          <w:tcPr>
            <w:tcW w:type="dxa" w:w="2500"/>
            <w:tcMar>
              <w:top w:type="dxa" w:w="70"/>
              <w:left w:type="dxa" w:w="100"/>
              <w:bottom w:type="dxa" w:w="70"/>
              <w:right w:type="dxa" w:w="100"/>
            </w:tcMar>
          </w:tcPr>
          <w:p>
            <w:r>
              <w:rPr>
                <w:b w:val="false"/>
                <w:bCs w:val="false"/>
                <w:color w:val="000000"/>
                <w:sz w:val="19"/>
                <w:szCs w:val="19"/>
              </w:rPr>
              <w:t xml:space="preserve">Recepcionista</w:t>
            </w:r>
          </w:p>
        </w:tc>
        <w:tc>
          <w:tcPr>
            <w:tcW w:type="dxa" w:w="6020"/>
            <w:tcMar>
              <w:top w:type="dxa" w:w="70"/>
              <w:left w:type="dxa" w:w="100"/>
              <w:bottom w:type="dxa" w:w="70"/>
              <w:right w:type="dxa" w:w="100"/>
            </w:tcMar>
          </w:tcPr>
          <w:p>
            <w:r>
              <w:rPr>
                <w:b w:val="false"/>
                <w:bCs w:val="false"/>
                <w:color w:val="000000"/>
                <w:sz w:val="19"/>
                <w:szCs w:val="19"/>
              </w:rPr>
              <w:t xml:space="preserve">Quiero ingresar el documento de un socio en una pantalla rápida, para verificar visualmente si tiene acceso permitido o si su cuota está vencida.</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HU-10</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registrar el inventario de máquinas del gimnasio, para llevar un control actualizado del equipamiento y su estado.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HU-11</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registrar cuando una máquina entra en mantenimiento, indicando el detalle técnico, para llevar el control de las reparaciones.</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HU-12</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que el sistema cambie solo el estado de la máquina al iniciar y finalizar un mantenimiento, para que el resto del personal sepa si está disponible.</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HU-14</w:t>
            </w:r>
          </w:p>
        </w:tc>
        <w:tc>
          <w:tcPr>
            <w:tcW w:type="dxa" w:w="2500"/>
            <w:tcMar>
              <w:top w:type="dxa" w:w="70"/>
              <w:left w:type="dxa" w:w="100"/>
              <w:bottom w:type="dxa" w:w="70"/>
              <w:right w:type="dxa" w:w="100"/>
            </w:tcMar>
          </w:tcPr>
          <w:p>
            <w:r>
              <w:rPr>
                <w:b w:val="false"/>
                <w:bCs w:val="false"/>
                <w:color w:val="000000"/>
                <w:sz w:val="19"/>
                <w:szCs w:val="19"/>
              </w:rPr>
              <w:t xml:space="preserve">Técnico</w:t>
            </w:r>
          </w:p>
        </w:tc>
        <w:tc>
          <w:tcPr>
            <w:tcW w:type="dxa" w:w="6020"/>
            <w:tcMar>
              <w:top w:type="dxa" w:w="70"/>
              <w:left w:type="dxa" w:w="100"/>
              <w:bottom w:type="dxa" w:w="70"/>
              <w:right w:type="dxa" w:w="100"/>
            </w:tcMar>
          </w:tcPr>
          <w:p>
            <w:r>
              <w:rPr>
                <w:b w:val="false"/>
                <w:bCs w:val="false"/>
                <w:color w:val="000000"/>
                <w:sz w:val="19"/>
                <w:szCs w:val="19"/>
              </w:rPr>
              <w:t xml:space="preserve">Quiero consultar el historial de mantenimientos de una máquina, para saber cuántas veces fue reparada antes de decidir su reemplazo.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HU-16</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ver un reporte de ingresos por cuotas filtrado por rango de fechas, para conocer lo recaudado en un período.</w:t>
            </w:r>
          </w:p>
        </w:tc>
      </w:tr>
      <w:tr>
        <w:trPr>
          <w:cantSplit/>
        </w:trPr>
        <w:tc>
          <w:tcPr>
            <w:tcW w:type="dxa" w:w="900"/>
            <w:tcMar>
              <w:top w:type="dxa" w:w="70"/>
              <w:left w:type="dxa" w:w="100"/>
              <w:bottom w:type="dxa" w:w="70"/>
              <w:right w:type="dxa" w:w="100"/>
            </w:tcMar>
          </w:tcPr>
          <w:p>
            <w:r>
              <w:rPr>
                <w:b w:val="false"/>
                <w:bCs w:val="false"/>
                <w:color w:val="000000"/>
                <w:sz w:val="19"/>
                <w:szCs w:val="19"/>
              </w:rPr>
              <w:t xml:space="preserve">HU-17</w:t>
            </w:r>
          </w:p>
        </w:tc>
        <w:tc>
          <w:tcPr>
            <w:tcW w:type="dxa" w:w="2500"/>
            <w:tcMar>
              <w:top w:type="dxa" w:w="70"/>
              <w:left w:type="dxa" w:w="100"/>
              <w:bottom w:type="dxa" w:w="70"/>
              <w:right w:type="dxa" w:w="100"/>
            </w:tcMar>
          </w:tcPr>
          <w:p>
            <w:r>
              <w:rPr>
                <w:b w:val="false"/>
                <w:bCs w:val="false"/>
                <w:color w:val="000000"/>
                <w:sz w:val="19"/>
                <w:szCs w:val="19"/>
              </w:rPr>
              <w:t xml:space="preserve">Administrador</w:t>
            </w:r>
          </w:p>
        </w:tc>
        <w:tc>
          <w:tcPr>
            <w:tcW w:type="dxa" w:w="6020"/>
            <w:tcMar>
              <w:top w:type="dxa" w:w="70"/>
              <w:left w:type="dxa" w:w="100"/>
              <w:bottom w:type="dxa" w:w="70"/>
              <w:right w:type="dxa" w:w="100"/>
            </w:tcMar>
          </w:tcPr>
          <w:p>
            <w:r>
              <w:rPr>
                <w:b w:val="false"/>
                <w:bCs w:val="false"/>
                <w:color w:val="000000"/>
                <w:sz w:val="19"/>
                <w:szCs w:val="19"/>
              </w:rPr>
              <w:t xml:space="preserve">Quiero generar y restaurar copias de seguridad de la base de datos, para proteger la información ante fallas.</w:t>
            </w:r>
          </w:p>
        </w:tc>
      </w:tr>
    </w:tbl>
    <w:p>
      <w:pPr>
        <w:pStyle w:val="Heading1"/>
        <w:spacing w:after="160" w:before="320"/>
      </w:pPr>
      <w:r>
        <w:t xml:space="preserve">4. Requisitos Específicos</w:t>
      </w:r>
    </w:p>
    <w:p>
      <w:pPr>
        <w:pStyle w:val="Heading2"/>
        <w:spacing w:after="120" w:before="240"/>
      </w:pPr>
      <w:r>
        <w:t xml:space="preserve">4.1 Requisitos Funcionales</w:t>
      </w:r>
    </w:p>
    <w:p>
      <w:pPr>
        <w:spacing w:after="160"/>
      </w:pPr>
      <w:r>
        <w:t xml:space="preserve">Definición de las acciones fundamentales que debe realizar el software al recibir información, procesarla y producir resultados.</w:t>
      </w:r>
    </w:p>
    <w:p>
      <w:pPr>
        <w:pStyle w:val="Heading3"/>
        <w:spacing w:after="100" w:before="180"/>
      </w:pPr>
      <w:r>
        <w:t xml:space="preserve">Gestión de Seguridad y Parametría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RF#01</w:t>
            </w:r>
          </w:p>
        </w:tc>
        <w:tc>
          <w:tcPr>
            <w:tcW w:type="dxa" w:w="8120"/>
            <w:tcMar>
              <w:top w:type="dxa" w:w="70"/>
              <w:left w:type="dxa" w:w="100"/>
              <w:bottom w:type="dxa" w:w="70"/>
              <w:right w:type="dxa" w:w="100"/>
            </w:tcMar>
          </w:tcPr>
          <w:p>
            <w:r>
              <w:rPr>
                <w:b w:val="false"/>
                <w:bCs w:val="false"/>
                <w:color w:val="000000"/>
                <w:sz w:val="19"/>
                <w:szCs w:val="19"/>
              </w:rPr>
              <w:t xml:space="preserve">El sistema debe validar el inicio de sesión solicitando nombre de usuario y contraseña (almacenada encriptada mediante función de hash).</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RF#02</w:t>
            </w:r>
          </w:p>
        </w:tc>
        <w:tc>
          <w:tcPr>
            <w:tcW w:type="dxa" w:w="8120"/>
            <w:tcMar>
              <w:top w:type="dxa" w:w="70"/>
              <w:left w:type="dxa" w:w="100"/>
              <w:bottom w:type="dxa" w:w="70"/>
              <w:right w:type="dxa" w:w="100"/>
            </w:tcMar>
          </w:tcPr>
          <w:p>
            <w:r>
              <w:rPr>
                <w:b w:val="false"/>
                <w:bCs w:val="false"/>
                <w:color w:val="000000"/>
                <w:sz w:val="19"/>
                <w:szCs w:val="19"/>
              </w:rPr>
              <w:t xml:space="preserve">El sistema debe habilitar o deshabilitar las opciones del menú principal (MDIParent) dependiendo del Rol del Usuario autenticado: Administrador, Recepcionista o Técnico.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RF#03</w:t>
            </w:r>
          </w:p>
        </w:tc>
        <w:tc>
          <w:tcPr>
            <w:tcW w:type="dxa" w:w="8120"/>
            <w:tcMar>
              <w:top w:type="dxa" w:w="70"/>
              <w:left w:type="dxa" w:w="100"/>
              <w:bottom w:type="dxa" w:w="70"/>
              <w:right w:type="dxa" w:w="100"/>
            </w:tcMar>
          </w:tcPr>
          <w:p>
            <w:r>
              <w:rPr>
                <w:b w:val="false"/>
                <w:bCs w:val="false"/>
                <w:color w:val="000000"/>
                <w:sz w:val="19"/>
                <w:szCs w:val="19"/>
              </w:rPr>
              <w:t xml:space="preserve">El sistema debe permitir al Administrador realizar el alta, baja y modificación de Usuarios, registrando en un mismo formulario los datos laborales del personal (legajo y fecha de ingreso), sus credenciales de acceso y el Rol asignado.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RF#04</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realizar operaciones CRUD sobre las tablas paramétricas: Localidades, Provincias, Roles, Tipos de Documento y Medios de Pago.</w:t>
            </w:r>
          </w:p>
        </w:tc>
      </w:tr>
    </w:tbl>
    <w:p>
      <w:pPr>
        <w:pStyle w:val="Heading3"/>
        <w:spacing w:after="100" w:before="180"/>
      </w:pPr>
      <w:r>
        <w:t xml:space="preserve">Gestión de Personas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RF#05</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los datos personales de una Persona (documento, tipo de documento, nombre, apellido, contacto y domicilio), validando que el número de documento no se repita.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RF#06</w:t>
            </w:r>
          </w:p>
        </w:tc>
        <w:tc>
          <w:tcPr>
            <w:tcW w:type="dxa" w:w="8120"/>
            <w:tcMar>
              <w:top w:type="dxa" w:w="70"/>
              <w:left w:type="dxa" w:w="100"/>
              <w:bottom w:type="dxa" w:w="70"/>
              <w:right w:type="dxa" w:w="100"/>
            </w:tcMar>
          </w:tcPr>
          <w:p>
            <w:r>
              <w:rPr>
                <w:b w:val="false"/>
                <w:bCs w:val="false"/>
                <w:color w:val="000000"/>
                <w:sz w:val="19"/>
                <w:szCs w:val="19"/>
              </w:rPr>
              <w:t xml:space="preserve">El sistema debe permitir especializar a una Persona registrada como Socio, como Usuario del sistema, o como ambas a la vez, sin duplicar la carga de sus datos personales.</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RF#07</w:t>
            </w:r>
          </w:p>
        </w:tc>
        <w:tc>
          <w:tcPr>
            <w:tcW w:type="dxa" w:w="8120"/>
            <w:tcMar>
              <w:top w:type="dxa" w:w="70"/>
              <w:left w:type="dxa" w:w="100"/>
              <w:bottom w:type="dxa" w:w="70"/>
              <w:right w:type="dxa" w:w="100"/>
            </w:tcMar>
          </w:tcPr>
          <w:p>
            <w:r>
              <w:rPr>
                <w:b w:val="false"/>
                <w:bCs w:val="false"/>
                <w:color w:val="000000"/>
                <w:sz w:val="19"/>
                <w:szCs w:val="19"/>
              </w:rPr>
              <w:t xml:space="preserve">El sistema debe permitir la gestión completa (CRUD) de los datos propios de un Socio (apto físico/médico, plan asignado) y su baja lógica.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RF#08</w:t>
            </w:r>
          </w:p>
        </w:tc>
        <w:tc>
          <w:tcPr>
            <w:tcW w:type="dxa" w:w="8120"/>
            <w:tcMar>
              <w:top w:type="dxa" w:w="70"/>
              <w:left w:type="dxa" w:w="100"/>
              <w:bottom w:type="dxa" w:w="70"/>
              <w:right w:type="dxa" w:w="100"/>
            </w:tcMar>
          </w:tcPr>
          <w:p>
            <w:r>
              <w:rPr>
                <w:b w:val="false"/>
                <w:bCs w:val="false"/>
                <w:color w:val="000000"/>
                <w:sz w:val="19"/>
                <w:szCs w:val="19"/>
              </w:rPr>
              <w:t xml:space="preserve">El sistema debe validar que el legajo asignado a un Usuario sea único dentro del sistema.</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RF#09</w:t>
            </w:r>
          </w:p>
        </w:tc>
        <w:tc>
          <w:tcPr>
            <w:tcW w:type="dxa" w:w="8120"/>
            <w:tcMar>
              <w:top w:type="dxa" w:w="70"/>
              <w:left w:type="dxa" w:w="100"/>
              <w:bottom w:type="dxa" w:w="70"/>
              <w:right w:type="dxa" w:w="100"/>
            </w:tcMar>
          </w:tcPr>
          <w:p>
            <w:r>
              <w:rPr>
                <w:b w:val="false"/>
                <w:bCs w:val="false"/>
                <w:color w:val="000000"/>
                <w:sz w:val="19"/>
                <w:szCs w:val="19"/>
              </w:rPr>
              <w:t xml:space="preserve">El sistema debe validar, mediante expresiones regulares, el formato del correo electrónico y del número de documento, evitando que se ingresen letras en campos numéricos.</w:t>
            </w:r>
          </w:p>
        </w:tc>
      </w:tr>
    </w:tbl>
    <w:p>
      <w:pPr>
        <w:pStyle w:val="Heading3"/>
        <w:spacing w:after="100" w:before="180"/>
      </w:pPr>
      <w:r>
        <w:t xml:space="preserve">Gestión de Tesorería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RF#10</w:t>
            </w:r>
          </w:p>
        </w:tc>
        <w:tc>
          <w:tcPr>
            <w:tcW w:type="dxa" w:w="8120"/>
            <w:tcMar>
              <w:top w:type="dxa" w:w="70"/>
              <w:left w:type="dxa" w:w="100"/>
              <w:bottom w:type="dxa" w:w="70"/>
              <w:right w:type="dxa" w:w="100"/>
            </w:tcMar>
          </w:tcPr>
          <w:p>
            <w:r>
              <w:rPr>
                <w:b w:val="false"/>
                <w:bCs w:val="false"/>
                <w:color w:val="000000"/>
                <w:sz w:val="19"/>
                <w:szCs w:val="19"/>
              </w:rPr>
              <w:t xml:space="preserve">El sistema debe permitir administrar un catálogo de Planes de membresía (nombre, precio, tipo de periodicidad: Diario, Semanal, Mensual o Anual).</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RF#11</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el cobro de una cuota a un Socio para un Plan determinado. Al hacerlo, debe generar una Facturación (el ciclo de cuota correspondiente, con su fecha de emisión, fecha de vencimiento y el monto vigente del plan al momento de emitirla) y asociarle un Pago, detallando el medio de pago utilizado.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RF#12</w:t>
            </w:r>
          </w:p>
        </w:tc>
        <w:tc>
          <w:tcPr>
            <w:tcW w:type="dxa" w:w="8120"/>
            <w:tcMar>
              <w:top w:type="dxa" w:w="70"/>
              <w:left w:type="dxa" w:w="100"/>
              <w:bottom w:type="dxa" w:w="70"/>
              <w:right w:type="dxa" w:w="100"/>
            </w:tcMar>
          </w:tcPr>
          <w:p>
            <w:r>
              <w:rPr>
                <w:b w:val="false"/>
                <w:bCs w:val="false"/>
                <w:color w:val="000000"/>
                <w:sz w:val="19"/>
                <w:szCs w:val="19"/>
              </w:rPr>
              <w:t xml:space="preserve">Al calcular la fecha de vencimiento de una Facturación, el sistema debe sumar el período correspondiente a la periodicidad del Plan a la fecha de emisión (un mes para Mensual, un año para Anual, siete días para Semanal, un día para Diario), y actualizar en consecuencia la fecha de vencimiento de cuota del Socio.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RF#13</w:t>
            </w:r>
          </w:p>
        </w:tc>
        <w:tc>
          <w:tcPr>
            <w:tcW w:type="dxa" w:w="8120"/>
            <w:tcMar>
              <w:top w:type="dxa" w:w="70"/>
              <w:left w:type="dxa" w:w="100"/>
              <w:bottom w:type="dxa" w:w="70"/>
              <w:right w:type="dxa" w:w="100"/>
            </w:tcMar>
          </w:tcPr>
          <w:p>
            <w:r>
              <w:rPr>
                <w:b w:val="false"/>
                <w:bCs w:val="false"/>
                <w:color w:val="000000"/>
                <w:sz w:val="19"/>
                <w:szCs w:val="19"/>
              </w:rPr>
              <w:t xml:space="preserve">Un cambio en el precio de un Plan no debe alterar el monto de las Facturaciones ya emitidas con anterioridad, dado que cada Facturación conserva el monto vigente al momento de su emisión.</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RF#14</w:t>
            </w:r>
          </w:p>
        </w:tc>
        <w:tc>
          <w:tcPr>
            <w:tcW w:type="dxa" w:w="8120"/>
            <w:tcMar>
              <w:top w:type="dxa" w:w="70"/>
              <w:left w:type="dxa" w:w="100"/>
              <w:bottom w:type="dxa" w:w="70"/>
              <w:right w:type="dxa" w:w="100"/>
            </w:tcMar>
          </w:tcPr>
          <w:p>
            <w:r>
              <w:rPr>
                <w:b w:val="false"/>
                <w:bCs w:val="false"/>
                <w:color w:val="000000"/>
                <w:sz w:val="19"/>
                <w:szCs w:val="19"/>
              </w:rPr>
              <w:t xml:space="preserve">El sistema debe permitir consultar el historial completo de Facturaciones y Pagos realizados por un Socio.</w:t>
            </w:r>
          </w:p>
        </w:tc>
      </w:tr>
    </w:tbl>
    <w:p>
      <w:pPr>
        <w:pStyle w:val="Heading3"/>
        <w:spacing w:after="100" w:before="180"/>
      </w:pPr>
      <w:r>
        <w:t xml:space="preserve">Gestión de Control de Acceso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RF#15</w:t>
            </w:r>
          </w:p>
        </w:tc>
        <w:tc>
          <w:tcPr>
            <w:tcW w:type="dxa" w:w="8120"/>
            <w:tcMar>
              <w:top w:type="dxa" w:w="70"/>
              <w:left w:type="dxa" w:w="100"/>
              <w:bottom w:type="dxa" w:w="70"/>
              <w:right w:type="dxa" w:w="100"/>
            </w:tcMar>
          </w:tcPr>
          <w:p>
            <w:r>
              <w:rPr>
                <w:b w:val="false"/>
                <w:bCs w:val="false"/>
                <w:color w:val="000000"/>
                <w:sz w:val="19"/>
                <w:szCs w:val="19"/>
              </w:rPr>
              <w:t xml:space="preserve">El sistema debe disponer de una interfaz de Check-in donde se ingrese el documento del Socio por teclado.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RF#16</w:t>
            </w:r>
          </w:p>
        </w:tc>
        <w:tc>
          <w:tcPr>
            <w:tcW w:type="dxa" w:w="8120"/>
            <w:tcMar>
              <w:top w:type="dxa" w:w="70"/>
              <w:left w:type="dxa" w:w="100"/>
              <w:bottom w:type="dxa" w:w="70"/>
              <w:right w:type="dxa" w:w="100"/>
            </w:tcMar>
          </w:tcPr>
          <w:p>
            <w:r>
              <w:rPr>
                <w:b w:val="false"/>
                <w:bCs w:val="false"/>
                <w:color w:val="000000"/>
                <w:sz w:val="19"/>
                <w:szCs w:val="19"/>
              </w:rPr>
              <w:t xml:space="preserve">Al procesar el Check-in, el sistema debe buscar al Socio, comparar la fecha actual contra su fecha de vencimiento de cuota, y emitir una alerta visual: Acceso Concedido (cuota al día) o Acceso Denegado (cuota vencida o socio no encontrado).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RF#17</w:t>
            </w:r>
          </w:p>
        </w:tc>
        <w:tc>
          <w:tcPr>
            <w:tcW w:type="dxa" w:w="8120"/>
            <w:tcMar>
              <w:top w:type="dxa" w:w="70"/>
              <w:left w:type="dxa" w:w="100"/>
              <w:bottom w:type="dxa" w:w="70"/>
              <w:right w:type="dxa" w:w="100"/>
            </w:tcMar>
          </w:tcPr>
          <w:p>
            <w:r>
              <w:rPr>
                <w:b w:val="false"/>
                <w:bCs w:val="false"/>
                <w:color w:val="000000"/>
                <w:sz w:val="19"/>
                <w:szCs w:val="19"/>
              </w:rPr>
              <w:t xml:space="preserve">El sistema debe guardar un registro histórico de cada intento de Check-in, almacenando fecha, hora y resultado.</w:t>
            </w:r>
          </w:p>
        </w:tc>
      </w:tr>
    </w:tbl>
    <w:p>
      <w:pPr>
        <w:pStyle w:val="Heading3"/>
        <w:spacing w:after="100" w:before="180"/>
      </w:pPr>
      <w:r>
        <w:t xml:space="preserve">Gestión de Activos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RF#18</w:t>
            </w:r>
          </w:p>
        </w:tc>
        <w:tc>
          <w:tcPr>
            <w:tcW w:type="dxa" w:w="8120"/>
            <w:tcMar>
              <w:top w:type="dxa" w:w="70"/>
              <w:left w:type="dxa" w:w="100"/>
              <w:bottom w:type="dxa" w:w="70"/>
              <w:right w:type="dxa" w:w="100"/>
            </w:tcMar>
          </w:tcPr>
          <w:p>
            <w:r>
              <w:rPr>
                <w:b w:val="false"/>
                <w:bCs w:val="false"/>
                <w:color w:val="000000"/>
                <w:sz w:val="19"/>
                <w:szCs w:val="19"/>
              </w:rPr>
              <w:t xml:space="preserve">El sistema debe permitir al rol Técnico registrar y mantener el inventario de Máquinas del gimnasio (marca, nombre, fecha de compra, estado).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RF#19</w:t>
            </w:r>
          </w:p>
        </w:tc>
        <w:tc>
          <w:tcPr>
            <w:tcW w:type="dxa" w:w="8120"/>
            <w:tcMar>
              <w:top w:type="dxa" w:w="70"/>
              <w:left w:type="dxa" w:w="100"/>
              <w:bottom w:type="dxa" w:w="70"/>
              <w:right w:type="dxa" w:w="100"/>
            </w:tcMar>
          </w:tcPr>
          <w:p>
            <w:r>
              <w:rPr>
                <w:b w:val="false"/>
                <w:bCs w:val="false"/>
                <w:color w:val="000000"/>
                <w:sz w:val="19"/>
                <w:szCs w:val="19"/>
              </w:rPr>
              <w:t xml:space="preserve">El sistema debe permitir registrar un Mantenimiento sobre una Máquina, dejando asentado el Usuario con rol Técnico a cargo del trabajo, la fecha de inicio, la fecha de fin y el detalle técnico.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RF#20</w:t>
            </w:r>
          </w:p>
        </w:tc>
        <w:tc>
          <w:tcPr>
            <w:tcW w:type="dxa" w:w="8120"/>
            <w:tcMar>
              <w:top w:type="dxa" w:w="70"/>
              <w:left w:type="dxa" w:w="100"/>
              <w:bottom w:type="dxa" w:w="70"/>
              <w:right w:type="dxa" w:w="100"/>
            </w:tcMar>
          </w:tcPr>
          <w:p>
            <w:r>
              <w:rPr>
                <w:b w:val="false"/>
                <w:bCs w:val="false"/>
                <w:color w:val="000000"/>
                <w:sz w:val="19"/>
                <w:szCs w:val="19"/>
              </w:rPr>
              <w:t xml:space="preserve">El sistema debe cambiar automáticamente el estado de la Máquina a “En Reparación” al iniciar un Mantenimiento, y devolverla a “Operativa” al finalizarlo.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RF#21</w:t>
            </w:r>
          </w:p>
        </w:tc>
        <w:tc>
          <w:tcPr>
            <w:tcW w:type="dxa" w:w="8120"/>
            <w:tcMar>
              <w:top w:type="dxa" w:w="70"/>
              <w:left w:type="dxa" w:w="100"/>
              <w:bottom w:type="dxa" w:w="70"/>
              <w:right w:type="dxa" w:w="100"/>
            </w:tcMar>
          </w:tcPr>
          <w:p>
            <w:r>
              <w:rPr>
                <w:b w:val="false"/>
                <w:bCs w:val="false"/>
                <w:color w:val="000000"/>
                <w:sz w:val="19"/>
                <w:szCs w:val="19"/>
              </w:rPr>
              <w:t xml:space="preserve">El sistema debe permitir consultar el historial de Mantenimientos realizados sobre cada Máquina.</w:t>
            </w:r>
          </w:p>
        </w:tc>
      </w:tr>
    </w:tbl>
    <w:p>
      <w:pPr>
        <w:pStyle w:val="Heading3"/>
        <w:spacing w:after="100" w:before="180"/>
      </w:pPr>
      <w:r>
        <w:t xml:space="preserve">Reportes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RF#24</w:t>
            </w:r>
          </w:p>
        </w:tc>
        <w:tc>
          <w:tcPr>
            <w:tcW w:type="dxa" w:w="8120"/>
            <w:tcMar>
              <w:top w:type="dxa" w:w="70"/>
              <w:left w:type="dxa" w:w="100"/>
              <w:bottom w:type="dxa" w:w="70"/>
              <w:right w:type="dxa" w:w="100"/>
            </w:tcMar>
          </w:tcPr>
          <w:p>
            <w:r>
              <w:rPr>
                <w:b w:val="false"/>
                <w:bCs w:val="false"/>
                <w:color w:val="000000"/>
                <w:sz w:val="19"/>
                <w:szCs w:val="19"/>
              </w:rPr>
              <w:t xml:space="preserve">El sistema debe permitir generar un reporte de ingresos por cuotas, filtrable por rango de fechas, con el total recaudado y el detalle de los Pagos del período.</w:t>
            </w:r>
          </w:p>
        </w:tc>
      </w:tr>
    </w:tbl>
    <w:p>
      <w:pPr>
        <w:pStyle w:val="Heading3"/>
        <w:spacing w:after="100" w:before="180"/>
      </w:pPr>
      <w:r>
        <w:t xml:space="preserve">Seguridad de Datos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300"/>
        <w:gridCol w:w="8120"/>
      </w:tblGrid>
      <w:tr>
        <w:trPr>
          <w:cantSplit/>
        </w:trPr>
        <w:tc>
          <w:tcPr>
            <w:tcW w:type="dxa" w:w="1300"/>
            <w:shd w:fill="D9D9D9" w:val="clear"/>
            <w:tcMar>
              <w:top w:type="dxa" w:w="70"/>
              <w:left w:type="dxa" w:w="100"/>
              <w:bottom w:type="dxa" w:w="70"/>
              <w:right w:type="dxa" w:w="100"/>
            </w:tcMar>
          </w:tcPr>
          <w:p>
            <w:r>
              <w:rPr>
                <w:b/>
                <w:bCs/>
                <w:color w:val="000000"/>
                <w:sz w:val="19"/>
                <w:szCs w:val="19"/>
              </w:rPr>
              <w:t xml:space="preserve">Nº</w:t>
            </w:r>
          </w:p>
        </w:tc>
        <w:tc>
          <w:tcPr>
            <w:tcW w:type="dxa" w:w="8120"/>
            <w:shd w:fill="D9D9D9" w:val="clear"/>
            <w:tcMar>
              <w:top w:type="dxa" w:w="70"/>
              <w:left w:type="dxa" w:w="100"/>
              <w:bottom w:type="dxa" w:w="70"/>
              <w:right w:type="dxa" w:w="100"/>
            </w:tcMar>
          </w:tcPr>
          <w:p>
            <w:r>
              <w:rPr>
                <w:b/>
                <w:bCs/>
                <w:color w:val="000000"/>
                <w:sz w:val="19"/>
                <w:szCs w:val="19"/>
              </w:rPr>
              <w:t xml:space="preserve">Descripción del requisito</w:t>
            </w:r>
          </w:p>
        </w:tc>
      </w:tr>
      <w:tr>
        <w:trPr>
          <w:cantSplit/>
        </w:trPr>
        <w:tc>
          <w:tcPr>
            <w:tcW w:type="dxa" w:w="1300"/>
            <w:tcMar>
              <w:top w:type="dxa" w:w="70"/>
              <w:left w:type="dxa" w:w="100"/>
              <w:bottom w:type="dxa" w:w="70"/>
              <w:right w:type="dxa" w:w="100"/>
            </w:tcMar>
          </w:tcPr>
          <w:p>
            <w:r>
              <w:rPr>
                <w:b w:val="false"/>
                <w:bCs w:val="false"/>
                <w:color w:val="000000"/>
                <w:sz w:val="19"/>
                <w:szCs w:val="19"/>
              </w:rPr>
              <w:t xml:space="preserve">RF#25</w:t>
            </w:r>
          </w:p>
        </w:tc>
        <w:tc>
          <w:tcPr>
            <w:tcW w:type="dxa" w:w="8120"/>
            <w:tcMar>
              <w:top w:type="dxa" w:w="70"/>
              <w:left w:type="dxa" w:w="100"/>
              <w:bottom w:type="dxa" w:w="70"/>
              <w:right w:type="dxa" w:w="100"/>
            </w:tcMar>
          </w:tcPr>
          <w:p>
            <w:r>
              <w:rPr>
                <w:b w:val="false"/>
                <w:bCs w:val="false"/>
                <w:color w:val="000000"/>
                <w:sz w:val="19"/>
                <w:szCs w:val="19"/>
              </w:rPr>
              <w:t xml:space="preserve">El sistema debe permitir al rol Administrador generar y restaurar copias de seguridad de la base de datos desde una opción del menú principal.</w:t>
            </w:r>
          </w:p>
        </w:tc>
      </w:tr>
    </w:tbl>
    <w:p>
      <w:pPr>
        <w:pStyle w:val="Heading2"/>
        <w:spacing w:after="120" w:before="240"/>
      </w:pPr>
      <w:r>
        <w:t xml:space="preserve">4.2 Requisitos No Funcionales</w:t>
      </w:r>
    </w:p>
    <w:p>
      <w:pPr>
        <w:pStyle w:val="Heading3"/>
        <w:spacing w:after="100" w:before="180"/>
      </w:pPr>
      <w:r>
        <w:t xml:space="preserve">Requisitos del producto</w:t>
      </w:r>
    </w:p>
    <w:p>
      <w:pPr>
        <w:spacing w:after="160"/>
      </w:pPr>
      <w:r>
        <w:t xml:space="preserve">Se relacionan con el comportamiento, rendimiento, usabilidad y seguridad del sistema.</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320"/>
        <w:gridCol w:w="1900"/>
      </w:tblGrid>
      <w:tr>
        <w:trPr>
          <w:cantSplit/>
        </w:trPr>
        <w:tc>
          <w:tcPr>
            <w:tcW w:type="dxa" w:w="1200"/>
            <w:shd w:fill="D9D9D9" w:val="clear"/>
            <w:tcMar>
              <w:top w:type="dxa" w:w="70"/>
              <w:left w:type="dxa" w:w="100"/>
              <w:bottom w:type="dxa" w:w="70"/>
              <w:right w:type="dxa" w:w="100"/>
            </w:tcMar>
          </w:tcPr>
          <w:p>
            <w:r>
              <w:rPr>
                <w:b/>
                <w:bCs/>
                <w:color w:val="000000"/>
                <w:sz w:val="19"/>
                <w:szCs w:val="19"/>
              </w:rPr>
              <w:t xml:space="preserve">Nº</w:t>
            </w:r>
          </w:p>
        </w:tc>
        <w:tc>
          <w:tcPr>
            <w:tcW w:type="dxa" w:w="6320"/>
            <w:shd w:fill="D9D9D9" w:val="clear"/>
            <w:tcMar>
              <w:top w:type="dxa" w:w="70"/>
              <w:left w:type="dxa" w:w="100"/>
              <w:bottom w:type="dxa" w:w="70"/>
              <w:right w:type="dxa" w:w="100"/>
            </w:tcMar>
          </w:tcPr>
          <w:p>
            <w:r>
              <w:rPr>
                <w:b/>
                <w:bCs/>
                <w:color w:val="000000"/>
                <w:sz w:val="19"/>
                <w:szCs w:val="19"/>
              </w:rPr>
              <w:t xml:space="preserve">Descripción del requisito</w:t>
            </w:r>
          </w:p>
        </w:tc>
        <w:tc>
          <w:tcPr>
            <w:tcW w:type="dxa" w:w="1900"/>
            <w:shd w:fill="D9D9D9" w:val="clear"/>
            <w:tcMar>
              <w:top w:type="dxa" w:w="70"/>
              <w:left w:type="dxa" w:w="100"/>
              <w:bottom w:type="dxa" w:w="70"/>
              <w:right w:type="dxa" w:w="100"/>
            </w:tcMar>
          </w:tcPr>
          <w:p>
            <w:r>
              <w:rPr>
                <w:b/>
                <w:bCs/>
                <w:color w:val="000000"/>
                <w:sz w:val="19"/>
                <w:szCs w:val="19"/>
              </w:rPr>
              <w:t xml:space="preserve">Clasificación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RNF#01</w:t>
            </w:r>
          </w:p>
        </w:tc>
        <w:tc>
          <w:tcPr>
            <w:tcW w:type="dxa" w:w="6320"/>
            <w:tcMar>
              <w:top w:type="dxa" w:w="70"/>
              <w:left w:type="dxa" w:w="100"/>
              <w:bottom w:type="dxa" w:w="70"/>
              <w:right w:type="dxa" w:w="100"/>
            </w:tcMar>
          </w:tcPr>
          <w:p>
            <w:r>
              <w:rPr>
                <w:b w:val="false"/>
                <w:bCs w:val="false"/>
                <w:color w:val="000000"/>
                <w:sz w:val="19"/>
                <w:szCs w:val="19"/>
              </w:rPr>
              <w:t xml:space="preserve">Tiempo de respuesta: la interfaz de Control de Acceso (Check-in) debe procesar la validación y responder en un lapso no mayor a 2 segundos.</w:t>
            </w:r>
          </w:p>
        </w:tc>
        <w:tc>
          <w:tcPr>
            <w:tcW w:type="dxa" w:w="1900"/>
            <w:tcMar>
              <w:top w:type="dxa" w:w="70"/>
              <w:left w:type="dxa" w:w="100"/>
              <w:bottom w:type="dxa" w:w="70"/>
              <w:right w:type="dxa" w:w="100"/>
            </w:tcMar>
          </w:tcPr>
          <w:p>
            <w:r>
              <w:rPr>
                <w:b w:val="false"/>
                <w:bCs w:val="false"/>
                <w:color w:val="000000"/>
                <w:sz w:val="19"/>
                <w:szCs w:val="19"/>
              </w:rPr>
              <w:t xml:space="preserve">Rendimiento</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RNF#02</w:t>
            </w:r>
          </w:p>
        </w:tc>
        <w:tc>
          <w:tcPr>
            <w:tcW w:type="dxa" w:w="6320"/>
            <w:tcMar>
              <w:top w:type="dxa" w:w="70"/>
              <w:left w:type="dxa" w:w="100"/>
              <w:bottom w:type="dxa" w:w="70"/>
              <w:right w:type="dxa" w:w="100"/>
            </w:tcMar>
          </w:tcPr>
          <w:p>
            <w:r>
              <w:rPr>
                <w:b w:val="false"/>
                <w:bCs w:val="false"/>
                <w:color w:val="000000"/>
                <w:sz w:val="19"/>
                <w:szCs w:val="19"/>
              </w:rPr>
              <w:t xml:space="preserve">Navegación UI: el sistema debe poseer un formulario contenedor principal (MDIParent) desde donde se desplieguen los formularios hijos sin salir de la ventana.</w:t>
            </w:r>
          </w:p>
        </w:tc>
        <w:tc>
          <w:tcPr>
            <w:tcW w:type="dxa" w:w="1900"/>
            <w:tcMar>
              <w:top w:type="dxa" w:w="70"/>
              <w:left w:type="dxa" w:w="100"/>
              <w:bottom w:type="dxa" w:w="70"/>
              <w:right w:type="dxa" w:w="100"/>
            </w:tcMar>
          </w:tcPr>
          <w:p>
            <w:r>
              <w:rPr>
                <w:b w:val="false"/>
                <w:bCs w:val="false"/>
                <w:color w:val="000000"/>
                <w:sz w:val="19"/>
                <w:szCs w:val="19"/>
              </w:rPr>
              <w:t xml:space="preserve">Usabilidad</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RNF#03</w:t>
            </w:r>
          </w:p>
        </w:tc>
        <w:tc>
          <w:tcPr>
            <w:tcW w:type="dxa" w:w="6320"/>
            <w:tcMar>
              <w:top w:type="dxa" w:w="70"/>
              <w:left w:type="dxa" w:w="100"/>
              <w:bottom w:type="dxa" w:w="70"/>
              <w:right w:type="dxa" w:w="100"/>
            </w:tcMar>
          </w:tcPr>
          <w:p>
            <w:r>
              <w:rPr>
                <w:b w:val="false"/>
                <w:bCs w:val="false"/>
                <w:color w:val="000000"/>
                <w:sz w:val="19"/>
                <w:szCs w:val="19"/>
              </w:rPr>
              <w:t xml:space="preserve">Mensajes de confirmación: el sistema debe advertir mediante un MessageBox Sí/No antes de eliminar o modificar cualquier registro crítico.</w:t>
            </w:r>
          </w:p>
        </w:tc>
        <w:tc>
          <w:tcPr>
            <w:tcW w:type="dxa" w:w="1900"/>
            <w:tcMar>
              <w:top w:type="dxa" w:w="70"/>
              <w:left w:type="dxa" w:w="100"/>
              <w:bottom w:type="dxa" w:w="70"/>
              <w:right w:type="dxa" w:w="100"/>
            </w:tcMar>
          </w:tcPr>
          <w:p>
            <w:r>
              <w:rPr>
                <w:b w:val="false"/>
                <w:bCs w:val="false"/>
                <w:color w:val="000000"/>
                <w:sz w:val="19"/>
                <w:szCs w:val="19"/>
              </w:rPr>
              <w:t xml:space="preserve">Usabilidad</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RNF#04</w:t>
            </w:r>
          </w:p>
        </w:tc>
        <w:tc>
          <w:tcPr>
            <w:tcW w:type="dxa" w:w="6320"/>
            <w:tcMar>
              <w:top w:type="dxa" w:w="70"/>
              <w:left w:type="dxa" w:w="100"/>
              <w:bottom w:type="dxa" w:w="70"/>
              <w:right w:type="dxa" w:w="100"/>
            </w:tcMar>
          </w:tcPr>
          <w:p>
            <w:r>
              <w:rPr>
                <w:b w:val="false"/>
                <w:bCs w:val="false"/>
                <w:color w:val="000000"/>
                <w:sz w:val="19"/>
                <w:szCs w:val="19"/>
              </w:rPr>
              <w:t xml:space="preserve">Validación de entradas: el sistema debe prevenir excepciones controlando que los campos numéricos (precios, documentos) no admitan caracteres alfabéticos.</w:t>
            </w:r>
          </w:p>
        </w:tc>
        <w:tc>
          <w:tcPr>
            <w:tcW w:type="dxa" w:w="1900"/>
            <w:tcMar>
              <w:top w:type="dxa" w:w="70"/>
              <w:left w:type="dxa" w:w="100"/>
              <w:bottom w:type="dxa" w:w="70"/>
              <w:right w:type="dxa" w:w="100"/>
            </w:tcMar>
          </w:tcPr>
          <w:p>
            <w:r>
              <w:rPr>
                <w:b w:val="false"/>
                <w:bCs w:val="false"/>
                <w:color w:val="000000"/>
                <w:sz w:val="19"/>
                <w:szCs w:val="19"/>
              </w:rPr>
              <w:t xml:space="preserve">Fiabilidad</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RNF#11</w:t>
            </w:r>
          </w:p>
        </w:tc>
        <w:tc>
          <w:tcPr>
            <w:tcW w:type="dxa" w:w="6320"/>
            <w:tcMar>
              <w:top w:type="dxa" w:w="70"/>
              <w:left w:type="dxa" w:w="100"/>
              <w:bottom w:type="dxa" w:w="70"/>
              <w:right w:type="dxa" w:w="100"/>
            </w:tcMar>
          </w:tcPr>
          <w:p>
            <w:r>
              <w:rPr>
                <w:b w:val="false"/>
                <w:bCs w:val="false"/>
                <w:color w:val="000000"/>
                <w:sz w:val="19"/>
                <w:szCs w:val="19"/>
              </w:rPr>
              <w:t xml:space="preserve">Seguridad de contraseñas: las contraseñas de los Usuarios deben almacenarse aplicando una función de hash; nunca en texto plano.</w:t>
            </w:r>
          </w:p>
        </w:tc>
        <w:tc>
          <w:tcPr>
            <w:tcW w:type="dxa" w:w="1900"/>
            <w:tcMar>
              <w:top w:type="dxa" w:w="70"/>
              <w:left w:type="dxa" w:w="100"/>
              <w:bottom w:type="dxa" w:w="70"/>
              <w:right w:type="dxa" w:w="100"/>
            </w:tcMar>
          </w:tcPr>
          <w:p>
            <w:r>
              <w:rPr>
                <w:b w:val="false"/>
                <w:bCs w:val="false"/>
                <w:color w:val="000000"/>
                <w:sz w:val="19"/>
                <w:szCs w:val="19"/>
              </w:rPr>
              <w:t xml:space="preserve">Seguridad</w:t>
            </w:r>
          </w:p>
        </w:tc>
      </w:tr>
    </w:tbl>
    <w:p>
      <w:pPr>
        <w:pStyle w:val="Heading3"/>
        <w:spacing w:after="100" w:before="180"/>
      </w:pPr>
      <w:r>
        <w:t xml:space="preserve">Requisitos organizacionales</w:t>
      </w:r>
    </w:p>
    <w:p>
      <w:pPr>
        <w:spacing w:after="160"/>
      </w:pPr>
      <w:r>
        <w:t xml:space="preserve">Políticas, estándares y normas impuestas por la cátedra o el equipo de desarrollo.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320"/>
        <w:gridCol w:w="1900"/>
      </w:tblGrid>
      <w:tr>
        <w:trPr>
          <w:cantSplit/>
        </w:trPr>
        <w:tc>
          <w:tcPr>
            <w:tcW w:type="dxa" w:w="1200"/>
            <w:shd w:fill="D9D9D9" w:val="clear"/>
            <w:tcMar>
              <w:top w:type="dxa" w:w="70"/>
              <w:left w:type="dxa" w:w="100"/>
              <w:bottom w:type="dxa" w:w="70"/>
              <w:right w:type="dxa" w:w="100"/>
            </w:tcMar>
          </w:tcPr>
          <w:p>
            <w:r>
              <w:rPr>
                <w:b/>
                <w:bCs/>
                <w:color w:val="000000"/>
                <w:sz w:val="19"/>
                <w:szCs w:val="19"/>
              </w:rPr>
              <w:t xml:space="preserve">Nº</w:t>
            </w:r>
          </w:p>
        </w:tc>
        <w:tc>
          <w:tcPr>
            <w:tcW w:type="dxa" w:w="6320"/>
            <w:shd w:fill="D9D9D9" w:val="clear"/>
            <w:tcMar>
              <w:top w:type="dxa" w:w="70"/>
              <w:left w:type="dxa" w:w="100"/>
              <w:bottom w:type="dxa" w:w="70"/>
              <w:right w:type="dxa" w:w="100"/>
            </w:tcMar>
          </w:tcPr>
          <w:p>
            <w:r>
              <w:rPr>
                <w:b/>
                <w:bCs/>
                <w:color w:val="000000"/>
                <w:sz w:val="19"/>
                <w:szCs w:val="19"/>
              </w:rPr>
              <w:t xml:space="preserve">Descripción del requisito</w:t>
            </w:r>
          </w:p>
        </w:tc>
        <w:tc>
          <w:tcPr>
            <w:tcW w:type="dxa" w:w="1900"/>
            <w:shd w:fill="D9D9D9" w:val="clear"/>
            <w:tcMar>
              <w:top w:type="dxa" w:w="70"/>
              <w:left w:type="dxa" w:w="100"/>
              <w:bottom w:type="dxa" w:w="70"/>
              <w:right w:type="dxa" w:w="100"/>
            </w:tcMar>
          </w:tcPr>
          <w:p>
            <w:r>
              <w:rPr>
                <w:b/>
                <w:bCs/>
                <w:color w:val="000000"/>
                <w:sz w:val="19"/>
                <w:szCs w:val="19"/>
              </w:rPr>
              <w:t xml:space="preserve">Clasificación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RNF#05</w:t>
            </w:r>
          </w:p>
        </w:tc>
        <w:tc>
          <w:tcPr>
            <w:tcW w:type="dxa" w:w="6320"/>
            <w:tcMar>
              <w:top w:type="dxa" w:w="70"/>
              <w:left w:type="dxa" w:w="100"/>
              <w:bottom w:type="dxa" w:w="70"/>
              <w:right w:type="dxa" w:w="100"/>
            </w:tcMar>
          </w:tcPr>
          <w:p>
            <w:r>
              <w:rPr>
                <w:b w:val="false"/>
                <w:bCs w:val="false"/>
                <w:color w:val="000000"/>
                <w:sz w:val="19"/>
                <w:szCs w:val="19"/>
              </w:rPr>
              <w:t xml:space="preserve">Convención de nombres: el código fuente debe utilizar notación húngara para nombrar controles (ej. txtDocumento, btnGuardar, cboPlanes, dgvSocios).</w:t>
            </w:r>
          </w:p>
        </w:tc>
        <w:tc>
          <w:tcPr>
            <w:tcW w:type="dxa" w:w="1900"/>
            <w:tcMar>
              <w:top w:type="dxa" w:w="70"/>
              <w:left w:type="dxa" w:w="100"/>
              <w:bottom w:type="dxa" w:w="70"/>
              <w:right w:type="dxa" w:w="100"/>
            </w:tcMar>
          </w:tcPr>
          <w:p>
            <w:r>
              <w:rPr>
                <w:b w:val="false"/>
                <w:bCs w:val="false"/>
                <w:color w:val="000000"/>
                <w:sz w:val="19"/>
                <w:szCs w:val="19"/>
              </w:rPr>
              <w:t xml:space="preserve">Estándares de codificación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RNF#06</w:t>
            </w:r>
          </w:p>
        </w:tc>
        <w:tc>
          <w:tcPr>
            <w:tcW w:type="dxa" w:w="6320"/>
            <w:tcMar>
              <w:top w:type="dxa" w:w="70"/>
              <w:left w:type="dxa" w:w="100"/>
              <w:bottom w:type="dxa" w:w="70"/>
              <w:right w:type="dxa" w:w="100"/>
            </w:tcMar>
          </w:tcPr>
          <w:p>
            <w:r>
              <w:rPr>
                <w:b w:val="false"/>
                <w:bCs w:val="false"/>
                <w:color w:val="000000"/>
                <w:sz w:val="19"/>
                <w:szCs w:val="19"/>
              </w:rPr>
              <w:t xml:space="preserve">Manejo de excepciones: todo el código que interactúe con la base de datos debe estar encapsulado en bloques Try…Catch.</w:t>
            </w:r>
          </w:p>
        </w:tc>
        <w:tc>
          <w:tcPr>
            <w:tcW w:type="dxa" w:w="1900"/>
            <w:tcMar>
              <w:top w:type="dxa" w:w="70"/>
              <w:left w:type="dxa" w:w="100"/>
              <w:bottom w:type="dxa" w:w="70"/>
              <w:right w:type="dxa" w:w="100"/>
            </w:tcMar>
          </w:tcPr>
          <w:p>
            <w:r>
              <w:rPr>
                <w:b w:val="false"/>
                <w:bCs w:val="false"/>
                <w:color w:val="000000"/>
                <w:sz w:val="19"/>
                <w:szCs w:val="19"/>
              </w:rPr>
              <w:t xml:space="preserve">Estándares de arquitectura</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RNF#07</w:t>
            </w:r>
          </w:p>
        </w:tc>
        <w:tc>
          <w:tcPr>
            <w:tcW w:type="dxa" w:w="6320"/>
            <w:tcMar>
              <w:top w:type="dxa" w:w="70"/>
              <w:left w:type="dxa" w:w="100"/>
              <w:bottom w:type="dxa" w:w="70"/>
              <w:right w:type="dxa" w:w="100"/>
            </w:tcMar>
          </w:tcPr>
          <w:p>
            <w:r>
              <w:rPr>
                <w:b w:val="false"/>
                <w:bCs w:val="false"/>
                <w:color w:val="000000"/>
                <w:sz w:val="19"/>
                <w:szCs w:val="19"/>
              </w:rPr>
              <w:t xml:space="preserve">Documentación de código: las rutinas principales de cálculo (ej. vencimientos) deben contar con comentarios explicativos.</w:t>
            </w:r>
          </w:p>
        </w:tc>
        <w:tc>
          <w:tcPr>
            <w:tcW w:type="dxa" w:w="1900"/>
            <w:tcMar>
              <w:top w:type="dxa" w:w="70"/>
              <w:left w:type="dxa" w:w="100"/>
              <w:bottom w:type="dxa" w:w="70"/>
              <w:right w:type="dxa" w:w="100"/>
            </w:tcMar>
          </w:tcPr>
          <w:p>
            <w:r>
              <w:rPr>
                <w:b w:val="false"/>
                <w:bCs w:val="false"/>
                <w:color w:val="000000"/>
                <w:sz w:val="19"/>
                <w:szCs w:val="19"/>
              </w:rPr>
              <w:t xml:space="preserve">Entrega</w:t>
            </w:r>
          </w:p>
        </w:tc>
      </w:tr>
    </w:tbl>
    <w:p>
      <w:pPr>
        <w:pStyle w:val="Heading3"/>
        <w:spacing w:after="100" w:before="180"/>
      </w:pPr>
      <w:r>
        <w:t xml:space="preserve">Requisitos externos</w:t>
      </w:r>
    </w:p>
    <w:p>
      <w:pPr>
        <w:spacing w:after="160"/>
      </w:pPr>
      <w:r>
        <w:t xml:space="preserve">Interacción con el entorno físico, normativas y software de terceros.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320"/>
        <w:gridCol w:w="1900"/>
      </w:tblGrid>
      <w:tr>
        <w:trPr>
          <w:cantSplit/>
        </w:trPr>
        <w:tc>
          <w:tcPr>
            <w:tcW w:type="dxa" w:w="1200"/>
            <w:shd w:fill="D9D9D9" w:val="clear"/>
            <w:tcMar>
              <w:top w:type="dxa" w:w="70"/>
              <w:left w:type="dxa" w:w="100"/>
              <w:bottom w:type="dxa" w:w="70"/>
              <w:right w:type="dxa" w:w="100"/>
            </w:tcMar>
          </w:tcPr>
          <w:p>
            <w:r>
              <w:rPr>
                <w:b/>
                <w:bCs/>
                <w:color w:val="000000"/>
                <w:sz w:val="19"/>
                <w:szCs w:val="19"/>
              </w:rPr>
              <w:t xml:space="preserve">Nº</w:t>
            </w:r>
          </w:p>
        </w:tc>
        <w:tc>
          <w:tcPr>
            <w:tcW w:type="dxa" w:w="6320"/>
            <w:shd w:fill="D9D9D9" w:val="clear"/>
            <w:tcMar>
              <w:top w:type="dxa" w:w="70"/>
              <w:left w:type="dxa" w:w="100"/>
              <w:bottom w:type="dxa" w:w="70"/>
              <w:right w:type="dxa" w:w="100"/>
            </w:tcMar>
          </w:tcPr>
          <w:p>
            <w:r>
              <w:rPr>
                <w:b/>
                <w:bCs/>
                <w:color w:val="000000"/>
                <w:sz w:val="19"/>
                <w:szCs w:val="19"/>
              </w:rPr>
              <w:t xml:space="preserve">Descripción del requisito</w:t>
            </w:r>
          </w:p>
        </w:tc>
        <w:tc>
          <w:tcPr>
            <w:tcW w:type="dxa" w:w="1900"/>
            <w:shd w:fill="D9D9D9" w:val="clear"/>
            <w:tcMar>
              <w:top w:type="dxa" w:w="70"/>
              <w:left w:type="dxa" w:w="100"/>
              <w:bottom w:type="dxa" w:w="70"/>
              <w:right w:type="dxa" w:w="100"/>
            </w:tcMar>
          </w:tcPr>
          <w:p>
            <w:r>
              <w:rPr>
                <w:b/>
                <w:bCs/>
                <w:color w:val="000000"/>
                <w:sz w:val="19"/>
                <w:szCs w:val="19"/>
              </w:rPr>
              <w:t xml:space="preserve">Clasificación</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RNF#08</w:t>
            </w:r>
          </w:p>
        </w:tc>
        <w:tc>
          <w:tcPr>
            <w:tcW w:type="dxa" w:w="6320"/>
            <w:tcMar>
              <w:top w:type="dxa" w:w="70"/>
              <w:left w:type="dxa" w:w="100"/>
              <w:bottom w:type="dxa" w:w="70"/>
              <w:right w:type="dxa" w:w="100"/>
            </w:tcMar>
          </w:tcPr>
          <w:p>
            <w:r>
              <w:rPr>
                <w:b w:val="false"/>
                <w:bCs w:val="false"/>
                <w:color w:val="000000"/>
                <w:sz w:val="19"/>
                <w:szCs w:val="19"/>
              </w:rPr>
              <w:t xml:space="preserve">Lenguaje de programación: el sistema debe desarrollarse íntegramente en C# sobre Visual Studio.</w:t>
            </w:r>
          </w:p>
        </w:tc>
        <w:tc>
          <w:tcPr>
            <w:tcW w:type="dxa" w:w="1900"/>
            <w:tcMar>
              <w:top w:type="dxa" w:w="70"/>
              <w:left w:type="dxa" w:w="100"/>
              <w:bottom w:type="dxa" w:w="70"/>
              <w:right w:type="dxa" w:w="100"/>
            </w:tcMar>
          </w:tcPr>
          <w:p>
            <w:r>
              <w:rPr>
                <w:b w:val="false"/>
                <w:bCs w:val="false"/>
                <w:color w:val="000000"/>
                <w:sz w:val="19"/>
                <w:szCs w:val="19"/>
              </w:rPr>
              <w:t xml:space="preserve">Entorno de desarrollo</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RNF#09</w:t>
            </w:r>
          </w:p>
        </w:tc>
        <w:tc>
          <w:tcPr>
            <w:tcW w:type="dxa" w:w="6320"/>
            <w:tcMar>
              <w:top w:type="dxa" w:w="70"/>
              <w:left w:type="dxa" w:w="100"/>
              <w:bottom w:type="dxa" w:w="70"/>
              <w:right w:type="dxa" w:w="100"/>
            </w:tcMar>
          </w:tcPr>
          <w:p>
            <w:r>
              <w:rPr>
                <w:b w:val="false"/>
                <w:bCs w:val="false"/>
                <w:color w:val="000000"/>
                <w:sz w:val="19"/>
                <w:szCs w:val="19"/>
              </w:rPr>
              <w:t xml:space="preserve">Motor de base de datos: la persistencia debe implementarse sobre Microsoft SQL Server, local o en red LAN, accedido mediante Dapper.</w:t>
            </w:r>
          </w:p>
        </w:tc>
        <w:tc>
          <w:tcPr>
            <w:tcW w:type="dxa" w:w="1900"/>
            <w:tcMar>
              <w:top w:type="dxa" w:w="70"/>
              <w:left w:type="dxa" w:w="100"/>
              <w:bottom w:type="dxa" w:w="70"/>
              <w:right w:type="dxa" w:w="100"/>
            </w:tcMar>
          </w:tcPr>
          <w:p>
            <w:r>
              <w:rPr>
                <w:b w:val="false"/>
                <w:bCs w:val="false"/>
                <w:color w:val="000000"/>
                <w:sz w:val="19"/>
                <w:szCs w:val="19"/>
              </w:rPr>
              <w:t xml:space="preserve">Dependencia externa</w:t>
            </w:r>
          </w:p>
        </w:tc>
      </w:tr>
      <w:tr>
        <w:trPr>
          <w:cantSplit/>
        </w:trPr>
        <w:tc>
          <w:tcPr>
            <w:tcW w:type="dxa" w:w="1200"/>
            <w:tcMar>
              <w:top w:type="dxa" w:w="70"/>
              <w:left w:type="dxa" w:w="100"/>
              <w:bottom w:type="dxa" w:w="70"/>
              <w:right w:type="dxa" w:w="100"/>
            </w:tcMar>
          </w:tcPr>
          <w:p>
            <w:r>
              <w:rPr>
                <w:b w:val="false"/>
                <w:bCs w:val="false"/>
                <w:color w:val="000000"/>
                <w:sz w:val="19"/>
                <w:szCs w:val="19"/>
              </w:rPr>
              <w:t xml:space="preserve">RNF#10</w:t>
            </w:r>
          </w:p>
        </w:tc>
        <w:tc>
          <w:tcPr>
            <w:tcW w:type="dxa" w:w="6320"/>
            <w:tcMar>
              <w:top w:type="dxa" w:w="70"/>
              <w:left w:type="dxa" w:w="100"/>
              <w:bottom w:type="dxa" w:w="70"/>
              <w:right w:type="dxa" w:w="100"/>
            </w:tcMar>
          </w:tcPr>
          <w:p>
            <w:r>
              <w:rPr>
                <w:b w:val="false"/>
                <w:bCs w:val="false"/>
                <w:color w:val="000000"/>
                <w:sz w:val="19"/>
                <w:szCs w:val="19"/>
              </w:rPr>
              <w:t xml:space="preserve">Resolución de pantalla: los formularios deben operar de forma óptima en una resolución mínima de 1024x768 píxeles.</w:t>
            </w:r>
          </w:p>
        </w:tc>
        <w:tc>
          <w:tcPr>
            <w:tcW w:type="dxa" w:w="1900"/>
            <w:tcMar>
              <w:top w:type="dxa" w:w="70"/>
              <w:left w:type="dxa" w:w="100"/>
              <w:bottom w:type="dxa" w:w="70"/>
              <w:right w:type="dxa" w:w="100"/>
            </w:tcMar>
          </w:tcPr>
          <w:p>
            <w:r>
              <w:rPr>
                <w:b w:val="false"/>
                <w:bCs w:val="false"/>
                <w:color w:val="000000"/>
                <w:sz w:val="19"/>
                <w:szCs w:val="19"/>
              </w:rPr>
              <w:t xml:space="preserve">Hardware / Interfaz</w:t>
            </w:r>
          </w:p>
        </w:tc>
      </w:tr>
    </w:tbl>
    <w:p>
      <w:pPr>
        <w:pStyle w:val="Heading2"/>
        <w:spacing w:after="120" w:before="240"/>
      </w:pPr>
      <w:r>
        <w:t xml:space="preserve">4.3 Interfaces externas</w:t>
      </w:r>
    </w:p>
    <w:p>
      <w:pPr>
        <w:pStyle w:val="Heading3"/>
        <w:spacing w:after="100" w:before="180"/>
      </w:pPr>
      <w:r>
        <w:t xml:space="preserve">Interfaz de usuario</w:t>
      </w:r>
    </w:p>
    <w:p>
      <w:pPr>
        <w:spacing w:after="160"/>
      </w:pPr>
      <w:r>
        <w:t xml:space="preserve">Formularios Windows Forms bajo arquitectura MDI (MDIParent / formularios hijos); controles estándar (TextBox, ComboBox, DataGridView, Button, Label) nombrados según la convención de notación húngara de la cátedra.</w:t>
      </w:r>
    </w:p>
    <w:p>
      <w:pPr>
        <w:pStyle w:val="Heading3"/>
        <w:spacing w:after="100" w:before="180"/>
      </w:pPr>
      <w:r>
        <w:t xml:space="preserve">Interfaz de hardware</w:t>
      </w:r>
    </w:p>
    <w:p>
      <w:pPr>
        <w:spacing w:after="160"/>
      </w:pPr>
      <w:r>
        <w:t xml:space="preserve">Teclado y mouse estándar. No se requiere hardware adicional (lectores biométricos, impresoras fiscales, etc.), lo cual queda fuera de alcance.</w:t>
      </w:r>
    </w:p>
    <w:p>
      <w:pPr>
        <w:pStyle w:val="Heading3"/>
        <w:spacing w:after="100" w:before="180"/>
      </w:pPr>
      <w:r>
        <w:t xml:space="preserve">Interfaz de software</w:t>
      </w:r>
    </w:p>
    <w:p>
      <w:pPr>
        <w:spacing w:after="160"/>
      </w:pPr>
      <w:r>
        <w:t xml:space="preserve">Acceso a datos mediante Dapper sobre ADO.NET (Microsoft.Data.SqlClient) contra Microsoft SQL Server.</w:t>
      </w:r>
    </w:p>
    <w:p>
      <w:pPr>
        <w:pStyle w:val="Heading3"/>
        <w:spacing w:after="100" w:before="180"/>
      </w:pPr>
      <w:r>
        <w:t xml:space="preserve">Interfaz de comunicación</w:t>
      </w:r>
    </w:p>
    <w:p>
      <w:pPr>
        <w:spacing w:after="160"/>
      </w:pPr>
      <w:r>
        <w:t xml:space="preserve">Aplicación de escritorio; si la base de datos se aloja en un servidor de red local (LAN), la comunicación se realiza mediante el proveedor de datos correspondiente (SqlClient / OleDb) sobre la red interna del gimnasio. No requiere conexión a Internet.</w:t>
      </w:r>
    </w:p>
    <w:p>
      <w:pPr>
        <w:sectPr>
          <w:footerReference w:type="default" r:id="rId7"/>
          <w:pgSz w:w="12240" w:h="15840" w:orient="portrait"/>
          <w:pgMar w:top="1000" w:right="1100" w:bottom="1000" w:left="1100" w:header="708" w:footer="708" w:gutter="0"/>
          <w:pgNumType/>
          <w:titlePg/>
          <w:docGrid w:linePitch="360"/>
        </w:sectPr>
      </w:pPr>
    </w:p>
    <w:p>
      <w:pPr>
        <w:pStyle w:val="Heading1"/>
        <w:spacing w:after="60"/>
      </w:pPr>
      <w:r>
        <w:t xml:space="preserve">5. Diagramas del Sistema</w:t>
      </w:r>
    </w:p>
    <w:p>
      <w:pPr>
        <w:pStyle w:val="Heading2"/>
        <w:spacing w:after="60" w:before="40"/>
      </w:pPr>
      <w:r>
        <w:t xml:space="preserve">5.1 Diagrama de Entidad-Relación (DER) — 14 entidades. Notación crow's foot (PK = clave primaria, FK = clave foránea, UK = clave única).</w:t>
      </w:r>
    </w:p>
    <w:p>
      <w:pPr>
        <w:jc w:val="center"/>
      </w:pPr>
      <w:r>
        <w:drawing>
          <wp:inline distT="0" distB="0" distL="0" distR="0">
            <wp:extent cx="9334500" cy="94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34500" cy="9420225"/>
                    </a:xfrm>
                    <a:prstGeom prst="rect">
                      <a:avLst/>
                    </a:prstGeom>
                  </pic:spPr>
                </pic:pic>
              </a:graphicData>
            </a:graphic>
          </wp:inline>
        </w:drawing>
      </w:r>
    </w:p>
    <w:p>
      <w:pPr>
        <w:spacing w:after="200" w:before="100"/>
        <w:jc w:val="center"/>
      </w:pPr>
      <w:r>
        <w:rPr>
          <w:i/>
          <w:iCs/>
          <w:color w:val="444444"/>
          <w:sz w:val="18"/>
          <w:szCs w:val="18"/>
        </w:rPr>
        <w:t xml:space="preserve">Figura 1. Diagrama de Entidad-Relación del SGIG (v6 del modelo de datos — 14 entidades, con la tabla Facturación entre Socio, Plan y Pago). Página en formato Tabloid (11" x 17") para mejorar la legibilidad.</w:t>
      </w:r>
    </w:p>
    <w:p>
      <w:pPr>
        <w:sectPr>
          <w:footerReference w:type="default" r:id="rId8"/>
          <w:pgSz w:w="15840" w:h="24480" w:orient="portrait"/>
          <w:pgMar w:top="500" w:right="450" w:bottom="500" w:left="450" w:header="708" w:footer="708" w:gutter="0"/>
          <w:pgNumType/>
          <w:docGrid w:linePitch="360"/>
        </w:sectPr>
      </w:pPr>
    </w:p>
    <w:p>
      <w:pPr>
        <w:pStyle w:val="Heading2"/>
        <w:spacing w:after="100"/>
      </w:pPr>
      <w:r>
        <w:t xml:space="preserve">5.2 Diagramas de Casos de Uso</w:t>
      </w:r>
    </w:p>
    <w:p>
      <w:pPr>
        <w:spacing w:after="160"/>
      </w:pPr>
      <w:r>
        <w:t xml:space="preserve">Por claridad, los casos de uso se presentan en tres vistas, una por cada actor del sistema (Administrador, Recepcionista y Técnico), evitando así el cruce de líneas de un único diagrama combinado. El caso de uso Iniciar Sesión (HU-01) es común a los tres roles y por eso aparece en las tres vistas; lo mismo ocurre con Consultar Historial de Pagos (HU-08), compartido por Administrador y Recepcionista. Las relaciones «include» indican un comportamiento que el sistema ejecuta automáticamente como parte de otro caso de uso.</w:t>
      </w:r>
    </w:p>
    <w:p>
      <w:pPr>
        <w:pStyle w:val="Heading3"/>
        <w:spacing w:after="100" w:before="180"/>
      </w:pPr>
      <w:r>
        <w:t xml:space="preserve">Vista del actor Administrador</w:t>
      </w:r>
    </w:p>
    <w:p>
      <w:pPr>
        <w:jc w:val="center"/>
      </w:pPr>
      <w:r>
        <w:drawing>
          <wp:inline distT="0" distB="0" distL="0" distR="0">
            <wp:extent cx="581025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5038725"/>
                    </a:xfrm>
                    <a:prstGeom prst="rect">
                      <a:avLst/>
                    </a:prstGeom>
                  </pic:spPr>
                </pic:pic>
              </a:graphicData>
            </a:graphic>
          </wp:inline>
        </w:drawing>
      </w:r>
    </w:p>
    <w:p>
      <w:pPr>
        <w:spacing w:after="200" w:before="100"/>
        <w:jc w:val="center"/>
      </w:pPr>
      <w:r>
        <w:rPr>
          <w:i/>
          <w:iCs/>
          <w:color w:val="444444"/>
          <w:sz w:val="18"/>
          <w:szCs w:val="18"/>
        </w:rPr>
        <w:t xml:space="preserve">Figura 2a. Diagrama de Casos de Uso — actor Administrador.</w:t>
      </w:r>
    </w:p>
    <w:p>
      <w:pPr>
        <w:pageBreakBefore/>
      </w:pPr>
    </w:p>
    <w:p>
      <w:pPr>
        <w:pStyle w:val="Heading3"/>
        <w:spacing w:after="100" w:before="180"/>
      </w:pPr>
      <w:r>
        <w:t xml:space="preserve">Vista del actor Recepcionista</w:t>
      </w:r>
    </w:p>
    <w:p>
      <w:pPr>
        <w:jc w:val="center"/>
      </w:pPr>
      <w:r>
        <w:drawing>
          <wp:inline distT="0" distB="0" distL="0" distR="0">
            <wp:extent cx="6286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3333750"/>
                    </a:xfrm>
                    <a:prstGeom prst="rect">
                      <a:avLst/>
                    </a:prstGeom>
                  </pic:spPr>
                </pic:pic>
              </a:graphicData>
            </a:graphic>
          </wp:inline>
        </w:drawing>
      </w:r>
    </w:p>
    <w:p>
      <w:pPr>
        <w:spacing w:after="200" w:before="100"/>
        <w:jc w:val="center"/>
      </w:pPr>
      <w:r>
        <w:rPr>
          <w:i/>
          <w:iCs/>
          <w:color w:val="444444"/>
          <w:sz w:val="18"/>
          <w:szCs w:val="18"/>
        </w:rPr>
        <w:t xml:space="preserve">Figura 2b. Diagrama de Casos de Uso — actor Recepcionista.</w:t>
      </w:r>
    </w:p>
    <w:p>
      <w:pPr>
        <w:pStyle w:val="Heading3"/>
        <w:spacing w:after="100" w:before="180"/>
      </w:pPr>
      <w:r>
        <w:t xml:space="preserve">Vista del actor Técnico</w:t>
      </w:r>
    </w:p>
    <w:p>
      <w:pPr>
        <w:jc w:val="center"/>
      </w:pPr>
      <w:r>
        <w:drawing>
          <wp:inline distT="0" distB="0" distL="0" distR="0">
            <wp:extent cx="6286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971800"/>
                    </a:xfrm>
                    <a:prstGeom prst="rect">
                      <a:avLst/>
                    </a:prstGeom>
                  </pic:spPr>
                </pic:pic>
              </a:graphicData>
            </a:graphic>
          </wp:inline>
        </w:drawing>
      </w:r>
    </w:p>
    <w:p>
      <w:pPr>
        <w:spacing w:after="200" w:before="100"/>
        <w:jc w:val="center"/>
      </w:pPr>
      <w:r>
        <w:rPr>
          <w:i/>
          <w:iCs/>
          <w:color w:val="444444"/>
          <w:sz w:val="18"/>
          <w:szCs w:val="18"/>
        </w:rPr>
        <w:t xml:space="preserve">Figura 2c. Diagrama de Casos de Uso — actor Técnico.</w:t>
      </w:r>
    </w:p>
    <w:p>
      <w:pPr>
        <w:sectPr>
          <w:footerReference w:type="default" r:id="rId9"/>
          <w:pgSz w:w="12240" w:h="15840" w:orient="portrait"/>
          <w:pgMar w:top="1000" w:right="1100" w:bottom="1000" w:left="1100" w:header="708" w:footer="708" w:gutter="0"/>
          <w:pgNumType/>
          <w:docGrid w:linePitch="360"/>
        </w:sectPr>
      </w:pPr>
    </w:p>
    <w:p>
      <w:pPr>
        <w:pStyle w:val="Heading1"/>
        <w:spacing w:after="160"/>
      </w:pPr>
      <w:r>
        <w:t xml:space="preserve">Anexo A — Manual de Usuario</w:t>
      </w:r>
    </w:p>
    <w:p>
      <w:pPr>
        <w:spacing w:after="160"/>
      </w:pPr>
      <w:r>
        <w:t xml:space="preserve">Este anexo describe, paso a paso, cómo instalar y operar el SGIG. Se numera de forma independiente a las secciones anteriores por tratarse de un documento de uso, dirigido al usuario final y no al equipo de desarrollo.</w:t>
      </w:r>
    </w:p>
    <w:p>
      <w:pPr>
        <w:pStyle w:val="Heading2"/>
        <w:spacing w:after="120" w:before="240"/>
      </w:pPr>
      <w:r>
        <w:t xml:space="preserve">A.1 Requisitos del sistema e instalación</w:t>
      </w:r>
    </w:p>
    <w:p>
      <w:pPr>
        <w:pStyle w:val="Heading3"/>
        <w:spacing w:after="100" w:before="180"/>
      </w:pPr>
      <w:r>
        <w:t xml:space="preserve">Requisitos mínimos</w:t>
      </w:r>
    </w:p>
    <w:p>
      <w:pPr>
        <w:pStyle w:val="ListParagraph"/>
        <w:numPr>
          <w:ilvl w:val="0"/>
          <w:numId w:val="1"/>
        </w:numPr>
        <w:spacing w:after="70"/>
      </w:pPr>
      <w:r>
        <w:t xml:space="preserve">Sistema operativo: Windows 10 u 11 (64 bits).</w:t>
      </w:r>
    </w:p>
    <w:p>
      <w:pPr>
        <w:pStyle w:val="ListParagraph"/>
        <w:numPr>
          <w:ilvl w:val="0"/>
          <w:numId w:val="1"/>
        </w:numPr>
        <w:spacing w:after="70"/>
      </w:pPr>
      <w:r>
        <w:t xml:space="preserve">Resolución de pantalla: mínima 1024x768 píxeles.</w:t>
      </w:r>
    </w:p>
    <w:p>
      <w:pPr>
        <w:pStyle w:val="ListParagraph"/>
        <w:numPr>
          <w:ilvl w:val="0"/>
          <w:numId w:val="1"/>
        </w:numPr>
        <w:spacing w:after="70"/>
      </w:pPr>
      <w:r>
        <w:t xml:space="preserve">Framework: .NET moderno (versión SDK-style, según el entorno Visual Studio utilizado).</w:t>
      </w:r>
    </w:p>
    <w:p>
      <w:pPr>
        <w:pStyle w:val="ListParagraph"/>
        <w:numPr>
          <w:ilvl w:val="0"/>
          <w:numId w:val="1"/>
        </w:numPr>
        <w:spacing w:after="70"/>
      </w:pPr>
      <w:r>
        <w:t xml:space="preserve">Base de datos: Microsoft SQL Server, instalado localmente o accesible por red LAN.</w:t>
      </w:r>
    </w:p>
    <w:p>
      <w:pPr>
        <w:pStyle w:val="Heading3"/>
        <w:spacing w:after="100" w:before="180"/>
      </w:pPr>
      <w:r>
        <w:t xml:space="preserve">Instalación</w:t>
      </w:r>
    </w:p>
    <w:p>
      <w:pPr>
        <w:pStyle w:val="ListParagraph"/>
        <w:numPr>
          <w:ilvl w:val="0"/>
          <w:numId w:val="1"/>
        </w:numPr>
        <w:spacing w:after="70"/>
      </w:pPr>
      <w:r>
        <w:t xml:space="preserve">Ejecute el instalador del SGIG y siga los pasos que se muestran en pantalla.</w:t>
      </w:r>
    </w:p>
    <w:p>
      <w:pPr>
        <w:pStyle w:val="ListParagraph"/>
        <w:numPr>
          <w:ilvl w:val="0"/>
          <w:numId w:val="1"/>
        </w:numPr>
        <w:spacing w:after="70"/>
      </w:pPr>
      <w:r>
        <w:t xml:space="preserve">Haga doble clic sobre el acceso directo creado en el escritorio para iniciar la aplicación.</w:t>
      </w:r>
    </w:p>
    <w:p>
      <w:pPr>
        <w:pStyle w:val="Heading2"/>
        <w:spacing w:after="120" w:before="240"/>
      </w:pPr>
      <w:r>
        <w:t xml:space="preserve">A.2 Acceso al sistema</w:t>
      </w:r>
    </w:p>
    <w:p>
      <w:pPr>
        <w:pStyle w:val="ListParagraph"/>
        <w:numPr>
          <w:ilvl w:val="0"/>
          <w:numId w:val="1"/>
        </w:numPr>
        <w:spacing w:after="70"/>
      </w:pPr>
      <w:r>
        <w:t xml:space="preserve">Al iniciar la aplicación se despliega la pantalla de autenticación (frmLogin).</w:t>
      </w:r>
    </w:p>
    <w:p>
      <w:pPr>
        <w:pStyle w:val="ListParagraph"/>
        <w:numPr>
          <w:ilvl w:val="0"/>
          <w:numId w:val="1"/>
        </w:numPr>
        <w:spacing w:after="70"/>
      </w:pPr>
      <w:r>
        <w:t xml:space="preserve">Ingrese su Nombre de Usuario (txtUsuario) y Contraseña (txtContrasenia).</w:t>
      </w:r>
    </w:p>
    <w:p>
      <w:pPr>
        <w:pStyle w:val="ListParagraph"/>
        <w:numPr>
          <w:ilvl w:val="0"/>
          <w:numId w:val="1"/>
        </w:numPr>
        <w:spacing w:after="70"/>
      </w:pPr>
      <w:r>
        <w:t xml:space="preserve">Presione el botón btnIngresar.</w:t>
      </w:r>
    </w:p>
    <w:p>
      <w:pPr>
        <w:pStyle w:val="ListParagraph"/>
        <w:numPr>
          <w:ilvl w:val="0"/>
          <w:numId w:val="1"/>
        </w:numPr>
        <w:spacing w:after="70"/>
      </w:pPr>
      <w:r>
        <w:t xml:space="preserve">El sistema habilitará las opciones del menú principal según el rol asignado a su usuario: Administrador, Recepcionista o Técnico.</w:t>
      </w:r>
    </w:p>
    <w:p>
      <w:pPr>
        <w:spacing w:after="160"/>
      </w:pPr>
      <w:r>
        <w:t xml:space="preserve">Si el usuario o la contraseña son incorrectos, el sistema mostrará un mensaje de error y no permitirá continuar (RF#01).</w:t>
      </w:r>
    </w:p>
    <w:p>
      <w:pPr>
        <w:pStyle w:val="Heading2"/>
        <w:spacing w:after="120" w:before="240"/>
      </w:pPr>
      <w:r>
        <w:t xml:space="preserve">A.3 Visión general de la interfaz (MDIParent)</w:t>
      </w:r>
    </w:p>
    <w:p>
      <w:pPr>
        <w:spacing w:after="160"/>
      </w:pPr>
      <w:r>
        <w:t xml:space="preserve">El sistema utiliza una interfaz de múltiples documentos (MDIParent). Todas las pantallas auxiliares (formularios hijos) se abren dentro de la ventana principal:</w:t>
      </w:r>
    </w:p>
    <w:p>
      <w:pPr>
        <w:pStyle w:val="ListParagraph"/>
        <w:numPr>
          <w:ilvl w:val="0"/>
          <w:numId w:val="1"/>
        </w:numPr>
        <w:spacing w:after="70"/>
      </w:pPr>
      <w:r>
        <w:t xml:space="preserve">Barra de menú superior: contiene los accesos a las secciones habilitadas según el rol — Seguridad, Personas, Tesorería, Control de Acceso, Activos y Reportes.</w:t>
      </w:r>
    </w:p>
    <w:p>
      <w:pPr>
        <w:pStyle w:val="ListParagraph"/>
        <w:numPr>
          <w:ilvl w:val="0"/>
          <w:numId w:val="1"/>
        </w:numPr>
        <w:spacing w:after="70"/>
      </w:pPr>
      <w:r>
        <w:t xml:space="preserve">Área de trabajo central: espacio contenedor donde se muestran las grillas (por ejemplo dgvSocios, dgvMaquinas) y los formularios de carga (txtDocumento, cboPlanes, etc.).</w:t>
      </w:r>
    </w:p>
    <w:p>
      <w:pPr>
        <w:pStyle w:val="ListParagraph"/>
        <w:numPr>
          <w:ilvl w:val="0"/>
          <w:numId w:val="1"/>
        </w:numPr>
        <w:spacing w:after="70"/>
      </w:pPr>
      <w:r>
        <w:t xml:space="preserve">Barra de estado: muestra el usuario logueado, su rol y la fecha del sistema.</w:t>
      </w:r>
    </w:p>
    <w:p>
      <w:pPr>
        <w:pStyle w:val="Heading2"/>
        <w:spacing w:after="120" w:before="240"/>
      </w:pPr>
      <w:r>
        <w:t xml:space="preserve">A.4 Guía de operaciones — Rol Recepcionista</w:t>
      </w:r>
    </w:p>
    <w:p>
      <w:pPr>
        <w:pStyle w:val="Heading3"/>
        <w:spacing w:after="100" w:before="180"/>
      </w:pPr>
      <w:r>
        <w:t xml:space="preserve">A.4.1 Gestión de socios (alta, baja y modificación)</w:t>
      </w:r>
    </w:p>
    <w:p>
      <w:pPr>
        <w:pStyle w:val="ListParagraph"/>
        <w:numPr>
          <w:ilvl w:val="0"/>
          <w:numId w:val="1"/>
        </w:numPr>
        <w:spacing w:after="70"/>
      </w:pPr>
      <w:r>
        <w:t xml:space="preserve">En el menú superior, navegue a Personas &gt; Gestión de Socios.</w:t>
      </w:r>
    </w:p>
    <w:p>
      <w:pPr>
        <w:pStyle w:val="ListParagraph"/>
        <w:numPr>
          <w:ilvl w:val="0"/>
          <w:numId w:val="1"/>
        </w:numPr>
        <w:spacing w:after="70"/>
      </w:pPr>
      <w:r>
        <w:t xml:space="preserve">Para dar de alta un socio, presione btnNuevo e ingrese el número de documento en txtDocumento.</w:t>
      </w:r>
    </w:p>
    <w:p>
      <w:pPr>
        <w:pStyle w:val="ListParagraph"/>
        <w:numPr>
          <w:ilvl w:val="0"/>
          <w:numId w:val="1"/>
        </w:numPr>
        <w:spacing w:after="70"/>
      </w:pPr>
      <w:r>
        <w:t xml:space="preserve">Nota: si ese documento ya pertenece a una Persona registrada en el sistema (por ejemplo, alguien del personal), el sistema completa automáticamente el nombre, apellido y datos de contacto, sin necesidad de volver a cargarlos (RF#06).</w:t>
      </w:r>
    </w:p>
    <w:p>
      <w:pPr>
        <w:pStyle w:val="ListParagraph"/>
        <w:numPr>
          <w:ilvl w:val="0"/>
          <w:numId w:val="1"/>
        </w:numPr>
        <w:spacing w:after="70"/>
      </w:pPr>
      <w:r>
        <w:t xml:space="preserve">Complete los datos propios del socio: apto físico/médico y Plan de membresía (cboPlanes).</w:t>
      </w:r>
    </w:p>
    <w:p>
      <w:pPr>
        <w:pStyle w:val="ListParagraph"/>
        <w:numPr>
          <w:ilvl w:val="0"/>
          <w:numId w:val="1"/>
        </w:numPr>
        <w:spacing w:after="70"/>
      </w:pPr>
      <w:r>
        <w:t xml:space="preserve">El sistema no permitirá letras en el campo de documento y validará la estructura del correo electrónico (RF#09).</w:t>
      </w:r>
    </w:p>
    <w:p>
      <w:pPr>
        <w:pStyle w:val="ListParagraph"/>
        <w:numPr>
          <w:ilvl w:val="0"/>
          <w:numId w:val="1"/>
        </w:numPr>
        <w:spacing w:after="70"/>
      </w:pPr>
      <w:r>
        <w:t xml:space="preserve">Haga clic en btnGuardar.</w:t>
      </w:r>
    </w:p>
    <w:p>
      <w:pPr>
        <w:pStyle w:val="ListParagraph"/>
        <w:numPr>
          <w:ilvl w:val="0"/>
          <w:numId w:val="1"/>
        </w:numPr>
        <w:spacing w:after="70"/>
      </w:pPr>
      <w:r>
        <w:t xml:space="preserve">Para modificar, seleccione el socio en la grilla (dgvSocios), edite los datos y presione btnGuardar.</w:t>
      </w:r>
    </w:p>
    <w:p>
      <w:pPr>
        <w:pStyle w:val="ListParagraph"/>
        <w:numPr>
          <w:ilvl w:val="0"/>
          <w:numId w:val="1"/>
        </w:numPr>
        <w:spacing w:after="70"/>
      </w:pPr>
      <w:r>
        <w:t xml:space="preserve">Para dar de baja, seleccione el socio y presione btnEliminar. El sistema solicitará confirmación (MessageBox Sí/No) antes de efectuar la baja lógica (RNF#03).</w:t>
      </w:r>
    </w:p>
    <w:p>
      <w:pPr>
        <w:pStyle w:val="Heading3"/>
        <w:spacing w:after="100" w:before="180"/>
      </w:pPr>
      <w:r>
        <w:t xml:space="preserve">A.4.2 Registro de cobro de cuota</w:t>
      </w:r>
    </w:p>
    <w:p>
      <w:pPr>
        <w:pStyle w:val="ListParagraph"/>
        <w:numPr>
          <w:ilvl w:val="0"/>
          <w:numId w:val="1"/>
        </w:numPr>
        <w:spacing w:after="70"/>
      </w:pPr>
      <w:r>
        <w:t xml:space="preserve">Navegue a Tesorería &gt; Registrar Pago.</w:t>
      </w:r>
    </w:p>
    <w:p>
      <w:pPr>
        <w:pStyle w:val="ListParagraph"/>
        <w:numPr>
          <w:ilvl w:val="0"/>
          <w:numId w:val="1"/>
        </w:numPr>
        <w:spacing w:after="70"/>
      </w:pPr>
      <w:r>
        <w:t xml:space="preserve">Ingrese o busque el documento del socio en txtDocumento.</w:t>
      </w:r>
    </w:p>
    <w:p>
      <w:pPr>
        <w:pStyle w:val="ListParagraph"/>
        <w:numPr>
          <w:ilvl w:val="0"/>
          <w:numId w:val="1"/>
        </w:numPr>
        <w:spacing w:after="70"/>
      </w:pPr>
      <w:r>
        <w:t xml:space="preserve">Seleccione el Plan de membresía en cboPlanes; el sistema cargará el monto vigente y su periodicidad (Diaria, Semanal, Mensual o Anual).</w:t>
      </w:r>
    </w:p>
    <w:p>
      <w:pPr>
        <w:pStyle w:val="ListParagraph"/>
        <w:numPr>
          <w:ilvl w:val="0"/>
          <w:numId w:val="1"/>
        </w:numPr>
        <w:spacing w:after="70"/>
      </w:pPr>
      <w:r>
        <w:t xml:space="preserve">Elija el Medio de Pago (Efectivo, Tarjeta, Transferencia) en cboMedioPago.</w:t>
      </w:r>
    </w:p>
    <w:p>
      <w:pPr>
        <w:pStyle w:val="ListParagraph"/>
        <w:numPr>
          <w:ilvl w:val="0"/>
          <w:numId w:val="1"/>
        </w:numPr>
        <w:spacing w:after="70"/>
      </w:pPr>
      <w:r>
        <w:t xml:space="preserve">Haga clic en btnRegistrarPago.</w:t>
      </w:r>
    </w:p>
    <w:p>
      <w:pPr>
        <w:pStyle w:val="ListParagraph"/>
        <w:numPr>
          <w:ilvl w:val="0"/>
          <w:numId w:val="1"/>
        </w:numPr>
        <w:spacing w:after="70"/>
      </w:pPr>
      <w:r>
        <w:t xml:space="preserve">El sistema genera una Facturación para ese ciclo de cuota (con el monto vigente del plan), registra el Pago asociado, y calcula y actualiza automáticamente la nueva fecha de vencimiento de la cuota según la periodicidad del plan: un mes para Mensual, un año para Anual, siete días para Semanal, un día para Diario (RF#11, RF#12).</w:t>
      </w:r>
    </w:p>
    <w:p>
      <w:pPr>
        <w:pStyle w:val="Heading3"/>
        <w:spacing w:after="100" w:before="180"/>
      </w:pPr>
      <w:r>
        <w:t xml:space="preserve">A.4.3 Consulta de historial de pagos</w:t>
      </w:r>
    </w:p>
    <w:p>
      <w:pPr>
        <w:pStyle w:val="ListParagraph"/>
        <w:numPr>
          <w:ilvl w:val="0"/>
          <w:numId w:val="1"/>
        </w:numPr>
        <w:spacing w:after="70"/>
      </w:pPr>
      <w:r>
        <w:t xml:space="preserve">Navegue a Tesorería &gt; Historial de Pagos.</w:t>
      </w:r>
    </w:p>
    <w:p>
      <w:pPr>
        <w:pStyle w:val="ListParagraph"/>
        <w:numPr>
          <w:ilvl w:val="0"/>
          <w:numId w:val="1"/>
        </w:numPr>
        <w:spacing w:after="70"/>
      </w:pPr>
      <w:r>
        <w:t xml:space="preserve">Busque al socio por documento y visualice en dgvPagos el listado de facturaciones y pagos realizados, con fecha, plan, monto y medio de pago.</w:t>
      </w:r>
    </w:p>
    <w:p>
      <w:pPr>
        <w:pStyle w:val="Heading3"/>
        <w:spacing w:after="100" w:before="180"/>
      </w:pPr>
      <w:r>
        <w:t xml:space="preserve">A.4.4 Control de acceso rápido (Check-in)</w:t>
      </w:r>
    </w:p>
    <w:p>
      <w:pPr>
        <w:pStyle w:val="ListParagraph"/>
        <w:numPr>
          <w:ilvl w:val="0"/>
          <w:numId w:val="1"/>
        </w:numPr>
        <w:spacing w:after="70"/>
      </w:pPr>
      <w:r>
        <w:t xml:space="preserve">Abra la pantalla Control de Acceso &gt; Check-In.</w:t>
      </w:r>
    </w:p>
    <w:p>
      <w:pPr>
        <w:pStyle w:val="ListParagraph"/>
        <w:numPr>
          <w:ilvl w:val="0"/>
          <w:numId w:val="1"/>
        </w:numPr>
        <w:spacing w:after="70"/>
      </w:pPr>
      <w:r>
        <w:t xml:space="preserve">Ingrese el documento del socio en txtDocumento y presione Enter o haga clic en btnValidar.</w:t>
      </w:r>
    </w:p>
    <w:p>
      <w:pPr>
        <w:pStyle w:val="ListParagraph"/>
        <w:numPr>
          <w:ilvl w:val="0"/>
          <w:numId w:val="1"/>
        </w:numPr>
        <w:spacing w:after="70"/>
      </w:pPr>
      <w:r>
        <w:t xml:space="preserve">Respuesta visual instantánea, en menos de 2 segundos (RNF#01):</w:t>
      </w:r>
    </w:p>
    <w:p>
      <w:pPr>
        <w:pStyle w:val="ListParagraph"/>
        <w:numPr>
          <w:ilvl w:val="1"/>
          <w:numId w:val="1"/>
        </w:numPr>
        <w:spacing w:after="70"/>
      </w:pPr>
      <w:r>
        <w:t xml:space="preserve">Pantalla verde: Acceso Concedido (socio con cuota al día).</w:t>
      </w:r>
    </w:p>
    <w:p>
      <w:pPr>
        <w:pStyle w:val="ListParagraph"/>
        <w:numPr>
          <w:ilvl w:val="1"/>
          <w:numId w:val="1"/>
        </w:numPr>
        <w:spacing w:after="70"/>
      </w:pPr>
      <w:r>
        <w:t xml:space="preserve">Pantalla roja: Acceso Denegado (cuota vencida o socio no encontrado).</w:t>
      </w:r>
    </w:p>
    <w:p>
      <w:pPr>
        <w:pStyle w:val="ListParagraph"/>
        <w:numPr>
          <w:ilvl w:val="0"/>
          <w:numId w:val="1"/>
        </w:numPr>
        <w:spacing w:after="70"/>
      </w:pPr>
      <w:r>
        <w:t xml:space="preserve">Cada intento queda registrado automáticamente con fecha, hora y resultado (RF#17).</w:t>
      </w:r>
    </w:p>
    <w:p>
      <w:pPr>
        <w:pStyle w:val="Heading2"/>
        <w:spacing w:after="120" w:before="240"/>
      </w:pPr>
      <w:r>
        <w:t xml:space="preserve">A.5 Guía de operaciones — Rol Técnico</w:t>
      </w:r>
    </w:p>
    <w:p>
      <w:pPr>
        <w:pStyle w:val="Heading3"/>
        <w:spacing w:after="100" w:before="180"/>
      </w:pPr>
      <w:r>
        <w:t xml:space="preserve">A.5.1 Inventario de máquinas</w:t>
      </w:r>
    </w:p>
    <w:p>
      <w:pPr>
        <w:pStyle w:val="ListParagraph"/>
        <w:numPr>
          <w:ilvl w:val="0"/>
          <w:numId w:val="1"/>
        </w:numPr>
        <w:spacing w:after="70"/>
      </w:pPr>
      <w:r>
        <w:t xml:space="preserve">Navegue a Activos &gt; Inventario de Máquinas.</w:t>
      </w:r>
    </w:p>
    <w:p>
      <w:pPr>
        <w:pStyle w:val="ListParagraph"/>
        <w:numPr>
          <w:ilvl w:val="0"/>
          <w:numId w:val="1"/>
        </w:numPr>
        <w:spacing w:after="70"/>
      </w:pPr>
      <w:r>
        <w:t xml:space="preserve">Presione btnNuevo y complete la marca (txtMarca), el nombre o modelo (txtNombre) y la fecha de compra (dtpFechaCompra).</w:t>
      </w:r>
    </w:p>
    <w:p>
      <w:pPr>
        <w:pStyle w:val="ListParagraph"/>
        <w:numPr>
          <w:ilvl w:val="0"/>
          <w:numId w:val="1"/>
        </w:numPr>
        <w:spacing w:after="70"/>
      </w:pPr>
      <w:r>
        <w:t xml:space="preserve">Haga clic en btnGuardar. La máquina se registra con estado inicial “Operativa”.</w:t>
      </w:r>
    </w:p>
    <w:p>
      <w:pPr>
        <w:pStyle w:val="ListParagraph"/>
        <w:numPr>
          <w:ilvl w:val="0"/>
          <w:numId w:val="1"/>
        </w:numPr>
        <w:spacing w:after="70"/>
      </w:pPr>
      <w:r>
        <w:t xml:space="preserve">La grilla dgvMaquinas muestra en todo momento el equipamiento y el estado actual de cada unidad.</w:t>
      </w:r>
    </w:p>
    <w:p>
      <w:pPr>
        <w:pStyle w:val="Heading3"/>
        <w:spacing w:after="100" w:before="180"/>
      </w:pPr>
      <w:r>
        <w:t xml:space="preserve">A.5.2 Registro de un mantenimiento</w:t>
      </w:r>
    </w:p>
    <w:p>
      <w:pPr>
        <w:pStyle w:val="ListParagraph"/>
        <w:numPr>
          <w:ilvl w:val="0"/>
          <w:numId w:val="1"/>
        </w:numPr>
        <w:spacing w:after="70"/>
      </w:pPr>
      <w:r>
        <w:t xml:space="preserve">En el inventario, seleccione la máquina a reparar y haga clic en btnMantenimiento.</w:t>
      </w:r>
    </w:p>
    <w:p>
      <w:pPr>
        <w:pStyle w:val="ListParagraph"/>
        <w:numPr>
          <w:ilvl w:val="0"/>
          <w:numId w:val="1"/>
        </w:numPr>
        <w:spacing w:after="70"/>
      </w:pPr>
      <w:r>
        <w:t xml:space="preserve">Complete el detalle técnico del trabajo (txtDetalleTecnico).</w:t>
      </w:r>
    </w:p>
    <w:p>
      <w:pPr>
        <w:pStyle w:val="ListParagraph"/>
        <w:numPr>
          <w:ilvl w:val="0"/>
          <w:numId w:val="1"/>
        </w:numPr>
        <w:spacing w:after="70"/>
      </w:pPr>
      <w:r>
        <w:t xml:space="preserve">El sistema toma automáticamente al usuario logueado como el técnico a cargo del mantenimiento (RF#19).</w:t>
      </w:r>
    </w:p>
    <w:p>
      <w:pPr>
        <w:pStyle w:val="ListParagraph"/>
        <w:numPr>
          <w:ilvl w:val="0"/>
          <w:numId w:val="1"/>
        </w:numPr>
        <w:spacing w:after="70"/>
      </w:pPr>
      <w:r>
        <w:t xml:space="preserve">Al guardar, el sistema cambia automáticamente el estado de la máquina a “En Reparación” (RF#20).</w:t>
      </w:r>
    </w:p>
    <w:p>
      <w:pPr>
        <w:pStyle w:val="Heading3"/>
        <w:spacing w:after="100" w:before="180"/>
      </w:pPr>
      <w:r>
        <w:t xml:space="preserve">A.5.3 Finalización de un mantenimiento</w:t>
      </w:r>
    </w:p>
    <w:p>
      <w:pPr>
        <w:pStyle w:val="ListParagraph"/>
        <w:numPr>
          <w:ilvl w:val="0"/>
          <w:numId w:val="1"/>
        </w:numPr>
        <w:spacing w:after="70"/>
      </w:pPr>
      <w:r>
        <w:t xml:space="preserve">Seleccione la máquina en reparación y presione btnFinalizarMantenimiento.</w:t>
      </w:r>
    </w:p>
    <w:p>
      <w:pPr>
        <w:pStyle w:val="ListParagraph"/>
        <w:numPr>
          <w:ilvl w:val="0"/>
          <w:numId w:val="1"/>
        </w:numPr>
        <w:spacing w:after="70"/>
      </w:pPr>
      <w:r>
        <w:t xml:space="preserve">El sistema registra la fecha de fin y restaura el estado de la máquina a “Operativa”.</w:t>
      </w:r>
    </w:p>
    <w:p>
      <w:pPr>
        <w:pStyle w:val="Heading3"/>
        <w:spacing w:after="100" w:before="180"/>
      </w:pPr>
      <w:r>
        <w:t xml:space="preserve">A.5.4 Consulta del historial de mantenimientos</w:t>
      </w:r>
    </w:p>
    <w:p>
      <w:pPr>
        <w:pStyle w:val="ListParagraph"/>
        <w:numPr>
          <w:ilvl w:val="0"/>
          <w:numId w:val="1"/>
        </w:numPr>
        <w:spacing w:after="70"/>
      </w:pPr>
      <w:r>
        <w:t xml:space="preserve">Navegue a Activos &gt; Historial de Mantenimientos.</w:t>
      </w:r>
    </w:p>
    <w:p>
      <w:pPr>
        <w:pStyle w:val="ListParagraph"/>
        <w:numPr>
          <w:ilvl w:val="0"/>
          <w:numId w:val="1"/>
        </w:numPr>
        <w:spacing w:after="70"/>
      </w:pPr>
      <w:r>
        <w:t xml:space="preserve">Seleccione una máquina para visualizar en dgvMantenimientos todas las reparaciones registradas, con sus fechas, el técnico responsable y el detalle técnico (RF#21).</w:t>
      </w:r>
    </w:p>
    <w:p>
      <w:pPr>
        <w:pStyle w:val="Heading2"/>
        <w:spacing w:after="120" w:before="240"/>
      </w:pPr>
      <w:r>
        <w:t xml:space="preserve">A.6 Guía de operaciones — Rol Administrador</w:t>
      </w:r>
    </w:p>
    <w:p>
      <w:pPr>
        <w:spacing w:after="160"/>
      </w:pPr>
      <w:r>
        <w:t xml:space="preserve">El Administrador tiene acceso de consulta a las operaciones de los demás roles, más las siguientes funciones exclusivas:</w:t>
      </w:r>
    </w:p>
    <w:p>
      <w:pPr>
        <w:pStyle w:val="Heading3"/>
        <w:spacing w:after="100" w:before="180"/>
      </w:pPr>
      <w:r>
        <w:t xml:space="preserve">A.6.1 Gestión de usuarios y roles</w:t>
      </w:r>
    </w:p>
    <w:p>
      <w:pPr>
        <w:pStyle w:val="ListParagraph"/>
        <w:numPr>
          <w:ilvl w:val="0"/>
          <w:numId w:val="1"/>
        </w:numPr>
        <w:spacing w:after="70"/>
      </w:pPr>
      <w:r>
        <w:t xml:space="preserve">Navegue a Seguridad &gt; Gestión de Usuarios.</w:t>
      </w:r>
    </w:p>
    <w:p>
      <w:pPr>
        <w:pStyle w:val="ListParagraph"/>
        <w:numPr>
          <w:ilvl w:val="0"/>
          <w:numId w:val="1"/>
        </w:numPr>
        <w:spacing w:after="70"/>
      </w:pPr>
      <w:r>
        <w:t xml:space="preserve">Presione btnNuevo e ingrese el documento de la persona en txtDocumento; si ya está registrada, sus datos personales se completan automáticamente.</w:t>
      </w:r>
    </w:p>
    <w:p>
      <w:pPr>
        <w:pStyle w:val="ListParagraph"/>
        <w:numPr>
          <w:ilvl w:val="0"/>
          <w:numId w:val="1"/>
        </w:numPr>
        <w:spacing w:after="70"/>
      </w:pPr>
      <w:r>
        <w:t xml:space="preserve">Cargue los datos laborales: legajo (txtLegajo, debe ser único) y fecha de ingreso (dtpFechaIngreso).</w:t>
      </w:r>
    </w:p>
    <w:p>
      <w:pPr>
        <w:pStyle w:val="ListParagraph"/>
        <w:numPr>
          <w:ilvl w:val="0"/>
          <w:numId w:val="1"/>
        </w:numPr>
        <w:spacing w:after="70"/>
      </w:pPr>
      <w:r>
        <w:t xml:space="preserve">Defina las credenciales de acceso (txtUsuario y txtContrasenia) y asigne el Rol correspondiente en cboRol: Administrador, Recepcionista o Técnico.</w:t>
      </w:r>
    </w:p>
    <w:p>
      <w:pPr>
        <w:pStyle w:val="ListParagraph"/>
        <w:numPr>
          <w:ilvl w:val="0"/>
          <w:numId w:val="1"/>
        </w:numPr>
        <w:spacing w:after="70"/>
      </w:pPr>
      <w:r>
        <w:t xml:space="preserve">Haga clic en btnGuardar. Solo las personas con usuario creado pueden iniciar sesión en el sistema.</w:t>
      </w:r>
    </w:p>
    <w:p>
      <w:pPr>
        <w:pStyle w:val="ListParagraph"/>
        <w:numPr>
          <w:ilvl w:val="0"/>
          <w:numId w:val="1"/>
        </w:numPr>
        <w:spacing w:after="70"/>
      </w:pPr>
      <w:r>
        <w:t xml:space="preserve">Para retirar el acceso a alguien del personal, selecciónelo en dgvUsuarios y presione btnEliminar; el sistema realiza una baja lógica preservando su historial.</w:t>
      </w:r>
    </w:p>
    <w:p>
      <w:pPr>
        <w:pStyle w:val="Heading3"/>
        <w:spacing w:after="100" w:before="180"/>
      </w:pPr>
      <w:r>
        <w:t xml:space="preserve">A.6.2 Administración de tablas paramétricas</w:t>
      </w:r>
    </w:p>
    <w:p>
      <w:pPr>
        <w:pStyle w:val="ListParagraph"/>
        <w:numPr>
          <w:ilvl w:val="0"/>
          <w:numId w:val="1"/>
        </w:numPr>
        <w:spacing w:after="70"/>
      </w:pPr>
      <w:r>
        <w:t xml:space="preserve">Navegue a Seguridad &gt; Tablas Paramétricas para mantener actualizados los catálogos de Localidades, Provincias, Roles, Tipos de Documento y Medios de Pago.</w:t>
      </w:r>
    </w:p>
    <w:p>
      <w:pPr>
        <w:pStyle w:val="Heading3"/>
        <w:spacing w:after="100" w:before="180"/>
      </w:pPr>
      <w:r>
        <w:t xml:space="preserve">A.6.3 Actualización de catálogo de planes y tarifas</w:t>
      </w:r>
    </w:p>
    <w:p>
      <w:pPr>
        <w:pStyle w:val="ListParagraph"/>
        <w:numPr>
          <w:ilvl w:val="0"/>
          <w:numId w:val="1"/>
        </w:numPr>
        <w:spacing w:after="70"/>
      </w:pPr>
      <w:r>
        <w:t xml:space="preserve">Navegue a Tesorería &gt; Administrar Planes.</w:t>
      </w:r>
    </w:p>
    <w:p>
      <w:pPr>
        <w:pStyle w:val="ListParagraph"/>
        <w:numPr>
          <w:ilvl w:val="0"/>
          <w:numId w:val="1"/>
        </w:numPr>
        <w:spacing w:after="70"/>
      </w:pPr>
      <w:r>
        <w:t xml:space="preserve">Seleccione un plan y edite el campo txtPrecio, o cree un nuevo plan indicando nombre y periodicidad (cboTipoPeriodicidad: Diario, Semanal, Mensual o Anual).</w:t>
      </w:r>
    </w:p>
    <w:p>
      <w:pPr>
        <w:pStyle w:val="ListParagraph"/>
        <w:numPr>
          <w:ilvl w:val="0"/>
          <w:numId w:val="1"/>
        </w:numPr>
        <w:spacing w:after="70"/>
      </w:pPr>
      <w:r>
        <w:t xml:space="preserve">Guarde los cambios. Esta modificación actualiza tarifas futuras sin afectar las facturaciones históricas ya emitidas (RF#13).</w:t>
      </w:r>
    </w:p>
    <w:p>
      <w:pPr>
        <w:pStyle w:val="Heading3"/>
        <w:spacing w:after="100" w:before="180"/>
      </w:pPr>
      <w:r>
        <w:t xml:space="preserve">A.6.4 Reporte de ingresos</w:t>
      </w:r>
    </w:p>
    <w:p>
      <w:pPr>
        <w:pStyle w:val="ListParagraph"/>
        <w:numPr>
          <w:ilvl w:val="0"/>
          <w:numId w:val="1"/>
        </w:numPr>
        <w:spacing w:after="70"/>
      </w:pPr>
      <w:r>
        <w:t xml:space="preserve">Navegue a Reportes &gt; Reporte de Ingresos.</w:t>
      </w:r>
    </w:p>
    <w:p>
      <w:pPr>
        <w:pStyle w:val="ListParagraph"/>
        <w:numPr>
          <w:ilvl w:val="0"/>
          <w:numId w:val="1"/>
        </w:numPr>
        <w:spacing w:after="70"/>
      </w:pPr>
      <w:r>
        <w:t xml:space="preserve">Seleccione el rango de fechas a analizar y presione btnGenerarReporte.</w:t>
      </w:r>
    </w:p>
    <w:p>
      <w:pPr>
        <w:pStyle w:val="ListParagraph"/>
        <w:numPr>
          <w:ilvl w:val="0"/>
          <w:numId w:val="1"/>
        </w:numPr>
        <w:spacing w:after="70"/>
      </w:pPr>
      <w:r>
        <w:t xml:space="preserve">El sistema mostrará el total recaudado por cuotas en el período y el detalle de los pagos que lo componen (RF#24).</w:t>
      </w:r>
    </w:p>
    <w:p>
      <w:pPr>
        <w:pStyle w:val="Heading3"/>
        <w:spacing w:after="100" w:before="180"/>
      </w:pPr>
      <w:r>
        <w:t xml:space="preserve">A.6.5 Copias de seguridad</w:t>
      </w:r>
    </w:p>
    <w:p>
      <w:pPr>
        <w:pStyle w:val="ListParagraph"/>
        <w:numPr>
          <w:ilvl w:val="0"/>
          <w:numId w:val="1"/>
        </w:numPr>
        <w:spacing w:after="70"/>
      </w:pPr>
      <w:r>
        <w:t xml:space="preserve">Navegue a Seguridad &gt; Copias de Seguridad.</w:t>
      </w:r>
    </w:p>
    <w:p>
      <w:pPr>
        <w:pStyle w:val="ListParagraph"/>
        <w:numPr>
          <w:ilvl w:val="0"/>
          <w:numId w:val="1"/>
        </w:numPr>
        <w:spacing w:after="70"/>
      </w:pPr>
      <w:r>
        <w:t xml:space="preserve">Presione btnGenerarBackup para crear una copia de la base de datos en la ubicación indicada.</w:t>
      </w:r>
    </w:p>
    <w:p>
      <w:pPr>
        <w:pStyle w:val="ListParagraph"/>
        <w:numPr>
          <w:ilvl w:val="0"/>
          <w:numId w:val="1"/>
        </w:numPr>
        <w:spacing w:after="70"/>
      </w:pPr>
      <w:r>
        <w:t xml:space="preserve">Presione btnRestaurarBackup y seleccione un archivo de copia previamente generado para restaurar la información.</w:t>
      </w:r>
    </w:p>
    <w:sectPr>
      <w:footerReference w:type="default" r:id="rId10"/>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SGIG — Especificación de Requisitos de Software  |  Página </w:t>
    </w:r>
    <w:r>
      <w:rPr>
        <w:color w:val="444444"/>
        <w:sz w:val="16"/>
        <w:szCs w:val="16"/>
      </w:rPr>
      <w:fldChar w:fldCharType="begin"/>
      <w:instrText xml:space="preserve">PAGE</w:instrText>
      <w:fldChar w:fldCharType="separate"/>
      <w:fldChar w:fldCharType="end"/>
    </w:r>
    <w:r>
      <w:rPr>
        <w:color w:val="444444"/>
        <w:sz w:val="16"/>
        <w:szCs w:val="16"/>
      </w:rPr>
      <w:t xml:space="preserve"> de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60" w:before="320"/>
    </w:pPr>
    <w:rPr>
      <w:rFonts w:ascii="Calibri" w:cs="Calibri" w:eastAsia="Calibri" w:hAnsi="Calibri"/>
      <w:b/>
      <w:bCs/>
      <w:color w:val="000000"/>
      <w:sz w:val="30"/>
      <w:szCs w:val="30"/>
    </w:rPr>
  </w:style>
  <w:style w:type="paragraph" w:styleId="Heading2">
    <w:name w:val="Heading 2"/>
    <w:basedOn w:val="Normal"/>
    <w:next w:val="Normal"/>
    <w:qFormat/>
    <w:pPr>
      <w:spacing w:after="120" w:before="240"/>
    </w:pPr>
    <w:rPr>
      <w:rFonts w:ascii="Calibri" w:cs="Calibri" w:eastAsia="Calibri" w:hAnsi="Calibri"/>
      <w:b/>
      <w:bCs/>
      <w:color w:val="000000"/>
      <w:sz w:val="25"/>
      <w:szCs w:val="25"/>
    </w:rPr>
  </w:style>
  <w:style w:type="paragraph" w:styleId="Heading3">
    <w:name w:val="Heading 3"/>
    <w:basedOn w:val="Normal"/>
    <w:next w:val="Normal"/>
    <w:qFormat/>
    <w:pPr>
      <w:spacing w:after="100" w:before="180"/>
    </w:pPr>
    <w:rPr>
      <w:rFonts w:ascii="Calibri" w:cs="Calibri" w:eastAsia="Calibri" w:hAnsi="Calibri"/>
      <w:b/>
      <w:bCs/>
      <w:i/>
      <w:i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0c1b0bda3edb12cf35474e7443b7c0e504666892.png"/><Relationship Id="rId12" Type="http://schemas.openxmlformats.org/officeDocument/2006/relationships/image" Target="media/a6b6c3ccfffa21630e886c8b69f2d97219968912.png"/><Relationship Id="rId13" Type="http://schemas.openxmlformats.org/officeDocument/2006/relationships/image" Target="media/bbe0d933034d7043c7cbc3db80e20db0d77d5ad5.png"/><Relationship Id="rId14" Type="http://schemas.openxmlformats.org/officeDocument/2006/relationships/image" Target="media/6cdfa84afb4e41f006a2161603a5eaaac178601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2026-08-31T22:49:43.252Z</dcterms:created>
  <dcterms:modified xsi:type="dcterms:W3CDTF">2026-08-31T22:49:43.264Z</dcterms:modified>
</cp:coreProperties>
</file>

<file path=docProps/custom.xml><?xml version="1.0" encoding="utf-8"?>
<Properties xmlns="http://schemas.openxmlformats.org/officeDocument/2006/custom-properties" xmlns:vt="http://schemas.openxmlformats.org/officeDocument/2006/docPropsVTypes"/>
</file>