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ПЛАН РОЗРОБКИ  •  ВЕРСІЯ 3  •  ОНОВЛЕНО 24 ВЕРЕСНЯ 2026</w:t>
      </w:r>
    </w:p>
    <w:p>
      <w:pPr>
        <w:pStyle w:val="Title"/>
      </w:pPr>
      <w:r>
        <w:t>Training Analytics</w:t>
        <w:br/>
        <w:t>&amp; 3D Body Map</w:t>
      </w:r>
    </w:p>
    <w:p>
      <w:pPr>
        <w:pStyle w:val="Subtitle"/>
      </w:pPr>
      <w:r>
        <w:t>Локальна аналітика тренувань, зусилля, окремий облік навантаження та карта тіла</w:t>
      </w:r>
    </w:p>
    <w:p>
      <w:pPr/>
      <w:r>
        <w:t>Мета — бачити записані тренування, порівнювати результати за однакових умов і розуміти, наскільки важким був підхід за моїм приблизним RIR. Зовнішня вага, резинки та вправи з власною вагою матимуть окремі показники. Застосунок призначений для мого локального користування.</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Рамки проєкту. Це локальний персональний інструмент. Синтетичну історію створюємо лише в тестовій БД; production-записи не копіюємо. Відсутність тренувальної події за датою означає 0 тренувань. MS100 є окремою активністю. Зовнішню вагу, номінал резинки й власну вагу не складаємо в один тоннаж.</w:t>
            </w:r>
          </w:p>
        </w:tc>
      </w:tr>
    </w:tbl>
    <w:p>
      <w:pPr/>
    </w:p>
    <w:p>
      <w:pPr>
        <w:pStyle w:val="Heading1"/>
        <w:keepNext/>
      </w:pPr>
      <w:r>
        <w:t>Базові правила та масштабованість</w:t>
      </w:r>
    </w:p>
    <w:p>
      <w:pPr>
        <w:pStyle w:val="Bullets"/>
      </w:pPr>
      <w:r>
        <w:t>•  Дані та звіти відокремити від UI: один типізований analytics contract для API, графіків, карток, 3D і 2D. Контракт повертає окремі значення для зовнішнього навантаження, номіналу резинки та вправ із власною вагою.</w:t>
      </w:r>
    </w:p>
    <w:p>
      <w:pPr>
        <w:pStyle w:val="Bullets"/>
      </w:pPr>
      <w:r>
        <w:t>•  Додавання нової вправи або групи м’язів — через каталог, versioned mapping і його покриття тестами; не через ручне переписування аналітики, роутів чи палітри 3D.</w:t>
      </w:r>
    </w:p>
    <w:p>
      <w:pPr>
        <w:pStyle w:val="Bullets"/>
      </w:pPr>
      <w:r>
        <w:t>•  Історичні exercise/muscle snapshots і stable IDs залишаються незмінними; нові mapping versions не перекласифіковують старі записи мовчки. Mesh IDs 3D-моделі зіставляються з taxonomy через окремий manifest.</w:t>
      </w:r>
    </w:p>
    <w:p>
      <w:pPr>
        <w:pStyle w:val="Bullets"/>
      </w:pPr>
      <w:r>
        <w:t>•  RIR — моя приблизна оцінка повторень, які ще залишалися. Показувати число та його розподіл; 0–1 означає дуже близько до відмови, 2–3 — близько, 4+ — більший запас, null — невідомо. Ці підписи описують самозвіт і не є діагнозом стимулу росту.</w:t>
      </w:r>
    </w:p>
    <w:p>
      <w:pPr>
        <w:pStyle w:val="Bullets"/>
      </w:pPr>
      <w:r>
        <w:t>•  Кожна вправа має зрозумілу основу введеної ваги: загальна вага системи, вага на одну руку/сторону, номінал резинки або власна вага. Множник ×2 дозволений лише для ваги на одну кінцівку, якщо обидві сторони виконали однакові підходи й повторення.</w:t>
      </w:r>
    </w:p>
    <w:p>
      <w:pPr>
        <w:pStyle w:val="Bullets"/>
      </w:pPr>
      <w:r>
        <w:t>•  Аналітика описує фактично записану роботу. RIR показує мій орієнтовний запас повторень, але не вимірює приріст м’яза та не перетворює підхід на науково підтверджений «ефективний сет». TDEE/Unified/physiology не змінюємо заради UI-звіту.</w:t>
      </w:r>
    </w:p>
    <w:p>
      <w:pPr>
        <w:pStyle w:val="Heading1"/>
        <w:keepNext/>
      </w:pPr>
      <w:r>
        <w:t>Правило запису тренування</w:t>
      </w:r>
    </w:p>
    <w:p>
      <w:pPr/>
      <w:r>
        <w:t>Для мого профілю діє правило: я записую кожне виконане тренування. Тому відсутність будь-якої тренувальної події за дату означає, що тренування не було. Це правило треба застосувати в усіх відповідних місцях проєкту.</w:t>
      </w:r>
    </w:p>
    <w:p>
      <w:pPr>
        <w:pStyle w:val="Bullets"/>
      </w:pPr>
      <w:r>
        <w:t>•  Відсутність workout event = 0 тренувань і 0 підходів за дату. Для неповного поточного тижня чи місяця показувати фактичні дані на цей момент.</w:t>
      </w:r>
    </w:p>
    <w:p>
      <w:pPr>
        <w:pStyle w:val="Bullets"/>
      </w:pPr>
      <w:r>
        <w:t>•  Якщо Workout існує без diary sets, тренувальна подія є, але деталізація вправ недоступна. Пов’язаний Workout і diary рахувати один раз.</w:t>
      </w:r>
    </w:p>
    <w:p>
      <w:pPr>
        <w:pStyle w:val="Bullets"/>
      </w:pPr>
      <w:r>
        <w:t>•  Правило нуля поширюється на факт тренування. Відсутні HR, кроки, вага, часткова синхронізація чи muscle mapping і далі мають власний стан unavailable/partial.</w:t>
      </w:r>
    </w:p>
    <w:p>
      <w:pPr>
        <w:pStyle w:val="Bullets"/>
      </w:pPr>
      <w:r>
        <w:t>•  Перед і під час реалізації перебрати весь репозиторій і змінити тренувальні helper-и, сторінки, history, API та тести, які трактують відсутність запису як невідомий тренувальний день. Окремо перевірити імпортовані події та зберегти їхню дедуплікацію. Не змінювати семантику пропущених біометричних вимірювань.</w:t>
      </w:r>
    </w:p>
    <w:p>
      <w:pPr>
        <w:pStyle w:val="Heading1"/>
        <w:keepNext/>
        <w:pageBreakBefore/>
      </w:pPr>
      <w:r>
        <w:t>Порядок роботи</w:t>
      </w:r>
    </w:p>
    <w:tbl>
      <w:tblPr>
        <w:tblW w:type="auto" w:w="0"/>
        <w:tblLayout w:type="fixed"/>
        <w:tblLook w:firstColumn="1" w:firstRow="1" w:lastColumn="0" w:lastRow="0" w:noHBand="0" w:noVBand="1" w:val="04A0"/>
      </w:tblPr>
      <w:tblGrid>
        <w:gridCol w:w="4734"/>
        <w:gridCol w:w="4734"/>
      </w:tblGrid>
      <w:tr>
        <w:trPr>
          <w:tblHeader w:val="true"/>
          <w:cantSplit/>
        </w:trPr>
        <w:tc>
          <w:tcPr>
            <w:tcW w:type="dxa" w:w="709"/>
            <w:shd w:fill="176B4A"/>
            <w:vAlign w:val="center"/>
            <w:tcMar>
              <w:top w:w="100" w:type="dxa"/>
              <w:start w:w="130" w:type="dxa"/>
              <w:bottom w:w="100" w:type="dxa"/>
              <w:end w:w="130" w:type="dxa"/>
            </w:tcMar>
          </w:tcPr>
          <w:p>
            <w:pPr>
              <w:spacing w:after="0"/>
            </w:pPr>
            <w:r>
              <w:rPr>
                <w:b/>
                <w:color w:val="FFFFFF"/>
                <w:sz w:val="16"/>
              </w:rPr>
              <w:t>Етап</w:t>
            </w:r>
          </w:p>
        </w:tc>
        <w:tc>
          <w:tcPr>
            <w:tcW w:type="dxa" w:w="8306"/>
            <w:shd w:fill="176B4A"/>
            <w:vAlign w:val="center"/>
            <w:tcMar>
              <w:top w:w="100" w:type="dxa"/>
              <w:start w:w="130" w:type="dxa"/>
              <w:bottom w:w="100" w:type="dxa"/>
              <w:end w:w="130" w:type="dxa"/>
            </w:tcMar>
          </w:tcPr>
          <w:p>
            <w:pPr>
              <w:spacing w:after="0"/>
            </w:pPr>
            <w:r>
              <w:rPr>
                <w:b/>
                <w:color w:val="FFFFFF"/>
                <w:sz w:val="16"/>
              </w:rPr>
              <w:t>Результат</w:t>
            </w:r>
          </w:p>
        </w:tc>
      </w:tr>
      <w:tr>
        <w:tc>
          <w:tcPr>
            <w:tcW w:type="dxa" w:w="4734"/>
          </w:tcPr>
          <w:p>
            <w:r>
              <w:t>00</w:t>
            </w:r>
          </w:p>
        </w:tc>
        <w:tc>
          <w:tcPr>
            <w:tcW w:type="dxa" w:w="4734"/>
          </w:tcPr>
          <w:p>
            <w:r>
              <w:t>Контракти нульового тренувального дня, RIR, обліку навантаження й рання перевірка 3D-кандидата</w:t>
            </w:r>
          </w:p>
        </w:tc>
      </w:tr>
      <w:tr>
        <w:trPr>
          <w:cantSplit/>
        </w:trPr>
        <w:tc>
          <w:tcPr>
            <w:tcW w:type="dxa" w:w="709"/>
            <w:vAlign w:val="center"/>
            <w:tcMar>
              <w:top w:w="75" w:type="dxa"/>
              <w:start w:w="130" w:type="dxa"/>
              <w:bottom w:w="75" w:type="dxa"/>
              <w:end w:w="130" w:type="dxa"/>
            </w:tcMar>
            <w:shd w:fill="F1F6F2"/>
          </w:tcPr>
          <w:p>
            <w:pPr>
              <w:spacing w:after="0"/>
            </w:pPr>
            <w:r>
              <w:rPr>
                <w:sz w:val="16"/>
              </w:rPr>
              <w:t>01</w:t>
            </w:r>
          </w:p>
        </w:tc>
        <w:tc>
          <w:tcPr>
            <w:tcW w:type="dxa" w:w="8306"/>
            <w:vAlign w:val="center"/>
            <w:tcMar>
              <w:top w:w="75" w:type="dxa"/>
              <w:start w:w="130" w:type="dxa"/>
              <w:bottom w:w="75" w:type="dxa"/>
              <w:end w:w="130" w:type="dxa"/>
            </w:tcMar>
            <w:shd w:fill="F1F6F2"/>
          </w:tcPr>
          <w:p>
            <w:pPr>
              <w:spacing w:after="0"/>
            </w:pPr>
            <w:r>
              <w:t>Локальний seed усіх канонічних вправ, три трендові сценарії та screenshot golden case</w:t>
            </w:r>
          </w:p>
        </w:tc>
      </w:tr>
      <w:tr>
        <w:trPr>
          <w:cantSplit/>
        </w:trPr>
        <w:tc>
          <w:tcPr>
            <w:tcW w:type="dxa" w:w="709"/>
            <w:vAlign w:val="center"/>
            <w:tcMar>
              <w:top w:w="75" w:type="dxa"/>
              <w:start w:w="130" w:type="dxa"/>
              <w:bottom w:w="75" w:type="dxa"/>
              <w:end w:w="130" w:type="dxa"/>
            </w:tcMar>
          </w:tcPr>
          <w:p>
            <w:pPr>
              <w:spacing w:after="0"/>
            </w:pPr>
            <w:r>
              <w:rPr>
                <w:sz w:val="16"/>
              </w:rPr>
              <w:t>02</w:t>
            </w:r>
          </w:p>
        </w:tc>
        <w:tc>
          <w:tcPr>
            <w:tcW w:type="dxa" w:w="8306"/>
            <w:vAlign w:val="center"/>
            <w:tcMar>
              <w:top w:w="75" w:type="dxa"/>
              <w:start w:w="130" w:type="dxa"/>
              <w:bottom w:w="75" w:type="dxa"/>
              <w:end w:w="130" w:type="dxa"/>
            </w:tcMar>
          </w:tcPr>
          <w:p>
            <w:pPr>
              <w:spacing w:after="0"/>
            </w:pPr>
            <w:r>
              <w:t>Розділені версійовані показники зовнішнього навантаження, резинок і власної ваги</w:t>
            </w:r>
          </w:p>
        </w:tc>
      </w:tr>
      <w:tr>
        <w:trPr>
          <w:cantSplit/>
        </w:trPr>
        <w:tc>
          <w:tcPr>
            <w:tcW w:type="dxa" w:w="709"/>
            <w:vAlign w:val="center"/>
            <w:tcMar>
              <w:top w:w="75" w:type="dxa"/>
              <w:start w:w="130" w:type="dxa"/>
              <w:bottom w:w="75" w:type="dxa"/>
              <w:end w:w="130" w:type="dxa"/>
            </w:tcMar>
            <w:shd w:fill="F1F6F2"/>
          </w:tcPr>
          <w:p>
            <w:pPr>
              <w:spacing w:after="0"/>
            </w:pPr>
            <w:r>
              <w:rPr>
                <w:sz w:val="16"/>
              </w:rPr>
              <w:t>03</w:t>
            </w:r>
          </w:p>
        </w:tc>
        <w:tc>
          <w:tcPr>
            <w:tcW w:type="dxa" w:w="8306"/>
            <w:vAlign w:val="center"/>
            <w:tcMar>
              <w:top w:w="75" w:type="dxa"/>
              <w:start w:w="130" w:type="dxa"/>
              <w:bottom w:w="75" w:type="dxa"/>
              <w:end w:w="130" w:type="dxa"/>
            </w:tcMar>
            <w:shd w:fill="F1F6F2"/>
          </w:tcPr>
          <w:p>
            <w:pPr>
              <w:spacing w:after="0"/>
            </w:pPr>
            <w:r>
              <w:t>Training Analytics Engine + API з єдиною семантикою 0 тренувань</w:t>
            </w:r>
          </w:p>
        </w:tc>
      </w:tr>
      <w:tr>
        <w:trPr>
          <w:cantSplit/>
        </w:trPr>
        <w:tc>
          <w:tcPr>
            <w:tcW w:type="dxa" w:w="709"/>
            <w:vAlign w:val="center"/>
            <w:tcMar>
              <w:top w:w="75" w:type="dxa"/>
              <w:start w:w="130" w:type="dxa"/>
              <w:bottom w:w="75" w:type="dxa"/>
              <w:end w:w="130" w:type="dxa"/>
            </w:tcMar>
          </w:tcPr>
          <w:p>
            <w:pPr>
              <w:spacing w:after="0"/>
            </w:pPr>
            <w:r>
              <w:rPr>
                <w:sz w:val="16"/>
              </w:rPr>
              <w:t>04</w:t>
            </w:r>
          </w:p>
        </w:tc>
        <w:tc>
          <w:tcPr>
            <w:tcW w:type="dxa" w:w="8306"/>
            <w:vAlign w:val="center"/>
            <w:tcMar>
              <w:top w:w="75" w:type="dxa"/>
              <w:start w:w="130" w:type="dxa"/>
              <w:bottom w:w="75" w:type="dxa"/>
              <w:end w:w="130" w:type="dxa"/>
            </w:tcMar>
          </w:tcPr>
          <w:p>
            <w:pPr>
              <w:spacing w:after="0"/>
            </w:pPr>
            <w:r>
              <w:t>Порівнюваний прогрес із RIR, load basis і порядком вправ</w:t>
            </w:r>
          </w:p>
        </w:tc>
      </w:tr>
      <w:tr>
        <w:trPr>
          <w:cantSplit/>
        </w:trPr>
        <w:tc>
          <w:tcPr>
            <w:tcW w:type="dxa" w:w="709"/>
            <w:vAlign w:val="center"/>
            <w:tcMar>
              <w:top w:w="75" w:type="dxa"/>
              <w:start w:w="130" w:type="dxa"/>
              <w:bottom w:w="75" w:type="dxa"/>
              <w:end w:w="130" w:type="dxa"/>
            </w:tcMar>
            <w:shd w:fill="F1F6F2"/>
          </w:tcPr>
          <w:p>
            <w:pPr>
              <w:spacing w:after="0"/>
            </w:pPr>
            <w:r>
              <w:rPr>
                <w:sz w:val="16"/>
              </w:rPr>
              <w:t>05</w:t>
            </w:r>
          </w:p>
        </w:tc>
        <w:tc>
          <w:tcPr>
            <w:tcW w:type="dxa" w:w="8306"/>
            <w:vAlign w:val="center"/>
            <w:tcMar>
              <w:top w:w="75" w:type="dxa"/>
              <w:start w:w="130" w:type="dxa"/>
              <w:bottom w:w="75" w:type="dxa"/>
              <w:end w:w="130" w:type="dxa"/>
            </w:tcMar>
            <w:shd w:fill="F1F6F2"/>
          </w:tcPr>
          <w:p>
            <w:pPr>
              <w:spacing w:after="0"/>
            </w:pPr>
            <w:r>
              <w:t>Muscle Group Analytics на поточному versioned mapping</w:t>
            </w:r>
          </w:p>
        </w:tc>
      </w:tr>
      <w:tr>
        <w:trPr>
          <w:cantSplit/>
        </w:trPr>
        <w:tc>
          <w:tcPr>
            <w:tcW w:type="dxa" w:w="709"/>
            <w:vAlign w:val="center"/>
            <w:tcMar>
              <w:top w:w="75" w:type="dxa"/>
              <w:start w:w="130" w:type="dxa"/>
              <w:bottom w:w="75" w:type="dxa"/>
              <w:end w:w="130" w:type="dxa"/>
            </w:tcMar>
          </w:tcPr>
          <w:p>
            <w:pPr>
              <w:spacing w:after="0"/>
            </w:pPr>
            <w:r>
              <w:rPr>
                <w:sz w:val="16"/>
              </w:rPr>
              <w:t>06</w:t>
            </w:r>
          </w:p>
        </w:tc>
        <w:tc>
          <w:tcPr>
            <w:tcW w:type="dxa" w:w="8306"/>
            <w:vAlign w:val="center"/>
            <w:tcMar>
              <w:top w:w="75" w:type="dxa"/>
              <w:start w:w="130" w:type="dxa"/>
              <w:bottom w:w="75" w:type="dxa"/>
              <w:end w:w="130" w:type="dxa"/>
            </w:tcMar>
          </w:tcPr>
          <w:p>
            <w:pPr>
              <w:spacing w:after="0"/>
            </w:pPr>
            <w:r>
              <w:t>Окремі звіти Stepper / Lower Body Activity</w:t>
            </w:r>
          </w:p>
        </w:tc>
      </w:tr>
      <w:tr>
        <w:trPr>
          <w:cantSplit/>
        </w:trPr>
        <w:tc>
          <w:tcPr>
            <w:tcW w:type="dxa" w:w="709"/>
            <w:vAlign w:val="center"/>
            <w:tcMar>
              <w:top w:w="75" w:type="dxa"/>
              <w:start w:w="130" w:type="dxa"/>
              <w:bottom w:w="75" w:type="dxa"/>
              <w:end w:w="130" w:type="dxa"/>
            </w:tcMar>
            <w:shd w:fill="F1F6F2"/>
          </w:tcPr>
          <w:p>
            <w:pPr>
              <w:spacing w:after="0"/>
            </w:pPr>
            <w:r>
              <w:rPr>
                <w:sz w:val="16"/>
              </w:rPr>
              <w:t>07</w:t>
            </w:r>
          </w:p>
        </w:tc>
        <w:tc>
          <w:tcPr>
            <w:tcW w:type="dxa" w:w="8306"/>
            <w:vAlign w:val="center"/>
            <w:tcMar>
              <w:top w:w="75" w:type="dxa"/>
              <w:start w:w="130" w:type="dxa"/>
              <w:bottom w:w="75" w:type="dxa"/>
              <w:end w:w="130" w:type="dxa"/>
            </w:tcMar>
            <w:shd w:fill="F1F6F2"/>
          </w:tcPr>
          <w:p>
            <w:pPr>
              <w:spacing w:after="0"/>
            </w:pPr>
            <w:r>
              <w:t>Training Reports UI і новий маршрут у головному меню</w:t>
            </w:r>
          </w:p>
        </w:tc>
      </w:tr>
      <w:tr>
        <w:trPr>
          <w:cantSplit/>
        </w:trPr>
        <w:tc>
          <w:tcPr>
            <w:tcW w:type="dxa" w:w="709"/>
            <w:vAlign w:val="center"/>
            <w:tcMar>
              <w:top w:w="75" w:type="dxa"/>
              <w:start w:w="130" w:type="dxa"/>
              <w:bottom w:w="75" w:type="dxa"/>
              <w:end w:w="130" w:type="dxa"/>
            </w:tcMar>
          </w:tcPr>
          <w:p>
            <w:pPr>
              <w:spacing w:after="0"/>
            </w:pPr>
            <w:r>
              <w:rPr>
                <w:sz w:val="16"/>
              </w:rPr>
              <w:t>08</w:t>
            </w:r>
          </w:p>
        </w:tc>
        <w:tc>
          <w:tcPr>
            <w:tcW w:type="dxa" w:w="8306"/>
            <w:vAlign w:val="center"/>
            <w:tcMar>
              <w:top w:w="75" w:type="dxa"/>
              <w:start w:w="130" w:type="dxa"/>
              <w:bottom w:w="75" w:type="dxa"/>
              <w:end w:w="130" w:type="dxa"/>
            </w:tcMar>
          </w:tcPr>
          <w:p>
            <w:pPr>
              <w:spacing w:after="0"/>
            </w:pPr>
            <w:r>
              <w:t>3D Body Map із перевіреним локальним asset та 2D fallback</w:t>
            </w:r>
          </w:p>
        </w:tc>
      </w:tr>
      <w:tr>
        <w:trPr>
          <w:cantSplit/>
        </w:trPr>
        <w:tc>
          <w:tcPr>
            <w:tcW w:type="dxa" w:w="709"/>
            <w:vAlign w:val="center"/>
            <w:tcMar>
              <w:top w:w="75" w:type="dxa"/>
              <w:start w:w="130" w:type="dxa"/>
              <w:bottom w:w="75" w:type="dxa"/>
              <w:end w:w="130" w:type="dxa"/>
            </w:tcMar>
            <w:shd w:fill="F1F6F2"/>
          </w:tcPr>
          <w:p>
            <w:pPr>
              <w:spacing w:after="0"/>
            </w:pPr>
            <w:r>
              <w:rPr>
                <w:sz w:val="16"/>
              </w:rPr>
              <w:t>09</w:t>
            </w:r>
          </w:p>
        </w:tc>
        <w:tc>
          <w:tcPr>
            <w:tcW w:type="dxa" w:w="8306"/>
            <w:vAlign w:val="center"/>
            <w:tcMar>
              <w:top w:w="75" w:type="dxa"/>
              <w:start w:w="130" w:type="dxa"/>
              <w:bottom w:w="75" w:type="dxa"/>
              <w:end w:w="130" w:type="dxa"/>
            </w:tcMar>
            <w:shd w:fill="F1F6F2"/>
          </w:tcPr>
          <w:p>
            <w:pPr>
              <w:spacing w:after="0"/>
            </w:pPr>
            <w:r>
              <w:t>Режими карти з явною метрикою і спільною легендою</w:t>
            </w:r>
          </w:p>
        </w:tc>
      </w:tr>
      <w:tr>
        <w:trPr>
          <w:cantSplit/>
        </w:trPr>
        <w:tc>
          <w:tcPr>
            <w:tcW w:type="dxa" w:w="709"/>
            <w:vAlign w:val="center"/>
            <w:tcMar>
              <w:top w:w="75" w:type="dxa"/>
              <w:start w:w="130" w:type="dxa"/>
              <w:bottom w:w="75" w:type="dxa"/>
              <w:end w:w="130" w:type="dxa"/>
            </w:tcMar>
          </w:tcPr>
          <w:p>
            <w:pPr>
              <w:spacing w:after="0"/>
            </w:pPr>
            <w:r>
              <w:rPr>
                <w:sz w:val="16"/>
              </w:rPr>
              <w:t>10</w:t>
            </w:r>
          </w:p>
        </w:tc>
        <w:tc>
          <w:tcPr>
            <w:tcW w:type="dxa" w:w="8306"/>
            <w:vAlign w:val="center"/>
            <w:tcMar>
              <w:top w:w="75" w:type="dxa"/>
              <w:start w:w="130" w:type="dxa"/>
              <w:bottom w:w="75" w:type="dxa"/>
              <w:end w:w="130" w:type="dxa"/>
            </w:tcMar>
          </w:tcPr>
          <w:p>
            <w:pPr>
              <w:spacing w:after="0"/>
            </w:pPr>
            <w:r>
              <w:t>Поточні correctness checks та фінальний integration/browser audit</w:t>
            </w:r>
          </w:p>
        </w:tc>
      </w:tr>
    </w:tbl>
    <w:p>
      <w:pPr/>
    </w:p>
    <w:p>
      <w:pPr>
        <w:pStyle w:val="Kicker"/>
      </w:pPr>
      <w:r>
        <w:t>ЕТАП  00</w:t>
      </w:r>
    </w:p>
    <w:p>
      <w:pPr>
        <w:pStyle w:val="Heading1"/>
      </w:pPr>
      <w:r>
        <w:t>Контракти даних і перевірка прикладу</w:t>
      </w:r>
    </w:p>
    <w:p>
      <w:pPr/>
      <w:r>
        <w:t>Спочатку зафіксувати правила тренувального дня, RIR і кожного виду навантаження. На цьому етапі також відтворити спірний підсумок зі знімка вручну за рядками підходів.</w:t>
      </w:r>
    </w:p>
    <w:p>
      <w:pPr>
        <w:pStyle w:val="Bullets"/>
      </w:pPr>
      <w:r>
        <w:t>•  Скласти список усіх місць у репозиторії, де відсутній workout event дає стан «невідомо, чи тренувався». Змінити всі тренувальні випадки на 0 подій і 0 записаних сетів за дату; Workout без set-деталей залишити подією з недоступною деталізацією.</w:t>
      </w:r>
    </w:p>
    <w:p>
      <w:pPr>
        <w:pStyle w:val="Bullets"/>
      </w:pPr>
      <w:r>
        <w:t>•  Затвердити основу ваги для кожної вправи: загальна вага інвентарю або системи, вага на одну руку/сторону, номінал резинки чи власна вага. Гіперекстензія зі знімка використовує всю записану вагу один раз, без ×2.</w:t>
      </w:r>
    </w:p>
    <w:p>
      <w:pPr>
        <w:pStyle w:val="Bullets"/>
      </w:pPr>
      <w:r>
        <w:t>•  Зафіксувати окремі результати: external-load volume у кг·повтореннях; band nominal volume у номінальних кг·повтореннях; bodyweight exposure у сетах і повтореннях із масою тіла на дату як контекст. Не складати їх у загальний фізично еквівалентний тоннаж.</w:t>
      </w:r>
    </w:p>
    <w:p>
      <w:pPr>
        <w:pStyle w:val="Bullets"/>
      </w:pPr>
      <w:r>
        <w:t>•  RIR зберігати як мою оцінку залишкових повторень. Для графіків показувати значення й орієнтовні групи 0–1, 2–3, 4+; пропущений RIR лишається невідомим. RIR ≤3 можна окремо показати як самозвіт про близькість до відмови, без твердження про гіпертрофію.</w:t>
      </w:r>
    </w:p>
    <w:p>
      <w:pPr>
        <w:pStyle w:val="Bullets"/>
      </w:pPr>
      <w:r>
        <w:t>•  У короткому технічному spike перевірити AI-згенерований GLB як основу локальної моделі. Приймати його лише після перевірки mesh-сегментів для вибору м’язів; очікувати ручного поділу. Якщо вибір частин ненадійний, використати стилізований 2D SVG або процедурну модель. Ліцензію фіксувати для локального приватного використання; повторно перевірити перед розповсюдженням.</w:t>
      </w:r>
    </w:p>
    <w:p>
      <w:pPr>
        <w:pStyle w:val="Bullets"/>
      </w:pPr>
      <w:r>
        <w:t>•  Умова готовності: перелік зачепленої тренувальної логіки, погоджені формули й одиниці, а також ручна звірка прикладу зі знімка з поясненням 3 127 проти 6 207 кг·повторень.</w:t>
      </w:r>
    </w:p>
    <w:p>
      <w:pPr>
        <w:pStyle w:val="Kicker"/>
        <w:keepNext/>
      </w:pPr>
      <w:r>
        <w:t>ЕТАП  01</w:t>
      </w:r>
    </w:p>
    <w:p>
      <w:pPr>
        <w:pStyle w:val="Heading1"/>
        <w:keepNext/>
      </w:pPr>
      <w:r>
        <w:t>Локальна тестова історія</w:t>
      </w:r>
    </w:p>
    <w:p>
      <w:pPr/>
      <w:r>
        <w:t>Створити повторюваний і безпечний synthetic seed без залежності від особистої серверної історії.</w:t>
      </w:r>
    </w:p>
    <w:p>
      <w:pPr>
        <w:pStyle w:val="Bullets"/>
      </w:pPr>
      <w:r>
        <w:t>•  Автоматично взяти всі канонічні stable keys із registry (у попередньому аудиті — близько 13) та додати окремі custom/unmapped вправи. Seed працює тільки в локальній тестовій БД; каталог користувача з production не копіювати.</w:t>
      </w:r>
    </w:p>
    <w:p>
      <w:pPr>
        <w:pStyle w:val="Bullets"/>
      </w:pPr>
      <w:r>
        <w:t>•  Для кожної канонічної вправи створити повторні записи протягом 10–12 тижнів із sets, reps, load basis, band nominal load, optional RIR, exercise order і snapshots. Додати серію MS100-сесій.</w:t>
      </w:r>
    </w:p>
    <w:p>
      <w:pPr>
        <w:pStyle w:val="Bullets"/>
      </w:pPr>
      <w:r>
        <w:t>•  Створити три наскрізні сценарії: прогрес, стійке погіршення за порівнюваних умов і плато. Для кожного підготувати очікувані числа сили, обсягу, регулярності та MS100.</w:t>
      </w:r>
    </w:p>
    <w:p>
      <w:pPr>
        <w:pStyle w:val="Bullets"/>
      </w:pPr>
      <w:r>
        <w:t>•  У кожному сценарії передбачити повторювані однакові позиції вправ та окремі контрольні перестановки: перша/остання вправа сесії і 1-ша/2-га/3-тя вправа на ту саму м’язову групу.</w:t>
      </w:r>
    </w:p>
    <w:p>
      <w:pPr>
        <w:pStyle w:val="Bullets"/>
      </w:pPr>
      <w:r>
        <w:t>•  Edge cases: retrospective backfill, редагування, null RIR/load, custom/unmapped row, matched Workout, дні без тренувань, зміна програми, partial current period, порядок вправ, обидві сторони vs одна сторона; для MS100 — HR/steps gaps, Garmin fallback, overlap, cross-midnight.</w:t>
      </w:r>
    </w:p>
    <w:p>
      <w:pPr>
        <w:pStyle w:val="Bullets"/>
      </w:pPr>
      <w:r>
        <w:t>•  Seed має детерміновані expected values, окремий namespace й видалення лише за цим namespace. Додати golden case зі знімка: 3 127 кг·повторень per-hand вправ + 1 540 кг·повторень гіперекстензії = 4 667 external-load кг·повторень; підтягування 87×18 = 1 566 bodyweight reference кг·повторень окремо; резинки — окремий номінальний показник.</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У локальній тестовій БД є всі канонічні вправи, custom/unmapped приклади й три очікувані трендові ряди. Screenshot golden case відтворює 4 667 external-load кг·повторень; band і bodyweight метрики залишаються окремими.</w:t>
            </w:r>
          </w:p>
        </w:tc>
      </w:tr>
    </w:tbl>
    <w:p>
      <w:pPr/>
    </w:p>
    <w:p>
      <w:pPr>
        <w:pStyle w:val="Kicker"/>
        <w:keepNext/>
      </w:pPr>
      <w:r>
        <w:t>ЕТАП  02</w:t>
      </w:r>
    </w:p>
    <w:p>
      <w:pPr>
        <w:pStyle w:val="Heading1"/>
        <w:keepNext/>
      </w:pPr>
      <w:r>
        <w:t>Розділений облік навантаження</w:t>
      </w:r>
    </w:p>
    <w:p>
      <w:pPr/>
      <w:r>
        <w:t>Поточні 3 127 кг·повторень не відображають усю вправу зі знімка, а розрахунок 6 207 кг·повторень подвоює гіперекстензію. Перебудувати облік за значенням поля ваги й реально виконаними сторонами, а не за загальним припущенням про вправу.</w:t>
      </w:r>
    </w:p>
    <w:p>
      <w:pPr>
        <w:pStyle w:val="Bullets"/>
      </w:pPr>
      <w:r>
        <w:t>•  Зовнішня вага (гантелі/штанга/тренажер): обсяг вправи дорівнює сумі записаних повторень × введену вагу × явний множник сторін. Зберегти погоджений ×1/×2 облік там, де basis ваги визначений.</w:t>
      </w:r>
    </w:p>
    <w:p>
      <w:pPr>
        <w:pStyle w:val="Bullets"/>
      </w:pPr>
      <w:r>
        <w:t>•  Вправи з власною вагою: рахувати сети, повторення, RIR і масу тіла на дату як контекст. 87 кг × 18 підтягувань = 1 566 кг·повторень довідкового bodyweight proxy; це не сила по всій амплітуді й не частина external-load тоннажу. Додану/асистовану вагу показувати окремим полем, якщо вона записана.</w:t>
      </w:r>
    </w:p>
    <w:p>
      <w:pPr>
        <w:pStyle w:val="Bullets"/>
      </w:pPr>
      <w:r>
        <w:t>•  Резинки: значення у кілограмах із маркування — номінальний рейтинг, а не постійна прикладена сила. Рахувати окремий band nominal index «маркування × повторення»; множити на сторони лише коли записана вага стосується однієї сторони й обидві виконані. Порівнювати такий індекс лише за однакових резинок і способу кріплення.</w:t>
      </w:r>
    </w:p>
    <w:p>
      <w:pPr>
        <w:pStyle w:val="Bullets"/>
      </w:pPr>
      <w:r>
        <w:t>•  Показувати окремо: external-load volume (кг·повторення), band nominal volume (номінальні кг·повторення), а також bodyweight sets/reps і масу тіла на дату. Загальну суму між цими компонентами не показувати.</w:t>
      </w:r>
    </w:p>
    <w:p>
      <w:pPr>
        <w:pStyle w:val="Bullets"/>
      </w:pPr>
      <w:r>
        <w:t>•  Не підставляти довільну частку маси тіла чи резинки. Якщо точна механічна оцінка недоступна, показати сети/повторення, джерело номіналу та coverage. Значення не перетворювати на нуль.</w:t>
      </w:r>
    </w:p>
    <w:p>
      <w:pPr>
        <w:pStyle w:val="Bullets"/>
      </w:pPr>
      <w:r>
        <w:t>•  Єдина версійна load-accounting функція для session detail, history, period reports і прогресу. Для кожного результату зберігати method/version і load basis; не змінювати workout-energy чи physiology.</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Введені ваги рахуються за явною домовленістю: one-hand load множиться на 2 лише для двох виконаних сторін, а повна вага системи в гіперекстензії — ×1. Band і bodyweight значення підписані окремо й не створюють загальний тоннаж.</w:t>
            </w:r>
          </w:p>
        </w:tc>
      </w:tr>
    </w:tbl>
    <w:p>
      <w:pPr/>
    </w:p>
    <w:p>
      <w:pPr>
        <w:pStyle w:val="Kicker"/>
        <w:keepNext/>
      </w:pPr>
      <w:r>
        <w:t>ЕТАП  03</w:t>
      </w:r>
    </w:p>
    <w:p>
      <w:pPr>
        <w:pStyle w:val="Heading1"/>
        <w:keepNext/>
      </w:pPr>
      <w:r>
        <w:t>Training Analytics Engine та API</w:t>
      </w:r>
    </w:p>
    <w:p>
      <w:pPr/>
      <w:r>
        <w:t>Створити read-only агрегатор із чіткими локальними межами та єдиним контрактом для звітів і Body Map.</w:t>
      </w:r>
    </w:p>
    <w:p>
      <w:pPr>
        <w:pStyle w:val="Bullets"/>
      </w:pPr>
      <w:r>
        <w:t>•  Періоди: одне тренування, 7/30/90 днів, calendar week/month, rolling 28 days та довільний діапазон; календарні та ковзні періоди не змішувати.</w:t>
      </w:r>
    </w:p>
    <w:p>
      <w:pPr>
        <w:pStyle w:val="Bullets"/>
      </w:pPr>
      <w:r>
        <w:t>•  Показники: logged sets, reps, кількість вправ і тренувальних днів, plan vs fact, RIR distribution, три окремі load outputs зі стадії 02, direct/indirect mapped sets і MS100 summary.</w:t>
      </w:r>
    </w:p>
    <w:p>
      <w:pPr>
        <w:pStyle w:val="Bullets"/>
      </w:pPr>
      <w:r>
        <w:t>•  Правило порожньої дати: за відсутності будь-якого запису тренування повертати 0 workout events, а не «невідомо, чи тренувався». Якщо є імпортована подія без сетів — подія існує, set detail unavailable.</w:t>
      </w:r>
    </w:p>
    <w:p>
      <w:pPr>
        <w:pStyle w:val="Bullets"/>
      </w:pPr>
      <w:r>
        <w:t>•  Dedup: matched diary+Workout як одна подія; event occurrence/backfill date, source revision, historical snapshots; мапінг і відсутні біометричні дані залишають окрему coverage/provenance семантику.</w:t>
      </w:r>
    </w:p>
    <w:p>
      <w:pPr>
        <w:pStyle w:val="Bullets"/>
      </w:pPr>
      <w:r>
        <w:t>•  Результат API має містити число, одиницю, method/version, джерело, load basis, mapping coverage і unavailable reason лише там, де даних справді бракує. Контракт не повертає змішаний «загальний тоннаж».</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Та сама сесія та період повертають однакові значення для UI/2D/3D. Дата без запису тренування повертає 0 подій; існуюча подія без set detail повертає unavailable лише для деталей вправ.</w:t>
            </w:r>
          </w:p>
        </w:tc>
      </w:tr>
    </w:tbl>
    <w:p>
      <w:pPr/>
    </w:p>
    <w:p>
      <w:pPr>
        <w:pStyle w:val="Kicker"/>
        <w:keepNext/>
      </w:pPr>
      <w:r>
        <w:t>ЕТАП  04</w:t>
      </w:r>
    </w:p>
    <w:p>
      <w:pPr>
        <w:pStyle w:val="Heading1"/>
        <w:keepNext/>
      </w:pPr>
      <w:r>
        <w:t>Exercise Progress &amp; Regression з контекстом порядку</w:t>
      </w:r>
    </w:p>
    <w:p>
      <w:pPr/>
      <w:r>
        <w:t>Порівнювати не просто назву вправи, а її виконання за дійсно співставних умов.</w:t>
      </w:r>
    </w:p>
    <w:p>
      <w:pPr>
        <w:pStyle w:val="Bullets"/>
      </w:pPr>
      <w:r>
        <w:t>•  Основні сигнали: записане навантаження, repetitions за тієї самої ваги, self-reported RIR, eligible best/top sets, окремі обсяги й регулярність. Зберігати сирий RIR; групи 0–1, 2–3, 4+ лише описують близькість за самозвітом. Null не заповнювати.</w:t>
      </w:r>
    </w:p>
    <w:p>
      <w:pPr>
        <w:pStyle w:val="Bullets"/>
      </w:pPr>
      <w:r>
        <w:t>•  Порівнюваний запис: stable exercise ID, resistance/load convention, load basis (повна вага чи вага на руку), обладнання/резинка за наявності, RIR, номер підходу та порядок вправ.</w:t>
      </w:r>
    </w:p>
    <w:p>
      <w:pPr>
        <w:pStyle w:val="Bullets"/>
      </w:pPr>
      <w:r>
        <w:t>•  Додатково визначати ordinal цієї вправи в межах тієї самої м’язової групи за historical snapshot: перша, друга, третя тощо. Окремо відзначати direct і indirect preceding exposure, не перетворюючи їх на довільний fatigue score.</w:t>
      </w:r>
    </w:p>
    <w:p>
      <w:pPr>
        <w:pStyle w:val="Bullets"/>
      </w:pPr>
      <w:r>
        <w:t>•  Якщо вправа колись була першою у тренуванні або першою для м’яза, а потім стала останньою/третьою, нижчий результат позначити як зміну контексту. Зіставляти лише схожий порядок і попередні direct/indirect exposures; не виводити fatigue score.</w:t>
      </w:r>
    </w:p>
    <w:p>
      <w:pPr>
        <w:pStyle w:val="Bullets"/>
      </w:pPr>
      <w:r>
        <w:t>•  Оцінювання прогресу, негативної динаміки й плато потребує кількох співставних дат і задокументованих tolerance. Один невдалий день не є регресом. RIR ≤3 можна показати як кількість близьких до відмови записаних сетів, не називати це виміром росту м’яза; усі інші сети залишаються у звичайному logged-set count.</w:t>
      </w:r>
    </w:p>
    <w:p>
      <w:pPr>
        <w:pStyle w:val="Bullets"/>
      </w:pPr>
      <w:r>
        <w:t>•  e1RM — тільки окремий опційний розрахунок у науково підтриманому exercise/rep/RIR domain. Не змішувати band/bodyweight і external load у силовому рейтингу.</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Три seed-сценарії класифікуються за кількома співставними датами. Зміна порядку або один невдалий день не створюють регрес; RIR показано як приблизне зусилля, null залишається невідомим.</w:t>
            </w:r>
          </w:p>
        </w:tc>
      </w:tr>
    </w:tbl>
    <w:p>
      <w:pPr/>
    </w:p>
    <w:p>
      <w:pPr>
        <w:pStyle w:val="Kicker"/>
        <w:keepNext/>
      </w:pPr>
      <w:r>
        <w:t>ЕТАП  05</w:t>
      </w:r>
    </w:p>
    <w:p>
      <w:pPr>
        <w:pStyle w:val="Heading1"/>
        <w:keepNext/>
      </w:pPr>
      <w:r>
        <w:t>Muscle Group Analytics</w:t>
      </w:r>
    </w:p>
    <w:p>
      <w:pPr/>
      <w:r>
        <w:t>Працюємо з поточними підтримуваними групами й усіма наявними вправами; нову анатомію наперед не додаємо.</w:t>
      </w:r>
    </w:p>
    <w:p>
      <w:pPr>
        <w:pStyle w:val="Bullets"/>
      </w:pPr>
      <w:r>
        <w:t>•  Для кожної mapped group: direct/indirect logged-set exposure, кількість сетів у RIR-групах, список вправ, частота, остання дата запису, розділені load outputs, прогрес лише у порівнюваних вправах і coverage.</w:t>
      </w:r>
    </w:p>
    <w:p>
      <w:pPr>
        <w:pStyle w:val="Bullets"/>
      </w:pPr>
      <w:r>
        <w:t>•  Класифікація майбутньої вправи/групи має додаватися через registry/mapping version, без зміни алгоритму period aggregation і без автоматичного переписування історії.</w:t>
      </w:r>
    </w:p>
    <w:p>
      <w:pPr>
        <w:pStyle w:val="Bullets"/>
      </w:pPr>
      <w:r>
        <w:t>•  Відсутність вправ на групу в заповненому журналі → 0 recorded mapped exposure; якщо є unmapped exercise, не стверджувати, що інша група не працювала. Стан «немає mapping» локальний для метрики, не для факту тренування.</w:t>
      </w:r>
    </w:p>
    <w:p>
      <w:pPr>
        <w:pStyle w:val="Bullets"/>
      </w:pPr>
      <w:r>
        <w:t>•  MS100 не конвертувати в силові сети ніг; показувати нижню частину тіла окремим activity layer.</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Нова вправа чи muscle ID підключається версійним mapping без зміни period aggregation; історична статистика не перекласифіковується мовчки.</w:t>
            </w:r>
          </w:p>
        </w:tc>
      </w:tr>
    </w:tbl>
    <w:p>
      <w:pPr/>
    </w:p>
    <w:p>
      <w:pPr>
        <w:pStyle w:val="Kicker"/>
        <w:keepNext/>
      </w:pPr>
      <w:r>
        <w:t>ЕТАП  06</w:t>
      </w:r>
    </w:p>
    <w:p>
      <w:pPr>
        <w:pStyle w:val="Heading1"/>
        <w:keepNext/>
      </w:pPr>
      <w:r>
        <w:t>Stepper / Lower Body Activity (MS100)</w:t>
      </w:r>
    </w:p>
    <w:p>
      <w:pPr/>
      <w:r>
        <w:t>MS100 — окрема локальна активність нижньої частини тіла. Її показники не переводити в силові підходи чи прогноз росту м’язів.</w:t>
      </w:r>
    </w:p>
    <w:p>
      <w:pPr>
        <w:pStyle w:val="Bullets"/>
      </w:pPr>
      <w:r>
        <w:t>•  Звіти за тренування/тиждень/місяць: sessions, elapsed duration, зафіксовані або явно оцінені steps, aggregate volume, average cadence за належного coverage та регулярність.</w:t>
      </w:r>
    </w:p>
    <w:p>
      <w:pPr>
        <w:pStyle w:val="Bullets"/>
      </w:pPr>
      <w:r>
        <w:t>•  Трендові сценарії для MS100: зростання/зниження/плато за співставних тривалості, покриття й режиму; не плутати більшу тривалість із автоматично кращою формою.</w:t>
      </w:r>
    </w:p>
    <w:p>
      <w:pPr>
        <w:pStyle w:val="Bullets"/>
      </w:pPr>
      <w:r>
        <w:t>•  Показувати BodyCast selected active kcal та mechanical assumptions/range, Garmin active kcal окремо; HR average/max і coverage як контекст без HR→kcal корекції без калібровки.</w:t>
      </w:r>
    </w:p>
    <w:p>
      <w:pPr>
        <w:pStyle w:val="Bullets"/>
      </w:pPr>
      <w:r>
        <w:t>•  Cross-midnight, overlapping walking та кілька workouts/day без double count; чинний workout-energy start-date policy зберегти.</w:t>
      </w:r>
    </w:p>
    <w:p>
      <w:pPr>
        <w:pStyle w:val="Bullets"/>
      </w:pPr>
      <w:r>
        <w:t>•  На карті — окремий «Степпер / ноги» з кроками, тривалістю, темпом і частотою. Не стверджувати, що це quantified stimulus квадрицепсів, сідниць чи литок.</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MS100 має окремі графіки й activity layer; його показники не зараховуються до силових сетів і узгоджені з чинним energy runtime.</w:t>
            </w:r>
          </w:p>
        </w:tc>
      </w:tr>
    </w:tbl>
    <w:p>
      <w:pPr/>
    </w:p>
    <w:p>
      <w:pPr>
        <w:pStyle w:val="Kicker"/>
        <w:keepNext/>
      </w:pPr>
      <w:r>
        <w:t>ЕТАП  07</w:t>
      </w:r>
    </w:p>
    <w:p>
      <w:pPr>
        <w:pStyle w:val="Heading1"/>
        <w:keepNext/>
      </w:pPr>
      <w:r>
        <w:t>Training Reports UI і маршрут у головному меню</w:t>
      </w:r>
    </w:p>
    <w:p>
      <w:pPr/>
      <w:r>
        <w:t>Зібрати з analytics API єдиний користувацький екран тренувальних результатів у стилі BodyCast.</w:t>
      </w:r>
    </w:p>
    <w:p>
      <w:pPr>
        <w:pStyle w:val="Bullets"/>
      </w:pPr>
      <w:r>
        <w:t>•  Загальні картки, період і попереднє порівняння, графіки вправ, зовнішній обсяг, nominal band index та bodyweight sets/reps окремо, muscle groups і вкладка MS100.</w:t>
      </w:r>
    </w:p>
    <w:p>
      <w:pPr>
        <w:pStyle w:val="Bullets"/>
      </w:pPr>
      <w:r>
        <w:t>•  Деталізація вправи показує: абсолютне місце у тренуванні, місце серед вправ тієї самої групи, попередні direct/indirect exposures, кількість підходів, порівнювані результати і тренд.</w:t>
      </w:r>
    </w:p>
    <w:p>
      <w:pPr>
        <w:pStyle w:val="Bullets"/>
      </w:pPr>
      <w:r>
        <w:t>•  Стани: день без записів → «тренування не було»/0; записана подія без сетів → «деталі вправ недоступні»; немає HR чи mapping → unavailable лише відповідної метрики.</w:t>
      </w:r>
    </w:p>
    <w:p>
      <w:pPr>
        <w:pStyle w:val="Bullets"/>
      </w:pPr>
      <w:r>
        <w:t>•  Показувати 0 тренувань у дату без запису; подію без set detail — як тренування з недоступною деталізацією. Показувати RIR як приблизну суб’єктивну складність підходу.</w:t>
      </w:r>
    </w:p>
    <w:p>
      <w:pPr>
        <w:pStyle w:val="Bullets"/>
      </w:pPr>
      <w:r>
        <w:t>•  Наприкінці UI-етапу створити окремий маршрут сторінки аналізу тренувань і впливу на тіло за conventions репозиторію; додати його в ГОЛОВНЕ меню, забезпечити desktop/mobile navigation, locale UK/EN та active-nav state.</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Новий розділ відкривається з головного меню, показує seed-сценарії, три окремі load outputs, RIR і MS100; числа відповідають API.</w:t>
            </w:r>
          </w:p>
        </w:tc>
      </w:tr>
    </w:tbl>
    <w:p>
      <w:pPr/>
    </w:p>
    <w:p>
      <w:pPr>
        <w:pStyle w:val="Kicker"/>
        <w:keepNext/>
      </w:pPr>
      <w:r>
        <w:t>ЕТАП  08</w:t>
      </w:r>
    </w:p>
    <w:p>
      <w:pPr>
        <w:pStyle w:val="Heading1"/>
        <w:keepNext/>
      </w:pPr>
      <w:r>
        <w:t>Інтерактивна 3D Body Map</w:t>
      </w:r>
    </w:p>
    <w:p>
      <w:pPr/>
      <w:r>
        <w:t>3D — відображення готових метрик, а не нова формула фізіології.</w:t>
      </w:r>
    </w:p>
    <w:p>
      <w:pPr>
        <w:pStyle w:val="Bullets"/>
      </w:pPr>
      <w:r>
        <w:t>•  360° rotate, front/back, zoom, hover/touch/click вибір доступної групи; синхронізація з картками й графіками. Показати тільки поточні mapped groups і окрему lower-body MS100 activity overlay.</w:t>
      </w:r>
    </w:p>
    <w:p>
      <w:pPr>
        <w:pStyle w:val="Bullets"/>
      </w:pPr>
      <w:r>
        <w:t>•  Data-driven manifest: versioned taxonomy ID ↔ asset mesh IDs; кількість вправ і груп не зашита в UI. Якщо AI-модель не має окремих вибірних поверхонь, зробити ручну сегментацію або залишити 2D SVG/list fallback.</w:t>
      </w:r>
    </w:p>
    <w:p>
      <w:pPr>
        <w:pStyle w:val="Bullets"/>
      </w:pPr>
      <w:r>
        <w:t>•  Використати ранній AI GLB spike зі стадії 00 або згенерувати новий локальний кандидат. AI може дати базову форму, але перед інтеграцією вручну перевірити анатомічні межі, окремі mesh IDs, орієнтацію та вибір м’язів. Для приватного локального користування license не є релізним блокером; записати походження та умови сервісу й повторно перевірити їх перед будь-яким розповсюдженням.</w:t>
      </w:r>
    </w:p>
    <w:p>
      <w:pPr>
        <w:pStyle w:val="Bullets"/>
      </w:pPr>
      <w:r>
        <w:t>•  Lazy load і mobile performance: контроль розміру asset, DPR, пам’яті, touch controls. Значення кольору завжди мають явну легенду та одиниці.</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3D/2D і картка групи показують той самий analytics contract; asset має коректні вибірні групи або доступний SVG/list fallback.</w:t>
            </w:r>
          </w:p>
        </w:tc>
      </w:tr>
    </w:tbl>
    <w:p>
      <w:pPr/>
    </w:p>
    <w:p>
      <w:pPr>
        <w:pStyle w:val="Kicker"/>
        <w:keepNext/>
      </w:pPr>
      <w:r>
        <w:t>ЕТАП  09</w:t>
      </w:r>
    </w:p>
    <w:p>
      <w:pPr>
        <w:pStyle w:val="Heading1"/>
        <w:keepNext/>
      </w:pPr>
      <w:r>
        <w:t>Режими карти та детальна аналітика</w:t>
      </w:r>
    </w:p>
    <w:p>
      <w:pPr/>
      <w:r>
        <w:t>Кожен режим карти має визначену метрику й легенду. Перший випуск містить direct exposure, indirect exposure, RIR distribution і окремий MS100 activity layer; не виводить оцінку гіпертрофії чи готовності м’яза.</w:t>
      </w:r>
    </w:p>
    <w:tbl>
      <w:tblPr>
        <w:tblW w:type="auto" w:w="0"/>
        <w:tblLayout w:type="fixed"/>
        <w:tblLook w:firstColumn="1" w:firstRow="1" w:lastColumn="0" w:lastRow="0" w:noHBand="0" w:noVBand="1" w:val="04A0"/>
      </w:tblPr>
      <w:tblGrid>
        <w:gridCol w:w="4734"/>
        <w:gridCol w:w="4734"/>
      </w:tblGrid>
      <w:tr>
        <w:trPr>
          <w:tblHeader w:val="true"/>
          <w:cantSplit/>
        </w:trPr>
        <w:tc>
          <w:tcPr>
            <w:tcW w:type="dxa" w:w="2324"/>
            <w:shd w:fill="176B4A"/>
            <w:vAlign w:val="center"/>
            <w:tcMar>
              <w:top w:w="100" w:type="dxa"/>
              <w:start w:w="130" w:type="dxa"/>
              <w:bottom w:w="100" w:type="dxa"/>
              <w:end w:w="130" w:type="dxa"/>
            </w:tcMar>
          </w:tcPr>
          <w:p>
            <w:pPr>
              <w:spacing w:after="0"/>
            </w:pPr>
            <w:r>
              <w:rPr>
                <w:b/>
                <w:color w:val="FFFFFF"/>
                <w:sz w:val="16"/>
              </w:rPr>
              <w:t>Режим</w:t>
            </w:r>
          </w:p>
        </w:tc>
        <w:tc>
          <w:tcPr>
            <w:tcW w:type="dxa" w:w="6690"/>
            <w:shd w:fill="176B4A"/>
            <w:vAlign w:val="center"/>
            <w:tcMar>
              <w:top w:w="100" w:type="dxa"/>
              <w:start w:w="130" w:type="dxa"/>
              <w:bottom w:w="100" w:type="dxa"/>
              <w:end w:w="130" w:type="dxa"/>
            </w:tcMar>
          </w:tcPr>
          <w:p>
            <w:pPr>
              <w:spacing w:after="0"/>
            </w:pPr>
            <w:r>
              <w:rPr>
                <w:b/>
                <w:color w:val="FFFFFF"/>
                <w:sz w:val="16"/>
              </w:rPr>
              <w:t>Дані</w:t>
            </w:r>
          </w:p>
        </w:tc>
      </w:tr>
      <w:tr>
        <w:trPr>
          <w:cantSplit/>
        </w:trPr>
        <w:tc>
          <w:tcPr>
            <w:tcW w:type="dxa" w:w="2324"/>
            <w:vAlign w:val="center"/>
            <w:tcMar>
              <w:top w:w="75" w:type="dxa"/>
              <w:start w:w="130" w:type="dxa"/>
              <w:bottom w:w="75" w:type="dxa"/>
              <w:end w:w="130" w:type="dxa"/>
            </w:tcMar>
            <w:shd w:fill="F1F6F2"/>
          </w:tcPr>
          <w:p>
            <w:pPr>
              <w:spacing w:after="0"/>
            </w:pPr>
            <w:r>
              <w:rPr>
                <w:sz w:val="16"/>
              </w:rPr>
              <w:t>Навантаження</w:t>
            </w:r>
          </w:p>
        </w:tc>
        <w:tc>
          <w:tcPr>
            <w:tcW w:type="dxa" w:w="6690"/>
            <w:vAlign w:val="center"/>
            <w:tcMar>
              <w:top w:w="75" w:type="dxa"/>
              <w:start w:w="130" w:type="dxa"/>
              <w:bottom w:w="75" w:type="dxa"/>
              <w:end w:w="130" w:type="dxa"/>
            </w:tcMar>
            <w:shd w:fill="F1F6F2"/>
          </w:tcPr>
          <w:p>
            <w:pPr>
              <w:spacing w:after="0"/>
            </w:pPr>
            <w:r>
              <w:t>External-load кг·повторень, band nominal kg·reps і bodyweight sets/reps окремо; direct/indirect mapped sets теж розділені.</w:t>
            </w:r>
          </w:p>
        </w:tc>
      </w:tr>
      <w:tr>
        <w:trPr>
          <w:cantSplit/>
        </w:trPr>
        <w:tc>
          <w:tcPr>
            <w:tcW w:type="dxa" w:w="2324"/>
            <w:vAlign w:val="center"/>
            <w:tcMar>
              <w:top w:w="75" w:type="dxa"/>
              <w:start w:w="130" w:type="dxa"/>
              <w:bottom w:w="75" w:type="dxa"/>
              <w:end w:w="130" w:type="dxa"/>
            </w:tcMar>
          </w:tcPr>
          <w:p>
            <w:pPr>
              <w:spacing w:after="0"/>
            </w:pPr>
            <w:r>
              <w:rPr>
                <w:sz w:val="16"/>
              </w:rPr>
              <w:t>Прогрес</w:t>
            </w:r>
          </w:p>
        </w:tc>
        <w:tc>
          <w:tcPr>
            <w:tcW w:type="dxa" w:w="6690"/>
            <w:vAlign w:val="center"/>
            <w:tcMar>
              <w:top w:w="75" w:type="dxa"/>
              <w:start w:w="130" w:type="dxa"/>
              <w:bottom w:w="75" w:type="dxa"/>
              <w:end w:w="130" w:type="dxa"/>
            </w:tcMar>
          </w:tcPr>
          <w:p>
            <w:pPr>
              <w:spacing w:after="0"/>
            </w:pPr>
            <w:r>
              <w:t>Стійка зміна співставних вправ із тим самим load basis, обладнанням і RIR-контекстом.</w:t>
            </w:r>
          </w:p>
        </w:tc>
      </w:tr>
      <w:tr>
        <w:trPr>
          <w:cantSplit/>
        </w:trPr>
        <w:tc>
          <w:tcPr>
            <w:tcW w:type="dxa" w:w="2324"/>
            <w:vAlign w:val="center"/>
            <w:tcMar>
              <w:top w:w="75" w:type="dxa"/>
              <w:start w:w="130" w:type="dxa"/>
              <w:bottom w:w="75" w:type="dxa"/>
              <w:end w:w="130" w:type="dxa"/>
            </w:tcMar>
            <w:shd w:fill="F1F6F2"/>
          </w:tcPr>
          <w:p>
            <w:pPr>
              <w:spacing w:after="0"/>
            </w:pPr>
            <w:r>
              <w:rPr>
                <w:sz w:val="16"/>
              </w:rPr>
              <w:t>Регрес</w:t>
            </w:r>
          </w:p>
        </w:tc>
        <w:tc>
          <w:tcPr>
            <w:tcW w:type="dxa" w:w="6690"/>
            <w:vAlign w:val="center"/>
            <w:tcMar>
              <w:top w:w="75" w:type="dxa"/>
              <w:start w:w="130" w:type="dxa"/>
              <w:bottom w:w="75" w:type="dxa"/>
              <w:end w:w="130" w:type="dxa"/>
            </w:tcMar>
            <w:shd w:fill="F1F6F2"/>
          </w:tcPr>
          <w:p>
            <w:pPr>
              <w:spacing w:after="0"/>
            </w:pPr>
            <w:r>
              <w:t>Лише повторний негативний тренд у співставних умовах; перестановка або один невдалий день не є регресом.</w:t>
            </w:r>
          </w:p>
        </w:tc>
      </w:tr>
      <w:tr>
        <w:trPr>
          <w:cantSplit/>
        </w:trPr>
        <w:tc>
          <w:tcPr>
            <w:tcW w:type="dxa" w:w="2324"/>
            <w:vAlign w:val="center"/>
            <w:tcMar>
              <w:top w:w="75" w:type="dxa"/>
              <w:start w:w="130" w:type="dxa"/>
              <w:bottom w:w="75" w:type="dxa"/>
              <w:end w:w="130" w:type="dxa"/>
            </w:tcMar>
          </w:tcPr>
          <w:p>
            <w:pPr>
              <w:spacing w:after="0"/>
            </w:pPr>
            <w:r>
              <w:rPr>
                <w:sz w:val="16"/>
              </w:rPr>
              <w:t>Регулярність</w:t>
            </w:r>
          </w:p>
        </w:tc>
        <w:tc>
          <w:tcPr>
            <w:tcW w:type="dxa" w:w="6690"/>
            <w:vAlign w:val="center"/>
            <w:tcMar>
              <w:top w:w="75" w:type="dxa"/>
              <w:start w:w="130" w:type="dxa"/>
              <w:bottom w:w="75" w:type="dxa"/>
              <w:end w:w="130" w:type="dxa"/>
            </w:tcMar>
          </w:tcPr>
          <w:p>
            <w:pPr>
              <w:spacing w:after="0"/>
            </w:pPr>
            <w:r>
              <w:t>Кількість записаних тренувальних днів і подій; дата без події має значення 0.</w:t>
            </w:r>
          </w:p>
        </w:tc>
      </w:tr>
      <w:tr>
        <w:trPr>
          <w:cantSplit/>
        </w:trPr>
        <w:tc>
          <w:tcPr>
            <w:tcW w:type="dxa" w:w="2324"/>
            <w:vAlign w:val="center"/>
            <w:tcMar>
              <w:top w:w="75" w:type="dxa"/>
              <w:start w:w="130" w:type="dxa"/>
              <w:bottom w:w="75" w:type="dxa"/>
              <w:end w:w="130" w:type="dxa"/>
            </w:tcMar>
            <w:shd w:fill="F1F6F2"/>
          </w:tcPr>
          <w:p>
            <w:pPr>
              <w:spacing w:after="0"/>
            </w:pPr>
            <w:r>
              <w:rPr>
                <w:sz w:val="16"/>
              </w:rPr>
              <w:t>Останнє навантаження</w:t>
            </w:r>
          </w:p>
        </w:tc>
        <w:tc>
          <w:tcPr>
            <w:tcW w:type="dxa" w:w="6690"/>
            <w:vAlign w:val="center"/>
            <w:tcMar>
              <w:top w:w="75" w:type="dxa"/>
              <w:start w:w="130" w:type="dxa"/>
              <w:bottom w:w="75" w:type="dxa"/>
              <w:end w:w="130" w:type="dxa"/>
            </w:tcMar>
            <w:shd w:fill="F1F6F2"/>
          </w:tcPr>
          <w:p>
            <w:pPr>
              <w:spacing w:after="0"/>
            </w:pPr>
            <w:r>
              <w:t xml:space="preserve">Дата останнього записаного навантаження, без вигаданого recovery %. </w:t>
            </w:r>
          </w:p>
        </w:tc>
      </w:tr>
      <w:tr>
        <w:trPr>
          <w:cantSplit/>
        </w:trPr>
        <w:tc>
          <w:tcPr>
            <w:tcW w:type="dxa" w:w="2324"/>
            <w:vAlign w:val="center"/>
            <w:tcMar>
              <w:top w:w="75" w:type="dxa"/>
              <w:start w:w="130" w:type="dxa"/>
              <w:bottom w:w="75" w:type="dxa"/>
              <w:end w:w="130" w:type="dxa"/>
            </w:tcMar>
          </w:tcPr>
          <w:p>
            <w:pPr>
              <w:spacing w:after="0"/>
            </w:pPr>
            <w:r>
              <w:rPr>
                <w:sz w:val="16"/>
              </w:rPr>
              <w:t>Степпер / ноги</w:t>
            </w:r>
          </w:p>
        </w:tc>
        <w:tc>
          <w:tcPr>
            <w:tcW w:type="dxa" w:w="6690"/>
            <w:vAlign w:val="center"/>
            <w:tcMar>
              <w:top w:w="75" w:type="dxa"/>
              <w:start w:w="130" w:type="dxa"/>
              <w:bottom w:w="75" w:type="dxa"/>
              <w:end w:w="130" w:type="dxa"/>
            </w:tcMar>
          </w:tcPr>
          <w:p>
            <w:pPr>
              <w:spacing w:after="0"/>
            </w:pPr>
            <w:r>
              <w:t>Окрема активність MS100: steps, cadence, duration, frequency і coverage.</w:t>
            </w:r>
          </w:p>
        </w:tc>
      </w:tr>
    </w:tbl>
    <w:p>
      <w:pPr/>
    </w:p>
    <w:p>
      <w:pPr>
        <w:pStyle w:val="Bullets"/>
      </w:pPr>
      <w:r>
        <w:t>•  Вибір групи відкриває вправи, set/reps/load history, позицію в тренуванні, volume breakdown, trend evidence і coverage. Немає mapping не дорівнює нульовій фізіологічній роботі.</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Кожен режим має визначену метрику, одиницю та легенду. Невідомий mapping не маскується як нульове фізіологічне навантаження.</w:t>
            </w:r>
          </w:p>
        </w:tc>
      </w:tr>
    </w:tbl>
    <w:p>
      <w:pPr/>
    </w:p>
    <w:p>
      <w:pPr>
        <w:pStyle w:val="Kicker"/>
        <w:keepNext/>
      </w:pPr>
      <w:r>
        <w:t>ЕТАП  10</w:t>
      </w:r>
    </w:p>
    <w:p>
      <w:pPr>
        <w:pStyle w:val="Heading1"/>
        <w:keepNext/>
      </w:pPr>
      <w:r>
        <w:t>Фінальний correctness і browser audit</w:t>
      </w:r>
    </w:p>
    <w:p>
      <w:pPr/>
      <w:r>
        <w:t>Перевірка числових контрактів і UX відбувається протягом етапів; фінальна — після інтеграції.</w:t>
      </w:r>
    </w:p>
    <w:p>
      <w:pPr>
        <w:pStyle w:val="Bullets"/>
      </w:pPr>
      <w:r>
        <w:t>•  Unit/regression: усі seed-вправи; прогрес/регрес/плато; вправа першою/останньою; перша/друга/третя для групи; RIR 0, 1, 2, 3, 4 і null; зміни mapping/version/backfill/edit.</w:t>
      </w:r>
    </w:p>
    <w:p>
      <w:pPr>
        <w:pStyle w:val="Bullets"/>
      </w:pPr>
      <w:r>
        <w:t>•  Load-accounting tests: external ×1/×2 за явним basis; hyperextension full-system load ×1; screenshot expected external total 4 667 кг·повторень; pull-up 1 566 bodyweight reference окремо; band 2 770,2 номінальних кг·повторень per logged side окремо; null/missing basis; жодного спільного підсумку між типами.</w:t>
      </w:r>
    </w:p>
    <w:p>
      <w:pPr>
        <w:pStyle w:val="Bullets"/>
      </w:pPr>
      <w:r>
        <w:t>•  API/integration: у будь-якому тренувальному endpoint відсутня подія → 0 тренувань; імпортований Workout без сетів → подія є/detail unavailable; missing HR/mapping → unavailable лише цієї метрики; matched-source dedup; date boundaries, unfinished period, MS100 overlap і cross-midnight.</w:t>
      </w:r>
    </w:p>
    <w:p>
      <w:pPr>
        <w:pStyle w:val="Bullets"/>
      </w:pPr>
      <w:r>
        <w:t>•  Новий маршрут у меню, UK/EN, selection і легенда, AI/3D asset або 2D fallback, performance й accessibility. Реальний браузер: 1920×1080, 1440, 768, 390 px; без horizontal overflow.</w:t>
      </w:r>
    </w:p>
    <w:p>
      <w:pPr>
        <w:pStyle w:val="Bullets"/>
      </w:pPr>
      <w:r>
        <w:t>•  Перевірки кожного етапу плюс фінальні unit, PostgreSQL integration, typecheck, lint, build і git diff --check. Перевірити, що виправлення workout-day semantics покриває весь репозиторій, а аналітика не змінює production energy/Unified/forecast без окремого обґрунтування.</w:t>
      </w:r>
    </w:p>
    <w:tbl>
      <w:tblPr>
        <w:tblW w:type="auto" w:w="0"/>
        <w:tblLook w:firstColumn="1" w:firstRow="1" w:lastColumn="0" w:lastRow="0" w:noHBand="0" w:noVBand="1" w:val="04A0"/>
      </w:tblPr>
      <w:tblGrid>
        <w:gridCol w:w="9468"/>
      </w:tblGrid>
      <w:tr>
        <w:tc>
          <w:tcPr>
            <w:tcW w:type="dxa" w:w="9468"/>
            <w:shd w:fill="EAF4ED"/>
            <w:tcMar>
              <w:top w:w="130" w:type="dxa"/>
              <w:start w:w="160" w:type="dxa"/>
              <w:bottom w:w="130" w:type="dxa"/>
              <w:end w:w="160" w:type="dxa"/>
            </w:tcMar>
          </w:tcPr>
          <w:p>
            <w:pPr>
              <w:spacing w:after="0"/>
            </w:pPr>
            <w:r>
              <w:t>Фінальна умова. Усі числа відтворюються на локальному seed; гіперекстензія рахується без ×2, пер-hand вправи — з ×2 лише за відомої домовленості, а band/bodyweight показники не додаються до external-load volume.</w:t>
            </w:r>
          </w:p>
        </w:tc>
      </w:tr>
    </w:tbl>
    <w:p>
      <w:pPr/>
    </w:p>
    <w:p>
      <w:pPr>
        <w:pStyle w:val="Heading1"/>
        <w:keepNext/>
      </w:pPr>
      <w:r>
        <w:t>Підсумкове рішення</w:t>
      </w:r>
    </w:p>
    <w:p>
      <w:pPr/>
      <w:r>
        <w:t>Спочатку узгоджуємо workout-day та metric contracts, змінюємо всі тренувальні трактування відсутнього запису й звіряємо screenshot golden case. Потім створюємо локальний seed, вводимо окремі показники зовнішньої ваги, резинок і власної ваги, будуємо порівнюваний прогрес із контекстом RIR та порядку вправ, MS100 і звіти. 2D карта працює разом із аналітикою; 3D додається після успішного локального asset spike.</w:t>
      </w:r>
    </w:p>
    <w:p>
      <w:pPr>
        <w:pStyle w:val="SmallNote"/>
      </w:pPr>
      <w:r>
        <w:t>Примітка до термінів: bodyweight означає вправи з масою тіла, наприклад підтягування. External load — введена загальна вага гантелі, штанги або системи. Band nominal index використовує маркування резинки й повторення, але не є сталою прикладеною силою по всій амплітуді. RIR — моя приблизна оцінка повторень у запасі.</w:t>
      </w:r>
    </w:p>
    <w:p>
      <w:pPr>
        <w:pStyle w:val="Heading1"/>
      </w:pPr>
      <w:r>
        <w:t>Джерела для RIR і AI-моделі</w:t>
      </w:r>
    </w:p>
    <w:p>
      <w:pPr>
        <w:pStyle w:val="Bullets"/>
      </w:pPr>
      <w:r>
        <w:t>•  Джерела щодо RIR: метааналіз Refalo et al. (2023) — https://pubmed.ncbi.nlm.nih.gov/36334240/; дослідження оцінки RIR Hickmott et al. (2024) — https://pubmed.ncbi.nlm.nih.gov/38595310/. Використовувати самозвіт як приблизний контекст зусилля; визначення й точність залежать від умов.</w:t>
      </w:r>
    </w:p>
    <w:p>
      <w:pPr>
        <w:pStyle w:val="Bullets"/>
      </w:pPr>
      <w:r>
        <w:t>•  AI-прототип моделі: офіційна документація Meshy описує генерацію з тексту, експорт GLB та ймовірнісний характер результату — https://help.meshy.ai/en/articles/9996858-how-to-use-meshy-text-to-3d; формати GLB/API — https://docs.meshy.ai/en/api/text-to-3d.</w:t>
      </w:r>
    </w:p>
    <w:sectPr w:rsidR="00FC693F" w:rsidRPr="0006063C" w:rsidSect="00034616">
      <w:headerReference w:type="default" r:id="rId9"/>
      <w:footerReference w:type="default" r:id="rId10"/>
      <w:pgSz w:w="11906" w:h="16838"/>
      <w:pgMar w:top="1191" w:right="1219" w:bottom="964" w:left="1219"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s="Liberation Sans"/>
        <w:b w:val="0"/>
        <w:color w:val="5B6B63"/>
        <w:sz w:val="15"/>
      </w:rPr>
      <w:t xml:space="preserve">Training Analytics &amp; 3D Body Map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D8E4DB" w:space="5"/>
      </w:pBdr>
    </w:pPr>
    <w:r>
      <w:rPr>
        <w:rFonts w:ascii="Liberation Sans" w:hAnsi="Liberation Sans" w:eastAsia="Liberation Sans" w:cs="Liberation Sans"/>
        <w:b/>
        <w:color w:val="176B4A"/>
        <w:sz w:val="15"/>
      </w:rPr>
      <w:t>BODYCAST  /  PRODUCT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Liberation Sans" w:hAnsi="Liberation Sans"/>
      <w:color w:val="1728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76B4A"/>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17282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176B4A"/>
      </w:pBdr>
      <w:spacing w:after="240" w:line="240" w:lineRule="auto" w:before="0"/>
      <w:contextualSpacing/>
    </w:pPr>
    <w:rPr>
      <w:rFonts w:asciiTheme="majorHAnsi" w:eastAsiaTheme="majorEastAsia" w:hAnsiTheme="majorHAnsi" w:cstheme="majorBidi" w:ascii="Liberation Sans" w:hAnsi="Liberation Sans"/>
      <w:b/>
      <w:color w:val="1728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5B6B6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80"/>
    </w:pPr>
    <w:rPr>
      <w:rFonts w:ascii="Liberation Sans" w:hAnsi="Liberation Sans"/>
      <w:b/>
      <w:color w:val="176B4A"/>
      <w:sz w:val="16"/>
    </w:rPr>
  </w:style>
  <w:style w:type="paragraph" w:customStyle="1" w:styleId="SmallMuted">
    <w:name w:val="SmallMuted"/>
    <w:pPr>
      <w:spacing w:after="80"/>
    </w:pPr>
    <w:rPr>
      <w:rFonts w:ascii="Liberation Sans" w:hAnsi="Liberation Sans"/>
      <w:color w:val="5B6B63"/>
      <w:sz w:val="16"/>
    </w:rPr>
  </w:style>
  <w:style w:type="paragraph" w:customStyle="1" w:styleId="Bullets">
    <w:name w:val="Bullets"/>
    <w:pPr>
      <w:spacing w:after="70"/>
      <w:ind w:left="283" w:hanging="153"/>
    </w:pPr>
    <w:rPr>
      <w:rFonts w:ascii="Liberation Sans" w:hAnsi="Liberation Sans"/>
      <w:color w:val="5B6B63"/>
      <w:sz w:val="18"/>
    </w:rPr>
  </w:style>
  <w:style w:type="paragraph" w:customStyle="1" w:styleId="Compact">
    <w:name w:val="Compact"/>
    <w:pPr>
      <w:spacing w:after="80"/>
    </w:pPr>
    <w:rPr>
      <w:rFonts w:ascii="Liberation Sans" w:hAnsi="Liberation Sans"/>
      <w:color w:val="5B6B63"/>
      <w:sz w:val="18"/>
    </w:rPr>
  </w:style>
  <w:style w:type="paragraph" w:customStyle="1" w:styleId="SmallNote">
    <w:name w:val="Small Note"/>
    <w:basedOn w:val="Normal"/>
    <w:pPr>
      <w:spacing w:after="100"/>
    </w:pPr>
    <w:rPr>
      <w:rFonts w:ascii="Liberation Sans" w:hAnsi="Liberation Sans"/>
      <w:color w:val="5B6B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BodyCast — Training Analytics &amp; 3D Body Map: scalable implementation plan v2</dc:title>
  <dc:subject>Edited implementation plan with scalable exercise mapping, workout-day semantics, mixed-load accounting, fixture scenarios and UI route</dc:subject>
  <dc:creator>BodyCast</dc:creator>
  <cp:keywords>BodyCast; training analytics; 3D body map; stepper</cp:keywords>
  <dc:description>generated by python-docx</dc:description>
  <cp:lastModifiedBy/>
  <cp:revision>1</cp:revision>
  <dcterms:created xsi:type="dcterms:W3CDTF">2013-12-23T23:15:00Z</dcterms:created>
  <dcterms:modified xsi:type="dcterms:W3CDTF">2013-12-23T23:15:00Z</dcterms:modified>
  <cp:category/>
</cp:coreProperties>
</file>