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B52FE" w14:textId="53F55EEA" w:rsidR="003D368D" w:rsidRPr="00F44DF2" w:rsidRDefault="00F44DF2" w:rsidP="00F44DF2">
      <w:pPr>
        <w:spacing w:after="0"/>
        <w:rPr>
          <w:rFonts w:ascii="Arial" w:hAnsi="Arial" w:cs="Arial"/>
          <w:sz w:val="24"/>
          <w:szCs w:val="24"/>
        </w:rPr>
      </w:pPr>
      <w:r w:rsidRPr="00F44DF2">
        <w:rPr>
          <w:rFonts w:ascii="Arial" w:hAnsi="Arial" w:cs="Arial"/>
          <w:sz w:val="24"/>
          <w:szCs w:val="24"/>
        </w:rPr>
        <w:t>Assignment 26: Introduction to Cloud Compliance</w:t>
      </w:r>
    </w:p>
    <w:p w14:paraId="610B85BB" w14:textId="77777777" w:rsidR="003D368D" w:rsidRPr="00F44DF2" w:rsidRDefault="00000000" w:rsidP="00F44DF2">
      <w:pPr>
        <w:spacing w:after="0"/>
        <w:rPr>
          <w:rFonts w:ascii="Arial" w:hAnsi="Arial" w:cs="Arial"/>
          <w:sz w:val="24"/>
          <w:szCs w:val="24"/>
        </w:rPr>
      </w:pPr>
      <w:r w:rsidRPr="00F44DF2">
        <w:rPr>
          <w:rFonts w:ascii="Arial" w:hAnsi="Arial" w:cs="Arial"/>
          <w:sz w:val="24"/>
          <w:szCs w:val="24"/>
        </w:rPr>
        <w:t>1. GDPR vs HIPAA — Cloud Data Storage</w:t>
      </w:r>
    </w:p>
    <w:tbl>
      <w:tblPr>
        <w:tblStyle w:val="TableGrid"/>
        <w:tblW w:w="0" w:type="auto"/>
        <w:jc w:val="center"/>
        <w:tblLook w:val="04A0" w:firstRow="1" w:lastRow="0" w:firstColumn="1" w:lastColumn="0" w:noHBand="0" w:noVBand="1"/>
      </w:tblPr>
      <w:tblGrid>
        <w:gridCol w:w="3312"/>
        <w:gridCol w:w="3312"/>
        <w:gridCol w:w="3312"/>
      </w:tblGrid>
      <w:tr w:rsidR="003D368D" w:rsidRPr="00F44DF2" w14:paraId="5391440A" w14:textId="77777777">
        <w:trPr>
          <w:jc w:val="center"/>
        </w:trPr>
        <w:tc>
          <w:tcPr>
            <w:tcW w:w="3312" w:type="dxa"/>
          </w:tcPr>
          <w:p w14:paraId="12163E43" w14:textId="77777777" w:rsidR="003D368D" w:rsidRPr="00F44DF2" w:rsidRDefault="00000000" w:rsidP="00F44DF2">
            <w:pPr>
              <w:rPr>
                <w:rFonts w:ascii="Arial" w:hAnsi="Arial" w:cs="Arial"/>
                <w:sz w:val="24"/>
                <w:szCs w:val="24"/>
              </w:rPr>
            </w:pPr>
            <w:r w:rsidRPr="00F44DF2">
              <w:rPr>
                <w:rFonts w:ascii="Arial" w:hAnsi="Arial" w:cs="Arial"/>
                <w:sz w:val="24"/>
                <w:szCs w:val="24"/>
              </w:rPr>
              <w:t>Point</w:t>
            </w:r>
          </w:p>
        </w:tc>
        <w:tc>
          <w:tcPr>
            <w:tcW w:w="3312" w:type="dxa"/>
          </w:tcPr>
          <w:p w14:paraId="7A5F5652" w14:textId="77777777" w:rsidR="003D368D" w:rsidRPr="00F44DF2" w:rsidRDefault="00000000" w:rsidP="00F44DF2">
            <w:pPr>
              <w:rPr>
                <w:rFonts w:ascii="Arial" w:hAnsi="Arial" w:cs="Arial"/>
                <w:sz w:val="24"/>
                <w:szCs w:val="24"/>
              </w:rPr>
            </w:pPr>
            <w:r w:rsidRPr="00F44DF2">
              <w:rPr>
                <w:rFonts w:ascii="Arial" w:hAnsi="Arial" w:cs="Arial"/>
                <w:sz w:val="24"/>
                <w:szCs w:val="24"/>
              </w:rPr>
              <w:t>GDPR</w:t>
            </w:r>
          </w:p>
        </w:tc>
        <w:tc>
          <w:tcPr>
            <w:tcW w:w="3312" w:type="dxa"/>
          </w:tcPr>
          <w:p w14:paraId="367F7AA8" w14:textId="77777777" w:rsidR="003D368D" w:rsidRPr="00F44DF2" w:rsidRDefault="00000000" w:rsidP="00F44DF2">
            <w:pPr>
              <w:rPr>
                <w:rFonts w:ascii="Arial" w:hAnsi="Arial" w:cs="Arial"/>
                <w:sz w:val="24"/>
                <w:szCs w:val="24"/>
              </w:rPr>
            </w:pPr>
            <w:r w:rsidRPr="00F44DF2">
              <w:rPr>
                <w:rFonts w:ascii="Arial" w:hAnsi="Arial" w:cs="Arial"/>
                <w:sz w:val="24"/>
                <w:szCs w:val="24"/>
              </w:rPr>
              <w:t>HIPAA</w:t>
            </w:r>
          </w:p>
        </w:tc>
      </w:tr>
      <w:tr w:rsidR="003D368D" w:rsidRPr="00F44DF2" w14:paraId="1575B52E" w14:textId="77777777">
        <w:trPr>
          <w:jc w:val="center"/>
        </w:trPr>
        <w:tc>
          <w:tcPr>
            <w:tcW w:w="3312" w:type="dxa"/>
            <w:vAlign w:val="center"/>
          </w:tcPr>
          <w:p w14:paraId="06EC18A4" w14:textId="77777777" w:rsidR="003D368D" w:rsidRPr="00F44DF2" w:rsidRDefault="00000000" w:rsidP="00F44DF2">
            <w:pPr>
              <w:rPr>
                <w:rFonts w:ascii="Arial" w:hAnsi="Arial" w:cs="Arial"/>
                <w:sz w:val="24"/>
                <w:szCs w:val="24"/>
              </w:rPr>
            </w:pPr>
            <w:r w:rsidRPr="00F44DF2">
              <w:rPr>
                <w:rFonts w:ascii="Arial" w:hAnsi="Arial" w:cs="Arial"/>
                <w:sz w:val="24"/>
                <w:szCs w:val="24"/>
              </w:rPr>
              <w:t>Main purpose</w:t>
            </w:r>
          </w:p>
        </w:tc>
        <w:tc>
          <w:tcPr>
            <w:tcW w:w="3312" w:type="dxa"/>
            <w:vAlign w:val="center"/>
          </w:tcPr>
          <w:p w14:paraId="2A79F95C" w14:textId="77777777" w:rsidR="003D368D" w:rsidRPr="00F44DF2" w:rsidRDefault="00000000" w:rsidP="00F44DF2">
            <w:pPr>
              <w:rPr>
                <w:rFonts w:ascii="Arial" w:hAnsi="Arial" w:cs="Arial"/>
                <w:sz w:val="24"/>
                <w:szCs w:val="24"/>
              </w:rPr>
            </w:pPr>
            <w:r w:rsidRPr="00F44DF2">
              <w:rPr>
                <w:rFonts w:ascii="Arial" w:hAnsi="Arial" w:cs="Arial"/>
                <w:sz w:val="24"/>
                <w:szCs w:val="24"/>
              </w:rPr>
              <w:t>Protects personal data and privacy of individuals, especially EU residents.</w:t>
            </w:r>
          </w:p>
        </w:tc>
        <w:tc>
          <w:tcPr>
            <w:tcW w:w="3312" w:type="dxa"/>
            <w:vAlign w:val="center"/>
          </w:tcPr>
          <w:p w14:paraId="24601797" w14:textId="77777777" w:rsidR="003D368D" w:rsidRPr="00F44DF2" w:rsidRDefault="00000000" w:rsidP="00F44DF2">
            <w:pPr>
              <w:rPr>
                <w:rFonts w:ascii="Arial" w:hAnsi="Arial" w:cs="Arial"/>
                <w:sz w:val="24"/>
                <w:szCs w:val="24"/>
              </w:rPr>
            </w:pPr>
            <w:r w:rsidRPr="00F44DF2">
              <w:rPr>
                <w:rFonts w:ascii="Arial" w:hAnsi="Arial" w:cs="Arial"/>
                <w:sz w:val="24"/>
                <w:szCs w:val="24"/>
              </w:rPr>
              <w:t>Protects Protected Health Information (PHI) handled by covered healthcare organizations and business associates.</w:t>
            </w:r>
          </w:p>
        </w:tc>
      </w:tr>
      <w:tr w:rsidR="003D368D" w:rsidRPr="00F44DF2" w14:paraId="111544E1" w14:textId="77777777">
        <w:trPr>
          <w:jc w:val="center"/>
        </w:trPr>
        <w:tc>
          <w:tcPr>
            <w:tcW w:w="3312" w:type="dxa"/>
            <w:vAlign w:val="center"/>
          </w:tcPr>
          <w:p w14:paraId="5FB45776" w14:textId="77777777" w:rsidR="003D368D" w:rsidRPr="00F44DF2" w:rsidRDefault="00000000" w:rsidP="00F44DF2">
            <w:pPr>
              <w:rPr>
                <w:rFonts w:ascii="Arial" w:hAnsi="Arial" w:cs="Arial"/>
                <w:sz w:val="24"/>
                <w:szCs w:val="24"/>
              </w:rPr>
            </w:pPr>
            <w:r w:rsidRPr="00F44DF2">
              <w:rPr>
                <w:rFonts w:ascii="Arial" w:hAnsi="Arial" w:cs="Arial"/>
                <w:sz w:val="24"/>
                <w:szCs w:val="24"/>
              </w:rPr>
              <w:t>Type of data</w:t>
            </w:r>
          </w:p>
        </w:tc>
        <w:tc>
          <w:tcPr>
            <w:tcW w:w="3312" w:type="dxa"/>
            <w:vAlign w:val="center"/>
          </w:tcPr>
          <w:p w14:paraId="248C3B16" w14:textId="77777777" w:rsidR="003D368D" w:rsidRPr="00F44DF2" w:rsidRDefault="00000000" w:rsidP="00F44DF2">
            <w:pPr>
              <w:rPr>
                <w:rFonts w:ascii="Arial" w:hAnsi="Arial" w:cs="Arial"/>
                <w:sz w:val="24"/>
                <w:szCs w:val="24"/>
              </w:rPr>
            </w:pPr>
            <w:r w:rsidRPr="00F44DF2">
              <w:rPr>
                <w:rFonts w:ascii="Arial" w:hAnsi="Arial" w:cs="Arial"/>
                <w:sz w:val="24"/>
                <w:szCs w:val="24"/>
              </w:rPr>
              <w:t>Broad: names, phone numbers, emails, location, payment-related personal data, IP addresses, etc.</w:t>
            </w:r>
          </w:p>
        </w:tc>
        <w:tc>
          <w:tcPr>
            <w:tcW w:w="3312" w:type="dxa"/>
            <w:vAlign w:val="center"/>
          </w:tcPr>
          <w:p w14:paraId="32C38014" w14:textId="77777777" w:rsidR="003D368D" w:rsidRPr="00F44DF2" w:rsidRDefault="00000000" w:rsidP="00F44DF2">
            <w:pPr>
              <w:rPr>
                <w:rFonts w:ascii="Arial" w:hAnsi="Arial" w:cs="Arial"/>
                <w:sz w:val="24"/>
                <w:szCs w:val="24"/>
              </w:rPr>
            </w:pPr>
            <w:r w:rsidRPr="00F44DF2">
              <w:rPr>
                <w:rFonts w:ascii="Arial" w:hAnsi="Arial" w:cs="Arial"/>
                <w:sz w:val="24"/>
                <w:szCs w:val="24"/>
              </w:rPr>
              <w:t>Primarily health/medical information such as medical records, diagnoses, insurance information, etc.</w:t>
            </w:r>
          </w:p>
        </w:tc>
      </w:tr>
      <w:tr w:rsidR="003D368D" w:rsidRPr="00F44DF2" w14:paraId="64DBA4FB" w14:textId="77777777">
        <w:trPr>
          <w:jc w:val="center"/>
        </w:trPr>
        <w:tc>
          <w:tcPr>
            <w:tcW w:w="3312" w:type="dxa"/>
            <w:vAlign w:val="center"/>
          </w:tcPr>
          <w:p w14:paraId="78001565" w14:textId="77777777" w:rsidR="003D368D" w:rsidRPr="00F44DF2" w:rsidRDefault="00000000" w:rsidP="00F44DF2">
            <w:pPr>
              <w:rPr>
                <w:rFonts w:ascii="Arial" w:hAnsi="Arial" w:cs="Arial"/>
                <w:sz w:val="24"/>
                <w:szCs w:val="24"/>
              </w:rPr>
            </w:pPr>
            <w:r w:rsidRPr="00F44DF2">
              <w:rPr>
                <w:rFonts w:ascii="Arial" w:hAnsi="Arial" w:cs="Arial"/>
                <w:sz w:val="24"/>
                <w:szCs w:val="24"/>
              </w:rPr>
              <w:t>Cloud storage impact</w:t>
            </w:r>
          </w:p>
        </w:tc>
        <w:tc>
          <w:tcPr>
            <w:tcW w:w="3312" w:type="dxa"/>
            <w:vAlign w:val="center"/>
          </w:tcPr>
          <w:p w14:paraId="3641C398" w14:textId="77777777" w:rsidR="003D368D" w:rsidRPr="00F44DF2" w:rsidRDefault="00000000" w:rsidP="00F44DF2">
            <w:pPr>
              <w:rPr>
                <w:rFonts w:ascii="Arial" w:hAnsi="Arial" w:cs="Arial"/>
                <w:sz w:val="24"/>
                <w:szCs w:val="24"/>
              </w:rPr>
            </w:pPr>
            <w:r w:rsidRPr="00F44DF2">
              <w:rPr>
                <w:rFonts w:ascii="Arial" w:hAnsi="Arial" w:cs="Arial"/>
                <w:sz w:val="24"/>
                <w:szCs w:val="24"/>
              </w:rPr>
              <w:t>Apps such as Zomato or Paytm must ensure personal data is processed securely, with appropriate access controls, encryption, retention and privacy practices.</w:t>
            </w:r>
          </w:p>
        </w:tc>
        <w:tc>
          <w:tcPr>
            <w:tcW w:w="3312" w:type="dxa"/>
            <w:vAlign w:val="center"/>
          </w:tcPr>
          <w:p w14:paraId="13F97A75" w14:textId="77777777" w:rsidR="003D368D" w:rsidRPr="00F44DF2" w:rsidRDefault="00000000" w:rsidP="00F44DF2">
            <w:pPr>
              <w:rPr>
                <w:rFonts w:ascii="Arial" w:hAnsi="Arial" w:cs="Arial"/>
                <w:sz w:val="24"/>
                <w:szCs w:val="24"/>
              </w:rPr>
            </w:pPr>
            <w:r w:rsidRPr="00F44DF2">
              <w:rPr>
                <w:rFonts w:ascii="Arial" w:hAnsi="Arial" w:cs="Arial"/>
                <w:sz w:val="24"/>
                <w:szCs w:val="24"/>
              </w:rPr>
              <w:t>A healthcare/payment application handling PHI would need appropriate safeguards and contractual arrangements with cloud providers acting as business associates.</w:t>
            </w:r>
          </w:p>
        </w:tc>
      </w:tr>
      <w:tr w:rsidR="003D368D" w:rsidRPr="00F44DF2" w14:paraId="05757BE7" w14:textId="77777777">
        <w:trPr>
          <w:jc w:val="center"/>
        </w:trPr>
        <w:tc>
          <w:tcPr>
            <w:tcW w:w="3312" w:type="dxa"/>
            <w:vAlign w:val="center"/>
          </w:tcPr>
          <w:p w14:paraId="59552027" w14:textId="77777777" w:rsidR="003D368D" w:rsidRPr="00F44DF2" w:rsidRDefault="00000000" w:rsidP="00F44DF2">
            <w:pPr>
              <w:rPr>
                <w:rFonts w:ascii="Arial" w:hAnsi="Arial" w:cs="Arial"/>
                <w:sz w:val="24"/>
                <w:szCs w:val="24"/>
              </w:rPr>
            </w:pPr>
            <w:r w:rsidRPr="00F44DF2">
              <w:rPr>
                <w:rFonts w:ascii="Arial" w:hAnsi="Arial" w:cs="Arial"/>
                <w:sz w:val="24"/>
                <w:szCs w:val="24"/>
              </w:rPr>
              <w:t>User rights</w:t>
            </w:r>
          </w:p>
        </w:tc>
        <w:tc>
          <w:tcPr>
            <w:tcW w:w="3312" w:type="dxa"/>
            <w:vAlign w:val="center"/>
          </w:tcPr>
          <w:p w14:paraId="31BF5262" w14:textId="77777777" w:rsidR="003D368D" w:rsidRPr="00F44DF2" w:rsidRDefault="00000000" w:rsidP="00F44DF2">
            <w:pPr>
              <w:rPr>
                <w:rFonts w:ascii="Arial" w:hAnsi="Arial" w:cs="Arial"/>
                <w:sz w:val="24"/>
                <w:szCs w:val="24"/>
              </w:rPr>
            </w:pPr>
            <w:r w:rsidRPr="00F44DF2">
              <w:rPr>
                <w:rFonts w:ascii="Arial" w:hAnsi="Arial" w:cs="Arial"/>
                <w:sz w:val="24"/>
                <w:szCs w:val="24"/>
              </w:rPr>
              <w:t>Provides rights such as access, correction, deletion and portability of personal data.</w:t>
            </w:r>
          </w:p>
        </w:tc>
        <w:tc>
          <w:tcPr>
            <w:tcW w:w="3312" w:type="dxa"/>
            <w:vAlign w:val="center"/>
          </w:tcPr>
          <w:p w14:paraId="13C847C1" w14:textId="77777777" w:rsidR="003D368D" w:rsidRPr="00F44DF2" w:rsidRDefault="00000000" w:rsidP="00F44DF2">
            <w:pPr>
              <w:rPr>
                <w:rFonts w:ascii="Arial" w:hAnsi="Arial" w:cs="Arial"/>
                <w:sz w:val="24"/>
                <w:szCs w:val="24"/>
              </w:rPr>
            </w:pPr>
            <w:r w:rsidRPr="00F44DF2">
              <w:rPr>
                <w:rFonts w:ascii="Arial" w:hAnsi="Arial" w:cs="Arial"/>
                <w:sz w:val="24"/>
                <w:szCs w:val="24"/>
              </w:rPr>
              <w:t>Gives individuals rights concerning their PHI, including access and requests for amendments.</w:t>
            </w:r>
          </w:p>
        </w:tc>
      </w:tr>
      <w:tr w:rsidR="003D368D" w:rsidRPr="00F44DF2" w14:paraId="14956B37" w14:textId="77777777">
        <w:trPr>
          <w:jc w:val="center"/>
        </w:trPr>
        <w:tc>
          <w:tcPr>
            <w:tcW w:w="3312" w:type="dxa"/>
            <w:vAlign w:val="center"/>
          </w:tcPr>
          <w:p w14:paraId="071EF6A8" w14:textId="77777777" w:rsidR="003D368D" w:rsidRPr="00F44DF2" w:rsidRDefault="00000000" w:rsidP="00F44DF2">
            <w:pPr>
              <w:rPr>
                <w:rFonts w:ascii="Arial" w:hAnsi="Arial" w:cs="Arial"/>
                <w:sz w:val="24"/>
                <w:szCs w:val="24"/>
              </w:rPr>
            </w:pPr>
            <w:r w:rsidRPr="00F44DF2">
              <w:rPr>
                <w:rFonts w:ascii="Arial" w:hAnsi="Arial" w:cs="Arial"/>
                <w:sz w:val="24"/>
                <w:szCs w:val="24"/>
              </w:rPr>
              <w:t>Breach requirements</w:t>
            </w:r>
          </w:p>
        </w:tc>
        <w:tc>
          <w:tcPr>
            <w:tcW w:w="3312" w:type="dxa"/>
            <w:vAlign w:val="center"/>
          </w:tcPr>
          <w:p w14:paraId="49E9452D" w14:textId="77777777" w:rsidR="003D368D" w:rsidRPr="00F44DF2" w:rsidRDefault="00000000" w:rsidP="00F44DF2">
            <w:pPr>
              <w:rPr>
                <w:rFonts w:ascii="Arial" w:hAnsi="Arial" w:cs="Arial"/>
                <w:sz w:val="24"/>
                <w:szCs w:val="24"/>
              </w:rPr>
            </w:pPr>
            <w:r w:rsidRPr="00F44DF2">
              <w:rPr>
                <w:rFonts w:ascii="Arial" w:hAnsi="Arial" w:cs="Arial"/>
                <w:sz w:val="24"/>
                <w:szCs w:val="24"/>
              </w:rPr>
              <w:t xml:space="preserve">Certain </w:t>
            </w:r>
            <w:proofErr w:type="gramStart"/>
            <w:r w:rsidRPr="00F44DF2">
              <w:rPr>
                <w:rFonts w:ascii="Arial" w:hAnsi="Arial" w:cs="Arial"/>
                <w:sz w:val="24"/>
                <w:szCs w:val="24"/>
              </w:rPr>
              <w:t>personal-data</w:t>
            </w:r>
            <w:proofErr w:type="gramEnd"/>
            <w:r w:rsidRPr="00F44DF2">
              <w:rPr>
                <w:rFonts w:ascii="Arial" w:hAnsi="Arial" w:cs="Arial"/>
                <w:sz w:val="24"/>
                <w:szCs w:val="24"/>
              </w:rPr>
              <w:t xml:space="preserve"> breaches must be reported to the supervisory authority within 72 hours after becoming aware of the breach.</w:t>
            </w:r>
          </w:p>
        </w:tc>
        <w:tc>
          <w:tcPr>
            <w:tcW w:w="3312" w:type="dxa"/>
            <w:vAlign w:val="center"/>
          </w:tcPr>
          <w:p w14:paraId="150FA764" w14:textId="77777777" w:rsidR="003D368D" w:rsidRPr="00F44DF2" w:rsidRDefault="00000000" w:rsidP="00F44DF2">
            <w:pPr>
              <w:rPr>
                <w:rFonts w:ascii="Arial" w:hAnsi="Arial" w:cs="Arial"/>
                <w:sz w:val="24"/>
                <w:szCs w:val="24"/>
              </w:rPr>
            </w:pPr>
            <w:r w:rsidRPr="00F44DF2">
              <w:rPr>
                <w:rFonts w:ascii="Arial" w:hAnsi="Arial" w:cs="Arial"/>
                <w:sz w:val="24"/>
                <w:szCs w:val="24"/>
              </w:rPr>
              <w:t>Covered entities generally must notify affected individuals and, depending on the breach, HHS and potentially the media.</w:t>
            </w:r>
          </w:p>
        </w:tc>
      </w:tr>
    </w:tbl>
    <w:p w14:paraId="433EE62F" w14:textId="77777777" w:rsidR="003D368D" w:rsidRDefault="00000000" w:rsidP="00F44DF2">
      <w:pPr>
        <w:spacing w:after="0"/>
        <w:rPr>
          <w:rFonts w:ascii="Arial" w:hAnsi="Arial" w:cs="Arial"/>
          <w:sz w:val="24"/>
          <w:szCs w:val="24"/>
        </w:rPr>
      </w:pPr>
      <w:r w:rsidRPr="00F44DF2">
        <w:rPr>
          <w:rFonts w:ascii="Arial" w:hAnsi="Arial" w:cs="Arial"/>
          <w:sz w:val="24"/>
          <w:szCs w:val="24"/>
        </w:rPr>
        <w:t>Example: If Paytm stores customer information in AWS/Azure, GDPR requirements could become relevant when it processes personal data of individuals protected by GDPR. HIPAA would generally not apply simply because Paytm stores payment information; HIPAA is specifically focused on protected health information.</w:t>
      </w:r>
    </w:p>
    <w:p w14:paraId="39E28B10" w14:textId="77777777" w:rsidR="00F44DF2" w:rsidRPr="00F44DF2" w:rsidRDefault="00F44DF2" w:rsidP="00F44DF2">
      <w:pPr>
        <w:spacing w:after="0"/>
        <w:rPr>
          <w:rFonts w:ascii="Arial" w:hAnsi="Arial" w:cs="Arial"/>
          <w:sz w:val="24"/>
          <w:szCs w:val="24"/>
        </w:rPr>
      </w:pPr>
    </w:p>
    <w:p w14:paraId="5F1184AB" w14:textId="77777777" w:rsidR="003D368D" w:rsidRPr="00F44DF2" w:rsidRDefault="00000000" w:rsidP="00F44DF2">
      <w:pPr>
        <w:spacing w:after="0"/>
        <w:rPr>
          <w:rFonts w:ascii="Arial" w:hAnsi="Arial" w:cs="Arial"/>
          <w:sz w:val="24"/>
          <w:szCs w:val="24"/>
        </w:rPr>
      </w:pPr>
      <w:r w:rsidRPr="00F44DF2">
        <w:rPr>
          <w:rFonts w:ascii="Arial" w:hAnsi="Arial" w:cs="Arial"/>
          <w:sz w:val="24"/>
          <w:szCs w:val="24"/>
        </w:rPr>
        <w:t>2. AWS Artifact</w:t>
      </w:r>
    </w:p>
    <w:p w14:paraId="3E1B8E08" w14:textId="77777777" w:rsidR="003D368D" w:rsidRPr="00F44DF2" w:rsidRDefault="00000000" w:rsidP="00F44DF2">
      <w:pPr>
        <w:pStyle w:val="ListNumber"/>
        <w:spacing w:after="0"/>
        <w:rPr>
          <w:rFonts w:ascii="Arial" w:hAnsi="Arial" w:cs="Arial"/>
          <w:sz w:val="24"/>
          <w:szCs w:val="24"/>
        </w:rPr>
      </w:pPr>
      <w:r w:rsidRPr="00F44DF2">
        <w:rPr>
          <w:rFonts w:ascii="Arial" w:hAnsi="Arial" w:cs="Arial"/>
          <w:sz w:val="24"/>
          <w:szCs w:val="24"/>
        </w:rPr>
        <w:t>In the AWS Management Console, search for AWS Artifact using the top search bar.</w:t>
      </w:r>
    </w:p>
    <w:p w14:paraId="422490B0" w14:textId="77777777" w:rsidR="003D368D" w:rsidRPr="00F44DF2" w:rsidRDefault="00000000" w:rsidP="00F44DF2">
      <w:pPr>
        <w:pStyle w:val="ListNumber"/>
        <w:spacing w:after="0"/>
        <w:rPr>
          <w:rFonts w:ascii="Arial" w:hAnsi="Arial" w:cs="Arial"/>
          <w:sz w:val="24"/>
          <w:szCs w:val="24"/>
        </w:rPr>
      </w:pPr>
      <w:r w:rsidRPr="00F44DF2">
        <w:rPr>
          <w:rFonts w:ascii="Arial" w:hAnsi="Arial" w:cs="Arial"/>
          <w:sz w:val="24"/>
          <w:szCs w:val="24"/>
        </w:rPr>
        <w:t>Open AWS Artifact.</w:t>
      </w:r>
    </w:p>
    <w:p w14:paraId="0FCF8A3B" w14:textId="77777777" w:rsidR="003D368D" w:rsidRPr="00F44DF2" w:rsidRDefault="00000000" w:rsidP="00F44DF2">
      <w:pPr>
        <w:pStyle w:val="ListNumber"/>
        <w:spacing w:after="0"/>
        <w:rPr>
          <w:rFonts w:ascii="Arial" w:hAnsi="Arial" w:cs="Arial"/>
          <w:sz w:val="24"/>
          <w:szCs w:val="24"/>
        </w:rPr>
      </w:pPr>
      <w:r w:rsidRPr="00F44DF2">
        <w:rPr>
          <w:rFonts w:ascii="Arial" w:hAnsi="Arial" w:cs="Arial"/>
          <w:sz w:val="24"/>
          <w:szCs w:val="24"/>
        </w:rPr>
        <w:t>Go to Reports.</w:t>
      </w:r>
    </w:p>
    <w:p w14:paraId="27F6A831" w14:textId="77777777" w:rsidR="003D368D" w:rsidRPr="00F44DF2" w:rsidRDefault="00000000" w:rsidP="00F44DF2">
      <w:pPr>
        <w:pStyle w:val="ListNumber"/>
        <w:spacing w:after="0"/>
        <w:rPr>
          <w:rFonts w:ascii="Arial" w:hAnsi="Arial" w:cs="Arial"/>
          <w:sz w:val="24"/>
          <w:szCs w:val="24"/>
        </w:rPr>
      </w:pPr>
      <w:r w:rsidRPr="00F44DF2">
        <w:rPr>
          <w:rFonts w:ascii="Arial" w:hAnsi="Arial" w:cs="Arial"/>
          <w:sz w:val="24"/>
          <w:szCs w:val="24"/>
        </w:rPr>
        <w:t>Look for an available compliance report such as SOC 2 or ISO 27001.</w:t>
      </w:r>
    </w:p>
    <w:p w14:paraId="3C9F2077" w14:textId="77777777" w:rsidR="003D368D" w:rsidRPr="00F44DF2" w:rsidRDefault="00000000" w:rsidP="00F44DF2">
      <w:pPr>
        <w:pStyle w:val="ListNumber"/>
        <w:spacing w:after="0"/>
        <w:rPr>
          <w:rFonts w:ascii="Arial" w:hAnsi="Arial" w:cs="Arial"/>
          <w:sz w:val="24"/>
          <w:szCs w:val="24"/>
        </w:rPr>
      </w:pPr>
      <w:r w:rsidRPr="00F44DF2">
        <w:rPr>
          <w:rFonts w:ascii="Arial" w:hAnsi="Arial" w:cs="Arial"/>
          <w:sz w:val="24"/>
          <w:szCs w:val="24"/>
        </w:rPr>
        <w:t>Select the report and choose Download report.</w:t>
      </w:r>
    </w:p>
    <w:p w14:paraId="3FAD45B4" w14:textId="77777777" w:rsidR="003D368D" w:rsidRPr="00F44DF2" w:rsidRDefault="00000000" w:rsidP="00F44DF2">
      <w:pPr>
        <w:pStyle w:val="ListNumber"/>
        <w:spacing w:after="0"/>
        <w:rPr>
          <w:rFonts w:ascii="Arial" w:hAnsi="Arial" w:cs="Arial"/>
          <w:sz w:val="24"/>
          <w:szCs w:val="24"/>
        </w:rPr>
      </w:pPr>
      <w:r w:rsidRPr="00F44DF2">
        <w:rPr>
          <w:rFonts w:ascii="Arial" w:hAnsi="Arial" w:cs="Arial"/>
          <w:sz w:val="24"/>
          <w:szCs w:val="24"/>
        </w:rPr>
        <w:t>AWS may require you to accept the relevant terms before downloading.</w:t>
      </w:r>
    </w:p>
    <w:p w14:paraId="7557E760" w14:textId="77777777" w:rsidR="003D368D" w:rsidRPr="00F44DF2" w:rsidRDefault="00000000" w:rsidP="00F44DF2">
      <w:pPr>
        <w:spacing w:after="0"/>
        <w:rPr>
          <w:rFonts w:ascii="Arial" w:hAnsi="Arial" w:cs="Arial"/>
          <w:sz w:val="24"/>
          <w:szCs w:val="24"/>
        </w:rPr>
      </w:pPr>
      <w:r w:rsidRPr="00F44DF2">
        <w:rPr>
          <w:rFonts w:ascii="Arial" w:hAnsi="Arial" w:cs="Arial"/>
          <w:sz w:val="24"/>
          <w:szCs w:val="24"/>
        </w:rPr>
        <w:t>Two-line description:</w:t>
      </w:r>
    </w:p>
    <w:p w14:paraId="485437AC" w14:textId="77777777" w:rsidR="003D368D" w:rsidRPr="00F44DF2" w:rsidRDefault="00000000" w:rsidP="00F44DF2">
      <w:pPr>
        <w:spacing w:after="0"/>
        <w:rPr>
          <w:rFonts w:ascii="Arial" w:hAnsi="Arial" w:cs="Arial"/>
          <w:sz w:val="24"/>
          <w:szCs w:val="24"/>
        </w:rPr>
      </w:pPr>
      <w:r w:rsidRPr="00F44DF2">
        <w:rPr>
          <w:rFonts w:ascii="Arial" w:hAnsi="Arial" w:cs="Arial"/>
          <w:sz w:val="24"/>
          <w:szCs w:val="24"/>
        </w:rPr>
        <w:t>AWS Artifact provides access to AWS security and compliance documentation, including independent audit reports and certifications such as SOC reports and ISO certifications.</w:t>
      </w:r>
    </w:p>
    <w:p w14:paraId="61E8AD9B" w14:textId="77777777" w:rsidR="003D368D" w:rsidRPr="00F44DF2" w:rsidRDefault="00000000" w:rsidP="00F44DF2">
      <w:pPr>
        <w:spacing w:after="0"/>
        <w:rPr>
          <w:rFonts w:ascii="Arial" w:hAnsi="Arial" w:cs="Arial"/>
          <w:sz w:val="24"/>
          <w:szCs w:val="24"/>
        </w:rPr>
      </w:pPr>
      <w:r w:rsidRPr="00F44DF2">
        <w:rPr>
          <w:rFonts w:ascii="Arial" w:hAnsi="Arial" w:cs="Arial"/>
          <w:sz w:val="24"/>
          <w:szCs w:val="24"/>
        </w:rPr>
        <w:t>These reports provide evidence about AWS's security controls and how its cloud infrastructure is assessed against recognized compliance standards.</w:t>
      </w:r>
    </w:p>
    <w:p w14:paraId="3658F145" w14:textId="77777777" w:rsidR="003D368D" w:rsidRPr="00F44DF2" w:rsidRDefault="00000000" w:rsidP="00F44DF2">
      <w:pPr>
        <w:spacing w:after="0"/>
        <w:rPr>
          <w:rFonts w:ascii="Arial" w:hAnsi="Arial" w:cs="Arial"/>
          <w:sz w:val="24"/>
          <w:szCs w:val="24"/>
        </w:rPr>
      </w:pPr>
      <w:r w:rsidRPr="00F44DF2">
        <w:rPr>
          <w:rFonts w:ascii="Arial" w:hAnsi="Arial" w:cs="Arial"/>
          <w:sz w:val="24"/>
          <w:szCs w:val="24"/>
        </w:rPr>
        <w:t>Note: You generally need to sign in to your own AWS account to access and download the actual report.</w:t>
      </w:r>
    </w:p>
    <w:p w14:paraId="0D2CB55E" w14:textId="77777777" w:rsidR="003D368D" w:rsidRPr="00F44DF2" w:rsidRDefault="00000000" w:rsidP="00F44DF2">
      <w:pPr>
        <w:spacing w:after="0"/>
        <w:rPr>
          <w:rFonts w:ascii="Arial" w:hAnsi="Arial" w:cs="Arial"/>
          <w:sz w:val="24"/>
          <w:szCs w:val="24"/>
        </w:rPr>
      </w:pPr>
      <w:r w:rsidRPr="00F44DF2">
        <w:rPr>
          <w:rFonts w:ascii="Arial" w:hAnsi="Arial" w:cs="Arial"/>
          <w:sz w:val="24"/>
          <w:szCs w:val="24"/>
        </w:rPr>
        <w:lastRenderedPageBreak/>
        <w:t>3. Azure Built-in Compliance Features</w:t>
      </w:r>
    </w:p>
    <w:tbl>
      <w:tblPr>
        <w:tblStyle w:val="TableGrid"/>
        <w:tblW w:w="0" w:type="auto"/>
        <w:jc w:val="center"/>
        <w:tblLook w:val="04A0" w:firstRow="1" w:lastRow="0" w:firstColumn="1" w:lastColumn="0" w:noHBand="0" w:noVBand="1"/>
      </w:tblPr>
      <w:tblGrid>
        <w:gridCol w:w="4968"/>
        <w:gridCol w:w="4968"/>
      </w:tblGrid>
      <w:tr w:rsidR="003D368D" w:rsidRPr="00F44DF2" w14:paraId="7AA67A03" w14:textId="77777777">
        <w:trPr>
          <w:jc w:val="center"/>
        </w:trPr>
        <w:tc>
          <w:tcPr>
            <w:tcW w:w="4968" w:type="dxa"/>
          </w:tcPr>
          <w:p w14:paraId="07368DB3" w14:textId="77777777" w:rsidR="003D368D" w:rsidRPr="00F44DF2" w:rsidRDefault="00000000" w:rsidP="00F44DF2">
            <w:pPr>
              <w:rPr>
                <w:rFonts w:ascii="Arial" w:hAnsi="Arial" w:cs="Arial"/>
                <w:sz w:val="24"/>
                <w:szCs w:val="24"/>
              </w:rPr>
            </w:pPr>
            <w:r w:rsidRPr="00F44DF2">
              <w:rPr>
                <w:rFonts w:ascii="Arial" w:hAnsi="Arial" w:cs="Arial"/>
                <w:sz w:val="24"/>
                <w:szCs w:val="24"/>
              </w:rPr>
              <w:t>Azure Feature</w:t>
            </w:r>
          </w:p>
        </w:tc>
        <w:tc>
          <w:tcPr>
            <w:tcW w:w="4968" w:type="dxa"/>
          </w:tcPr>
          <w:p w14:paraId="52E6C87E" w14:textId="77777777" w:rsidR="003D368D" w:rsidRPr="00F44DF2" w:rsidRDefault="00000000" w:rsidP="00F44DF2">
            <w:pPr>
              <w:rPr>
                <w:rFonts w:ascii="Arial" w:hAnsi="Arial" w:cs="Arial"/>
                <w:sz w:val="24"/>
                <w:szCs w:val="24"/>
              </w:rPr>
            </w:pPr>
            <w:r w:rsidRPr="00F44DF2">
              <w:rPr>
                <w:rFonts w:ascii="Arial" w:hAnsi="Arial" w:cs="Arial"/>
                <w:sz w:val="24"/>
                <w:szCs w:val="24"/>
              </w:rPr>
              <w:t>Purpose</w:t>
            </w:r>
          </w:p>
        </w:tc>
      </w:tr>
      <w:tr w:rsidR="003D368D" w:rsidRPr="00F44DF2" w14:paraId="09CB622B" w14:textId="77777777">
        <w:trPr>
          <w:jc w:val="center"/>
        </w:trPr>
        <w:tc>
          <w:tcPr>
            <w:tcW w:w="4968" w:type="dxa"/>
          </w:tcPr>
          <w:p w14:paraId="5FA3C909" w14:textId="77777777" w:rsidR="003D368D" w:rsidRPr="00F44DF2" w:rsidRDefault="00000000" w:rsidP="00F44DF2">
            <w:pPr>
              <w:rPr>
                <w:rFonts w:ascii="Arial" w:hAnsi="Arial" w:cs="Arial"/>
                <w:sz w:val="24"/>
                <w:szCs w:val="24"/>
              </w:rPr>
            </w:pPr>
            <w:r w:rsidRPr="00F44DF2">
              <w:rPr>
                <w:rFonts w:ascii="Arial" w:hAnsi="Arial" w:cs="Arial"/>
                <w:sz w:val="24"/>
                <w:szCs w:val="24"/>
              </w:rPr>
              <w:t>Azure Policy</w:t>
            </w:r>
          </w:p>
        </w:tc>
        <w:tc>
          <w:tcPr>
            <w:tcW w:w="4968" w:type="dxa"/>
          </w:tcPr>
          <w:p w14:paraId="29645987" w14:textId="77777777" w:rsidR="003D368D" w:rsidRPr="00F44DF2" w:rsidRDefault="00000000" w:rsidP="00F44DF2">
            <w:pPr>
              <w:rPr>
                <w:rFonts w:ascii="Arial" w:hAnsi="Arial" w:cs="Arial"/>
                <w:sz w:val="24"/>
                <w:szCs w:val="24"/>
              </w:rPr>
            </w:pPr>
            <w:r w:rsidRPr="00F44DF2">
              <w:rPr>
                <w:rFonts w:ascii="Arial" w:hAnsi="Arial" w:cs="Arial"/>
                <w:sz w:val="24"/>
                <w:szCs w:val="24"/>
              </w:rPr>
              <w:t>Creates and enforces organizational rules, such as requiring encryption, approved regions, or specific security configurations for Azure resources.</w:t>
            </w:r>
          </w:p>
        </w:tc>
      </w:tr>
      <w:tr w:rsidR="003D368D" w:rsidRPr="00F44DF2" w14:paraId="7B709820" w14:textId="77777777">
        <w:trPr>
          <w:jc w:val="center"/>
        </w:trPr>
        <w:tc>
          <w:tcPr>
            <w:tcW w:w="4968" w:type="dxa"/>
          </w:tcPr>
          <w:p w14:paraId="5A81C218" w14:textId="77777777" w:rsidR="003D368D" w:rsidRPr="00F44DF2" w:rsidRDefault="00000000" w:rsidP="00F44DF2">
            <w:pPr>
              <w:rPr>
                <w:rFonts w:ascii="Arial" w:hAnsi="Arial" w:cs="Arial"/>
                <w:sz w:val="24"/>
                <w:szCs w:val="24"/>
              </w:rPr>
            </w:pPr>
            <w:r w:rsidRPr="00F44DF2">
              <w:rPr>
                <w:rFonts w:ascii="Arial" w:hAnsi="Arial" w:cs="Arial"/>
                <w:sz w:val="24"/>
                <w:szCs w:val="24"/>
              </w:rPr>
              <w:t>Microsoft Defender for Cloud</w:t>
            </w:r>
          </w:p>
        </w:tc>
        <w:tc>
          <w:tcPr>
            <w:tcW w:w="4968" w:type="dxa"/>
          </w:tcPr>
          <w:p w14:paraId="3EFFEE95" w14:textId="77777777" w:rsidR="003D368D" w:rsidRPr="00F44DF2" w:rsidRDefault="00000000" w:rsidP="00F44DF2">
            <w:pPr>
              <w:rPr>
                <w:rFonts w:ascii="Arial" w:hAnsi="Arial" w:cs="Arial"/>
                <w:sz w:val="24"/>
                <w:szCs w:val="24"/>
              </w:rPr>
            </w:pPr>
            <w:r w:rsidRPr="00F44DF2">
              <w:rPr>
                <w:rFonts w:ascii="Arial" w:hAnsi="Arial" w:cs="Arial"/>
                <w:sz w:val="24"/>
                <w:szCs w:val="24"/>
              </w:rPr>
              <w:t>Provides security posture management and compliance assessments, helping identify configuration and security issues.</w:t>
            </w:r>
          </w:p>
        </w:tc>
      </w:tr>
      <w:tr w:rsidR="003D368D" w:rsidRPr="00F44DF2" w14:paraId="7BC8AF67" w14:textId="77777777">
        <w:trPr>
          <w:jc w:val="center"/>
        </w:trPr>
        <w:tc>
          <w:tcPr>
            <w:tcW w:w="4968" w:type="dxa"/>
          </w:tcPr>
          <w:p w14:paraId="29890733" w14:textId="77777777" w:rsidR="003D368D" w:rsidRPr="00F44DF2" w:rsidRDefault="00000000" w:rsidP="00F44DF2">
            <w:pPr>
              <w:rPr>
                <w:rFonts w:ascii="Arial" w:hAnsi="Arial" w:cs="Arial"/>
                <w:sz w:val="24"/>
                <w:szCs w:val="24"/>
              </w:rPr>
            </w:pPr>
            <w:r w:rsidRPr="00F44DF2">
              <w:rPr>
                <w:rFonts w:ascii="Arial" w:hAnsi="Arial" w:cs="Arial"/>
                <w:sz w:val="24"/>
                <w:szCs w:val="24"/>
              </w:rPr>
              <w:t>Microsoft Purview Compliance Manager</w:t>
            </w:r>
          </w:p>
        </w:tc>
        <w:tc>
          <w:tcPr>
            <w:tcW w:w="4968" w:type="dxa"/>
          </w:tcPr>
          <w:p w14:paraId="08E607DF" w14:textId="77777777" w:rsidR="003D368D" w:rsidRPr="00F44DF2" w:rsidRDefault="00000000" w:rsidP="00F44DF2">
            <w:pPr>
              <w:rPr>
                <w:rFonts w:ascii="Arial" w:hAnsi="Arial" w:cs="Arial"/>
                <w:sz w:val="24"/>
                <w:szCs w:val="24"/>
              </w:rPr>
            </w:pPr>
            <w:proofErr w:type="gramStart"/>
            <w:r w:rsidRPr="00F44DF2">
              <w:rPr>
                <w:rFonts w:ascii="Arial" w:hAnsi="Arial" w:cs="Arial"/>
                <w:sz w:val="24"/>
                <w:szCs w:val="24"/>
              </w:rPr>
              <w:t>Helps</w:t>
            </w:r>
            <w:proofErr w:type="gramEnd"/>
            <w:r w:rsidRPr="00F44DF2">
              <w:rPr>
                <w:rFonts w:ascii="Arial" w:hAnsi="Arial" w:cs="Arial"/>
                <w:sz w:val="24"/>
                <w:szCs w:val="24"/>
              </w:rPr>
              <w:t xml:space="preserve"> assess an organization's compliance posture against regulations and standards such as GDPR, HIPAA and ISO-related requirements.</w:t>
            </w:r>
          </w:p>
        </w:tc>
      </w:tr>
    </w:tbl>
    <w:p w14:paraId="5CFE07DD" w14:textId="77777777" w:rsidR="003D368D" w:rsidRPr="00F44DF2" w:rsidRDefault="00000000" w:rsidP="00F44DF2">
      <w:pPr>
        <w:spacing w:after="0"/>
        <w:rPr>
          <w:rFonts w:ascii="Arial" w:hAnsi="Arial" w:cs="Arial"/>
          <w:sz w:val="24"/>
          <w:szCs w:val="24"/>
        </w:rPr>
      </w:pPr>
      <w:r w:rsidRPr="00F44DF2">
        <w:rPr>
          <w:rFonts w:ascii="Arial" w:hAnsi="Arial" w:cs="Arial"/>
          <w:sz w:val="24"/>
          <w:szCs w:val="24"/>
        </w:rPr>
        <w:t>Together, these tools can help an organization identify compliance requirements, enforce cloud configurations, monitor security posture and maintain evidence of compliance.</w:t>
      </w:r>
    </w:p>
    <w:p w14:paraId="18F2BC16" w14:textId="77777777" w:rsidR="00F44DF2" w:rsidRDefault="00F44DF2" w:rsidP="00F44DF2">
      <w:pPr>
        <w:spacing w:after="0"/>
        <w:rPr>
          <w:rFonts w:ascii="Arial" w:hAnsi="Arial" w:cs="Arial"/>
          <w:sz w:val="24"/>
          <w:szCs w:val="24"/>
        </w:rPr>
      </w:pPr>
    </w:p>
    <w:p w14:paraId="18809675" w14:textId="42FDAD6B" w:rsidR="003D368D" w:rsidRPr="00F44DF2" w:rsidRDefault="00000000" w:rsidP="00F44DF2">
      <w:pPr>
        <w:spacing w:after="0"/>
        <w:rPr>
          <w:rFonts w:ascii="Arial" w:hAnsi="Arial" w:cs="Arial"/>
          <w:sz w:val="24"/>
          <w:szCs w:val="24"/>
        </w:rPr>
      </w:pPr>
      <w:r w:rsidRPr="00F44DF2">
        <w:rPr>
          <w:rFonts w:ascii="Arial" w:hAnsi="Arial" w:cs="Arial"/>
          <w:sz w:val="24"/>
          <w:szCs w:val="24"/>
        </w:rPr>
        <w:t>4. Example — PhonePe</w:t>
      </w:r>
    </w:p>
    <w:p w14:paraId="1818D2EF" w14:textId="77777777" w:rsidR="003D368D" w:rsidRPr="00F44DF2" w:rsidRDefault="00000000" w:rsidP="00F44DF2">
      <w:pPr>
        <w:spacing w:after="0"/>
        <w:rPr>
          <w:rFonts w:ascii="Arial" w:hAnsi="Arial" w:cs="Arial"/>
          <w:sz w:val="24"/>
          <w:szCs w:val="24"/>
        </w:rPr>
      </w:pPr>
      <w:r w:rsidRPr="00F44DF2">
        <w:rPr>
          <w:rFonts w:ascii="Arial" w:hAnsi="Arial" w:cs="Arial"/>
          <w:sz w:val="24"/>
          <w:szCs w:val="24"/>
        </w:rPr>
        <w:t>Scenario: PhonePe stores customer information and transaction-related data using a cloud provider such as AWS.</w:t>
      </w:r>
    </w:p>
    <w:p w14:paraId="0B60D8CB" w14:textId="77777777" w:rsidR="003D368D" w:rsidRPr="00F44DF2" w:rsidRDefault="00000000" w:rsidP="00F44DF2">
      <w:pPr>
        <w:spacing w:after="0"/>
        <w:rPr>
          <w:rFonts w:ascii="Arial" w:hAnsi="Arial" w:cs="Arial"/>
          <w:sz w:val="24"/>
          <w:szCs w:val="24"/>
        </w:rPr>
      </w:pPr>
      <w:r w:rsidRPr="00F44DF2">
        <w:rPr>
          <w:rFonts w:ascii="Arial" w:hAnsi="Arial" w:cs="Arial"/>
          <w:sz w:val="24"/>
          <w:szCs w:val="24"/>
        </w:rPr>
        <w:t xml:space="preserve">A </w:t>
      </w:r>
      <w:proofErr w:type="gramStart"/>
      <w:r w:rsidRPr="00F44DF2">
        <w:rPr>
          <w:rFonts w:ascii="Arial" w:hAnsi="Arial" w:cs="Arial"/>
          <w:sz w:val="24"/>
          <w:szCs w:val="24"/>
        </w:rPr>
        <w:t>useful compliance</w:t>
      </w:r>
      <w:proofErr w:type="gramEnd"/>
      <w:r w:rsidRPr="00F44DF2">
        <w:rPr>
          <w:rFonts w:ascii="Arial" w:hAnsi="Arial" w:cs="Arial"/>
          <w:sz w:val="24"/>
          <w:szCs w:val="24"/>
        </w:rPr>
        <w:t xml:space="preserve"> approach would be to use AWS security and compliance controls to protect sensitive customer information. For example, the company could enforce encryption for stored data, restrict access through IAM policies, monitor activity through logging, and use compliance documentation from AWS Artifact as evidence of the security controls provided by AWS.</w:t>
      </w:r>
    </w:p>
    <w:p w14:paraId="1D699F8B" w14:textId="77777777" w:rsidR="003D368D" w:rsidRPr="00F44DF2" w:rsidRDefault="00000000" w:rsidP="00F44DF2">
      <w:pPr>
        <w:spacing w:after="0"/>
        <w:rPr>
          <w:rFonts w:ascii="Arial" w:hAnsi="Arial" w:cs="Arial"/>
          <w:sz w:val="24"/>
          <w:szCs w:val="24"/>
        </w:rPr>
      </w:pPr>
      <w:r w:rsidRPr="00F44DF2">
        <w:rPr>
          <w:rFonts w:ascii="Arial" w:hAnsi="Arial" w:cs="Arial"/>
          <w:sz w:val="24"/>
          <w:szCs w:val="24"/>
        </w:rPr>
        <w:t>This helps PhonePe reduce unauthorized access and maintain appropriate security controls around customer data. If the application processes data subject to a specific privacy regulation, the company would still need to implement its own application-level and organizational compliance measures—using AWS compliance features does not automatically make the entire application compliant.</w:t>
      </w:r>
    </w:p>
    <w:sectPr w:rsidR="003D368D" w:rsidRPr="00F44DF2" w:rsidSect="00F44DF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3308595">
    <w:abstractNumId w:val="8"/>
  </w:num>
  <w:num w:numId="2" w16cid:durableId="424621213">
    <w:abstractNumId w:val="6"/>
  </w:num>
  <w:num w:numId="3" w16cid:durableId="1558321573">
    <w:abstractNumId w:val="5"/>
  </w:num>
  <w:num w:numId="4" w16cid:durableId="412119566">
    <w:abstractNumId w:val="4"/>
  </w:num>
  <w:num w:numId="5" w16cid:durableId="29261646">
    <w:abstractNumId w:val="7"/>
  </w:num>
  <w:num w:numId="6" w16cid:durableId="735931757">
    <w:abstractNumId w:val="3"/>
  </w:num>
  <w:num w:numId="7" w16cid:durableId="1812673274">
    <w:abstractNumId w:val="2"/>
  </w:num>
  <w:num w:numId="8" w16cid:durableId="29576088">
    <w:abstractNumId w:val="1"/>
  </w:num>
  <w:num w:numId="9" w16cid:durableId="1937782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D368D"/>
    <w:rsid w:val="00AA1D8D"/>
    <w:rsid w:val="00B47730"/>
    <w:rsid w:val="00CA77B0"/>
    <w:rsid w:val="00CB0664"/>
    <w:rsid w:val="00F44D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BE1531"/>
  <w14:defaultImageDpi w14:val="300"/>
  <w15:docId w15:val="{A29134CE-45A2-4141-BFF1-63CDF80D1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596</Words>
  <Characters>3400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Krutharth Vimalkumar Aliwala</cp:lastModifiedBy>
  <cp:revision>2</cp:revision>
  <dcterms:created xsi:type="dcterms:W3CDTF">2026-08-20T19:19:00Z</dcterms:created>
  <dcterms:modified xsi:type="dcterms:W3CDTF">2026-08-20T19:19:00Z</dcterms:modified>
  <cp:category/>
</cp:coreProperties>
</file>