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Статья 13.11 КоАП РФ</w:t>
      </w:r>
    </w:p>
    <w:p>
      <w:pPr>
        <w:spacing w:after="120"/>
      </w:pPr>
      <w:r>
        <w:rPr>
          <w:b/>
          <w:sz w:val="22"/>
          <w:szCs w:val="22"/>
        </w:rPr>
        <w:t xml:space="preserve">Нарушение законодательства Российской Федерации в области персональных данных</w:t>
      </w:r>
    </w:p>
    <w:p>
      <w:pPr>
        <w:spacing w:after="60"/>
      </w:pPr>
      <w:r>
        <w:rPr>
          <w:sz w:val="16"/>
          <w:szCs w:val="16"/>
        </w:rPr>
        <w:t xml:space="preserve">Источник: КонсультантПлюс, https://www.consultant.ru/document/cons_doc_LAW_34661/1f421640c6775ff67079ebde06a7d2f6d17b96db/</w:t>
      </w:r>
    </w:p>
    <w:p>
      <w:pPr>
        <w:spacing w:after="200"/>
      </w:pPr>
      <w:r>
        <w:rPr>
          <w:sz w:val="16"/>
          <w:szCs w:val="16"/>
        </w:rPr>
        <w:t xml:space="preserve">Редакция: в ред. от 26.07.2026, с изм., вступ. в силу с 01.09.2026</w:t>
      </w:r>
    </w:p>
    <w:p>
      <w:pPr>
        <w:pStyle w:val="Heading2"/>
      </w:pPr>
      <w:r>
        <w:t xml:space="preserve">Таблица штрафов по частям статьи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Часть</w:t>
            </w:r>
          </w:p>
        </w:tc>
        <w:tc>
          <w:tcPr>
            <w:tcW w:w="320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Нарушение</w:t>
            </w:r>
          </w:p>
        </w:tc>
        <w:tc>
          <w:tcPr>
            <w:tcW w:w="120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Граждане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Должностные лица</w:t>
            </w:r>
          </w:p>
        </w:tc>
        <w:tc>
          <w:tcPr>
            <w:tcW w:w="120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ИП</w:t>
            </w:r>
          </w:p>
        </w:tc>
        <w:tc>
          <w:tcPr>
            <w:tcW w:w="185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Юридические лица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Обработка ПДн в случаях, не предусмотренных законом, либо несовместимая с целями сбора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10 000–15 000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50 000–100 000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150 000–300 000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Повторное нарушение по ч. 1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15 000–30 000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100 000–200 000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300 000–500 000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Обработка ПДн без письменного согласия субъекта (когда оно обязательно) либо с нарушением требований к содержанию такого согласия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10 000–15 000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100 000–300 000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300 000–700 000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Повторное нарушение по ч. 2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15 000–30 000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300 000–500 000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500 000–1 000 000 ₽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1 000 000–1 500 000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 оператором обязанности опубликовать/обеспечить доступ к политике обработки ПДн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1 500–3 000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6 000–12 000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10 000–20 000 ₽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30 000–60 000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 обязанности предоставить субъекту ПДн информацию об обработке его данных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2 000–4 000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8 000–12 000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20 000–30 000 ₽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40 000–80 000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 в срок требования об уточнении, блокировании или уничтожении ПДн (неполных, устаревших, неточных, незаконно полученных, лишних)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2 000–4 000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8 000–20 000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20 000–40 000 ₽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50 000–90 000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Повторное нарушение по ч. 5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20 000–30 000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30 000–50 000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50 000–100 000 ₽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300 000–500 000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 при неавтоматизированной обработке ПДн обязанности по сохранности материальных носителей, если это повлекло неправомерный/случайный доступ, уничтожение, изменение и т. п.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1 500–4 000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8 000–20 000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20 000–40 000 ₽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50 000–100 000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 оператором-госорганом обязанности по обезличиванию ПДн или несоблюдение требований к обезличиванию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6 000–12 000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 обязанности хранить/обрабатывать ПДн граждан РФ в базах данных на территории РФ (в т. ч. через интернет)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30 000–50 000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100 000–200 000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1 000 000–6 000 000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Повторное нарушение по ч. 8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50 000–100 000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500 000–800 000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6 000 000–18 000 000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Невыполнение/несвоевременное выполнение обязанности уведомить Роскомнадзор о намерении обрабатывать ПДн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5 000–10 000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30 000–50 000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100 000–300 000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Невыполнение/несвоевременное уведомление Роскомнадзора о факте неправомерной/случайной передачи ПДн, нарушившей права субъектов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50 000–100 000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400 000–800 000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1 000 000–3 000 000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Неправомерная передача ПДн 1 000–10 000 субъектов и/или 10 000–100 000 идентификаторов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100 000–200 000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200 000–400 000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3 000 000–5 000 000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Неправомерная передача ПДн 10 000–100 000 субъектов и/или 100 000–1 000 000 идентификаторов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200 000–300 000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300 000–500 000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5 000 000–10 000 000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Неправомерная передача ПДн более 100 000 субъектов и/или более 1 000 000 идентификаторов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300 000–400 000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400 000–600 000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10 000 000–15 000 000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Повторное нарушение по ч. 12–14 (лицом, ранее наказанным по ч. 12–18)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400 000–600 000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800 000–1 200 000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1–3% годовой выручки, но не менее 20 000 000 ₽ и не более 500 000 000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Неправомерная передача специальной категории ПДн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300 000–400 000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1 000 000–1 300 000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10 000 000–15 000 000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Неправомерная передача биометрических ПДн (кроме случаев по ст. 13.11.3)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400 000–500 000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1 300 000–1 500 000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15 000 000–20 000 000 ₽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Повторное нарушение по ч. 16 или 17 (лицом, ранее наказанным по ч. 12–18)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500 000–800 000 ₽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1 500 000–2 000 000 ₽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как юр. лицо*</w:t>
            </w:r>
          </w:p>
        </w:tc>
        <w:tc>
          <w:tcPr>
            <w:tcW w:w="18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1–3% годовой выручки, но не менее 25 000 000 ₽ и не более 500 000 000 ₽</w:t>
            </w:r>
          </w:p>
        </w:tc>
      </w:tr>
    </w:tbl>
    <w:p>
      <w:pPr>
        <w:spacing w:after="100"/>
      </w:pPr>
      <w:r>
        <w:rPr/>
        <w:t xml:space="preserve"/>
      </w:r>
    </w:p>
    <w:p>
      <w:pPr>
        <w:spacing w:after="200"/>
      </w:pPr>
      <w:r>
        <w:rPr>
          <w:sz w:val="16"/>
          <w:szCs w:val="16"/>
        </w:rPr>
        <w:t xml:space="preserve">* Согласно примечанию 1: за нарушения по ч. 1.1, 8–18, а также по ст. 13.31, 13.35–13.37, 13.39, 13.40, 13.46 КоАП РФ индивидуальные предприниматели несут административную ответственность как юридические лица.</w:t>
      </w:r>
    </w:p>
    <w:p>
      <w:pPr>
        <w:pStyle w:val="Heading2"/>
      </w:pPr>
      <w:r>
        <w:t xml:space="preserve">Примечания к статье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70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№</w:t>
            </w:r>
          </w:p>
        </w:tc>
        <w:tc>
          <w:tcPr>
            <w:tcW w:w="8650" w:type="dxa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Пояснение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86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 частях 10–18 «должностное лицо» — это должностное лицо госоргана, муниципального органа или НКО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6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 частях 10–18 «юридическое лицо» — оператор, не являющийся госорганом, муниципальным органом или НКО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86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«Идентификатор» — уникальное обозначение сведений о физлице в информационной системе оператора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6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При назначении наказания по ч. 15 и 18 учитывается отягчающее обстоятельство — повторность/рецидив по ч. 1–11, а также ст. 13.6, 13.12 КоАП</w:t>
            </w:r>
          </w:p>
        </w:tc>
      </w:tr>
    </w:tbl>
    <w:p>
      <w:pPr>
        <w:spacing w:after="100"/>
      </w:pPr>
      <w:r>
        <w:rPr/>
        <w:t xml:space="preserve"/>
      </w:r>
    </w:p>
    <w:p>
      <w:pPr>
        <w:pStyle w:val="Heading2"/>
      </w:pPr>
      <w:r>
        <w:t xml:space="preserve">Уполномоченный орган</w:t>
      </w:r>
    </w:p>
    <w:p>
      <w:pPr>
        <w:spacing w:after="200"/>
      </w:pPr>
      <w:r>
        <w:rPr/>
        <w:t xml:space="preserve">Уполномоченным органом по защите прав субъектов персональных данных, упоминаемым в статье, является Роскомнадзор (Федеральная служба по надзору в сфере связи, информационных технологий и массовых коммуникаций) — согласно ст. 23 Федерального закона № 152-ФЗ «О персональных данных».</w:t>
      </w:r>
    </w:p>
    <w:p>
      <w:pPr/>
      <w:r>
        <w:rPr>
          <w:b/>
        </w:rPr>
        <w:t xml:space="preserve">Важно: это административная ответственность по КоАП РФ. Если нарушение содержит признаки уголовно наказуемого деяния, применяется УК РФ, а не эта статья (см. оговорки в ч. 1, 2, 6, 12–14, 17).</w:t>
      </w:r>
    </w:p>
    <w:sectPr>
      <w:pgSz w:w="16838" w:h="11906" w:orient="landscape"/>
      <w:pgMar w:top="850" w:right="850" w:bottom="850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lang w:val="ru-RU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32"/>
      <w:szCs w:val="32"/>
      <w:color w:val="1F1F1F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26"/>
      <w:szCs w:val="26"/>
      <w:color w:val="1F1F1F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Статья 13.11 КоАП РФ — ответственность за нарушение законодательства о персональных данных</dc:title>
  <dc:creator>Claude</dc:creator>
  <cp:lastModifiedBy>Claude</cp:lastModifiedBy>
  <dcterms:created xsi:type="dcterms:W3CDTF">2026-09-10T00:00:00Z</dcterms:created>
  <dcterms:modified xsi:type="dcterms:W3CDTF">2026-09-10T00:00:00Z</dcterms:modified>
</cp:coreProperties>
</file>