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Main Findings: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hotel 28 (irregular patterns, likely due to closure) and hotel 77 (short time series), making them insignificant for our analysis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project compared multiple forecasting approaches for hotel occupancy demand, including: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Traditional time-series baseline models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Neural forecasting models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TabPFN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used daily hotel-level observations and included: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pace / on-the-books variables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features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Day-of-week indicators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Holiday indicators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Hotel-type controls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Chronos model performed the best for us, winning on 9/17 hotels for MAE and RMSE, and 6/17 hotels for MAPE. The small negative bias suggests Chronos was generally performing well, with only a slight tendency to underpredict.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MAE: 0.106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RMSE: 0.128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MAPE: 18.6%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Bias: -0.006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Neural forecasting models such as NBEATS and NHITS were useful comparison models, but they generally performed worse than Chronos and LightGBM.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LightGBM also performed competitively, but its errors were slightly higher than Chronos: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MAE: 0.125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RMSE: 0.149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MAPE: 21.6%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Chronos was a strong model, we can see in our plots and what we used in class that it does not do well on high volatility hotels such as 35 and 42. AutoARIMA/Seasonal Naive would be better models for these higher volatility hotels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some of these series, MAPE is not a good indicator. Many hotels have zero occupancy days which inflates the number. We recommend using MAE and RMSE as metrics for this hotel dataset.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TabPFN performed well in a separate Colab run, but it required GPU support and had more setup limitations, making it less practical as the main forecasting pipeline.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Overall, the results show that hotel occupancy forecasting benefits from models that can capture: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Recent booking behavior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Day-of-week patterns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Holiday effects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Differences across hotel types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final Chronos forecasts provide a practical 28-day view of expected occupancy, which could help hotels make better staffing, pricing, and inventory decisions.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