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28"/>
          <w:szCs w:val="28"/>
        </w:rPr>
        <w:t xml:space="preserve">STANDARD OPERATING PROCEDURE</w:t>
      </w:r>
    </w:p>
    <w:p>
      <w:pPr>
        <w:spacing w:after="400"/>
        <w:jc w:val="center"/>
      </w:pPr>
      <w:r>
        <w:rPr>
          <w:rFonts w:ascii="Arial" w:cs="Arial" w:eastAsia="Arial" w:hAnsi="Arial"/>
          <w:b/>
          <w:bCs/>
          <w:color w:val="1B3A5C"/>
          <w:sz w:val="36"/>
          <w:szCs w:val="36"/>
        </w:rPr>
        <w:t xml:space="preserve">Cost Escalation Investigation &amp; Response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 ID</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SOP-MCM-001</w:t>
            </w:r>
          </w:p>
        </w:tc>
      </w:tr>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Version</w:t>
            </w:r>
          </w:p>
        </w:tc>
        <w:tc>
          <w:tcPr>
            <w:tcW w:type="dxa" w:w="6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2.1</w:t>
            </w:r>
          </w:p>
        </w:tc>
      </w:tr>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Effective Date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January 1, 2025</w:t>
            </w:r>
          </w:p>
        </w:tc>
      </w:tr>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Review Date</w:t>
            </w:r>
          </w:p>
        </w:tc>
        <w:tc>
          <w:tcPr>
            <w:tcW w:type="dxa" w:w="6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June 30, 2025</w:t>
            </w:r>
          </w:p>
        </w:tc>
      </w:tr>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Owner</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Medical Cost Management Division</w:t>
            </w:r>
          </w:p>
        </w:tc>
      </w:tr>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c>
          <w:tcPr>
            <w:tcW w:type="dxa" w:w="6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VP, Healthcare Analytics &amp; Cost Strategy</w:t>
            </w:r>
          </w:p>
        </w:tc>
      </w:tr>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Applies To</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group accounts with 500+ covered lives</w:t>
            </w:r>
          </w:p>
        </w:tc>
      </w:tr>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Classification</w:t>
            </w:r>
          </w:p>
        </w:tc>
        <w:tc>
          <w:tcPr>
            <w:tcW w:type="dxa" w:w="6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Internal — Confidential</w:t>
            </w:r>
          </w:p>
        </w:tc>
      </w:tr>
    </w:tbl>
    <w:p>
      <w:pPr>
        <w:spacing w:before="400"/>
      </w:pPr>
    </w:p>
    <w:p>
      <w:pPr>
        <w:pStyle w:val="Heading1"/>
      </w:pPr>
      <w:r>
        <w:t xml:space="preserve">1. Purpose</w:t>
      </w:r>
    </w:p>
    <w:p>
      <w:pPr>
        <w:spacing w:after="200"/>
      </w:pPr>
      <w:r>
        <w:t xml:space="preserve">This Standard Operating Procedure defines the mandatory investigation and response protocol when Per-Member-Per-Month (PMPM) cost thresholds are breached for any group account. The protocol ensures consistent, data-driven investigation of cost escalation drivers and establishes clear escalation paths, decision criteria, and remediation actions. This SOP is designed to integrate with the automated KPI threshold alerting system and the AI-powered insight generation engine.</w:t>
      </w:r>
    </w:p>
    <w:p>
      <w:pPr>
        <w:pStyle w:val="Heading1"/>
      </w:pPr>
      <w:r>
        <w:t xml:space="preserve">2. Scope</w:t>
      </w:r>
    </w:p>
    <w:p>
      <w:pPr>
        <w:spacing w:after="120"/>
      </w:pPr>
      <w:r>
        <w:t xml:space="preserve">This procedure applies to all self-insured and fully-insured group accounts managed by the Medical Cost Management Division. It covers the following cost metrics and their associated threshold levels:</w:t>
      </w:r>
    </w:p>
    <w:p>
      <w:pPr>
        <w:pStyle w:val="ListParagraph"/>
        <w:numPr>
          <w:ilvl w:val="0"/>
          <w:numId w:val="2"/>
        </w:numPr>
      </w:pPr>
      <w:r>
        <w:t xml:space="preserve">PMPM Cost (overall and by chronic condition)</w:t>
      </w:r>
    </w:p>
    <w:p>
      <w:pPr>
        <w:pStyle w:val="ListParagraph"/>
        <w:numPr>
          <w:ilvl w:val="0"/>
          <w:numId w:val="2"/>
        </w:numPr>
      </w:pPr>
      <w:r>
        <w:t xml:space="preserve">Total Paid Amount (overall and by chronic condition)</w:t>
      </w:r>
    </w:p>
    <w:p>
      <w:pPr>
        <w:pStyle w:val="ListParagraph"/>
        <w:numPr>
          <w:ilvl w:val="0"/>
          <w:numId w:val="2"/>
        </w:numPr>
      </w:pPr>
      <w:r>
        <w:t xml:space="preserve">Average Cost Per Encounter (by encounter type and network status)</w:t>
      </w:r>
    </w:p>
    <w:p>
      <w:pPr>
        <w:pStyle w:val="ListParagraph"/>
        <w:numPr>
          <w:ilvl w:val="0"/>
          <w:numId w:val="2"/>
        </w:numPr>
      </w:pPr>
      <w:r>
        <w:t xml:space="preserve">Out-of-Network Utilization Rate</w:t>
      </w:r>
    </w:p>
    <w:p>
      <w:pPr>
        <w:pStyle w:val="ListParagraph"/>
        <w:numPr>
          <w:ilvl w:val="0"/>
          <w:numId w:val="2"/>
        </w:numPr>
      </w:pPr>
      <w:r>
        <w:t xml:space="preserve">Provider Cost Concentration Index</w:t>
      </w:r>
    </w:p>
    <w:p>
      <w:pPr>
        <w:pStyle w:val="ListParagraph"/>
        <w:numPr>
          <w:ilvl w:val="0"/>
          <w:numId w:val="2"/>
        </w:numPr>
        <w:spacing w:after="200"/>
      </w:pPr>
      <w:r>
        <w:t xml:space="preserve">ER Visit Rate per 1,000 members</w:t>
      </w:r>
    </w:p>
    <w:p>
      <w:pPr>
        <w:pStyle w:val="Heading1"/>
      </w:pPr>
      <w:r>
        <w:t xml:space="preserve">3.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Term</w:t>
            </w:r>
          </w:p>
        </w:tc>
        <w:tc>
          <w:tcPr>
            <w:tcW w:type="dxa" w:w="6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PMPM Cost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Total claims cost divided by total member months for a given period. Formula: SUM(total_cost_incurred) / member_months.</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CPE</w:t>
            </w:r>
          </w:p>
        </w:tc>
        <w:tc>
          <w:tcPr>
            <w:tcW w:type="dxa" w:w="6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Cost Per Encounter. Average cost for a single healthcare encounter. Formula: SUM(total_cost_incurred) / COUNT(encounters).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Yellow Alert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Warning threshold breach requiring monitoring and preliminary investigation. Typically triggered at 10% YoY increase.</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Red Alert</w:t>
            </w:r>
          </w:p>
        </w:tc>
        <w:tc>
          <w:tcPr>
            <w:tcW w:type="dxa" w:w="6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Critical threshold breach requiring immediate investigation and escalation. Typically triggered at 20% YoY increase.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OON Rate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Out-of-Network utilization rate as a percentage of total encounters.</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KPI Hierarchy</w:t>
            </w:r>
          </w:p>
        </w:tc>
        <w:tc>
          <w:tcPr>
            <w:tcW w:type="dxa" w:w="6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The structured decomposition tree from PMPM → Total Paid → CPE / Encounters → By Condition → By Encounter Type → By Network Type.</w:t>
            </w:r>
          </w:p>
        </w:tc>
      </w:tr>
    </w:tbl>
    <w:p>
      <w:pPr>
        <w:spacing w:before="200"/>
      </w:pPr>
    </w:p>
    <w:p>
      <w:pPr>
        <w:pStyle w:val="Heading1"/>
      </w:pPr>
      <w:r>
        <w:t xml:space="preserve">4. Threshold Alert Levels and Triggers</w:t>
      </w:r>
    </w:p>
    <w:p>
      <w:pPr>
        <w:spacing w:after="200"/>
      </w:pPr>
      <w:r>
        <w:t xml:space="preserve">The following table defines the standard threshold levels applied to all monitored KPIs. These thresholds are calibrated annually using prior-year baselines and industry benchmark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930"/>
        <w:gridCol w:w="1930"/>
      </w:tblGrid>
      <w:tr>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Alert Level</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YoY Change</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MoM Change</w:t>
            </w:r>
          </w:p>
        </w:tc>
        <w:tc>
          <w:tcPr>
            <w:tcW w:type="dxa" w:w="19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Response Time</w:t>
            </w:r>
          </w:p>
        </w:tc>
        <w:tc>
          <w:tcPr>
            <w:tcW w:type="dxa" w:w="19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Escalation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Green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&lt; 10%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&lt; 5%</w:t>
            </w:r>
          </w:p>
        </w:tc>
        <w:tc>
          <w:tcPr>
            <w:tcW w:type="dxa" w:w="19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c>
          <w:tcPr>
            <w:tcW w:type="dxa" w:w="19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15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Yellow</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10% – 20%</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5% – 10%</w:t>
            </w:r>
          </w:p>
        </w:tc>
        <w:tc>
          <w:tcPr>
            <w:tcW w:type="dxa" w:w="193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5 business days</w:t>
            </w:r>
          </w:p>
        </w:tc>
        <w:tc>
          <w:tcPr>
            <w:tcW w:type="dxa" w:w="193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Cost Manager + Team Lead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&gt; 20%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&gt; 10%</w:t>
            </w:r>
          </w:p>
        </w:tc>
        <w:tc>
          <w:tcPr>
            <w:tcW w:type="dxa" w:w="19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 business days</w:t>
            </w:r>
          </w:p>
        </w:tc>
        <w:tc>
          <w:tcPr>
            <w:tcW w:type="dxa" w:w="19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VP + Account Executive</w:t>
            </w:r>
          </w:p>
        </w:tc>
      </w:tr>
    </w:tbl>
    <w:p>
      <w:pPr>
        <w:spacing w:before="200"/>
      </w:pPr>
    </w:p>
    <w:p>
      <w:pPr>
        <w:pStyle w:val="Heading1"/>
      </w:pPr>
      <w:r>
        <w:t xml:space="preserve">5. Investigation Protocol</w:t>
      </w:r>
    </w:p>
    <w:p>
      <w:pPr>
        <w:pStyle w:val="Heading2"/>
      </w:pPr>
      <w:r>
        <w:t xml:space="preserve">5.1 Phase 1: Initial Assessment (Day 1)</w:t>
      </w:r>
    </w:p>
    <w:p>
      <w:pPr>
        <w:spacing w:after="120"/>
      </w:pPr>
      <w:r>
        <w:t xml:space="preserve">Upon receiving a threshold breach alert from the KPI monitoring system, the assigned Medical Cost Analyst must complete the following steps within the first business day:</w:t>
      </w:r>
    </w:p>
    <w:p>
      <w:pPr>
        <w:pStyle w:val="ListParagraph"/>
        <w:numPr>
          <w:ilvl w:val="0"/>
          <w:numId w:val="3"/>
        </w:numPr>
      </w:pPr>
      <w:r>
        <w:rPr>
          <w:b/>
          <w:bCs/>
        </w:rPr>
        <w:t xml:space="preserve">Validate the alert: </w:t>
      </w:r>
      <w:r>
        <w:t xml:space="preserve">Confirm the threshold breach is not caused by data quality issues such as late claim submissions, duplicate encounter records, or retroactive adjustments. Run the data integrity query against the claims table for the flagged period.</w:t>
      </w:r>
    </w:p>
    <w:p>
      <w:pPr>
        <w:pStyle w:val="ListParagraph"/>
        <w:numPr>
          <w:ilvl w:val="0"/>
          <w:numId w:val="3"/>
        </w:numPr>
      </w:pPr>
      <w:r>
        <w:rPr>
          <w:b/>
          <w:bCs/>
        </w:rPr>
        <w:t xml:space="preserve">Identify affected KPI level: </w:t>
      </w:r>
      <w:r>
        <w:t xml:space="preserve">Determine which level of the KPI hierarchy is breached (PMPM, Total Paid, CPE, Encounters). Document the specific metric value and the threshold it exceeded.</w:t>
      </w:r>
    </w:p>
    <w:p>
      <w:pPr>
        <w:pStyle w:val="ListParagraph"/>
        <w:numPr>
          <w:ilvl w:val="0"/>
          <w:numId w:val="3"/>
        </w:numPr>
      </w:pPr>
      <w:r>
        <w:rPr>
          <w:b/>
          <w:bCs/>
        </w:rPr>
        <w:t xml:space="preserve">Generate initial decomposition: </w:t>
      </w:r>
      <w:r>
        <w:t xml:space="preserve">Use the ChatAI system or manual SQL queries to decompose the breached KPI one level down the hierarchy. For example, if PMPM is breached, determine whether it is driven by Total Paid Amount increases or member count changes.</w:t>
      </w:r>
    </w:p>
    <w:p>
      <w:pPr>
        <w:pStyle w:val="ListParagraph"/>
        <w:numPr>
          <w:ilvl w:val="0"/>
          <w:numId w:val="3"/>
        </w:numPr>
      </w:pPr>
      <w:r>
        <w:rPr>
          <w:b/>
          <w:bCs/>
        </w:rPr>
        <w:t xml:space="preserve">Log findings: </w:t>
      </w:r>
      <w:r>
        <w:t xml:space="preserve">Record the initial assessment in the Cost Escalation Tracker with the alert ID, timestamp, affected account, breached metric, and preliminary decomposition results.</w:t>
      </w:r>
    </w:p>
    <w:p>
      <w:pPr>
        <w:pStyle w:val="Heading2"/>
      </w:pPr>
      <w:r>
        <w:t xml:space="preserve">5.2 Phase 2: Root Cause Analysis (Days 2–3)</w:t>
      </w:r>
    </w:p>
    <w:p>
      <w:pPr>
        <w:spacing w:after="120"/>
      </w:pPr>
      <w:r>
        <w:t xml:space="preserve">The analyst must drill through the full KPI hierarchy following the prescribed decision tree:</w:t>
      </w:r>
    </w:p>
    <w:p>
      <w:pPr>
        <w:pStyle w:val="ListParagraph"/>
        <w:numPr>
          <w:ilvl w:val="0"/>
          <w:numId w:val="3"/>
        </w:numPr>
      </w:pPr>
      <w:r>
        <w:rPr>
          <w:b/>
          <w:bCs/>
        </w:rPr>
        <w:t xml:space="preserve">Cost vs. Volume decomposition: </w:t>
      </w:r>
      <w:r>
        <w:t xml:space="preserve">Determine whether the cost increase is driven by higher Average CPE (price inflation) or increased encounter volume (utilization growth). If CPE is the driver, proceed to Step 2. If volume is the driver, proceed to Step 3.</w:t>
      </w:r>
    </w:p>
    <w:p>
      <w:pPr>
        <w:pStyle w:val="ListParagraph"/>
        <w:numPr>
          <w:ilvl w:val="0"/>
          <w:numId w:val="3"/>
        </w:numPr>
      </w:pPr>
      <w:r>
        <w:rPr>
          <w:b/>
          <w:bCs/>
        </w:rPr>
        <w:t xml:space="preserve">CPE drill-down by chronic condition: </w:t>
      </w:r>
      <w:r>
        <w:t xml:space="preserve">Calculate YoY CPE change for each of the six chronic conditions (Cancer, Diabetes, Hypertension, Alzheimer’s, Arthritis, Others). Flag any condition with CPE growth exceeding the 15% anomaly threshold.</w:t>
      </w:r>
    </w:p>
    <w:p>
      <w:pPr>
        <w:pStyle w:val="ListParagraph"/>
        <w:numPr>
          <w:ilvl w:val="0"/>
          <w:numId w:val="3"/>
        </w:numPr>
      </w:pPr>
      <w:r>
        <w:rPr>
          <w:b/>
          <w:bCs/>
        </w:rPr>
        <w:t xml:space="preserve">Encounter type analysis: </w:t>
      </w:r>
      <w:r>
        <w:t xml:space="preserve">For flagged chronic conditions, further decompose by encounter type (In-patient hospitalizations, Surgical procedures, Outpatient clinic visits, ER Visits, Specialist Consultations, Ambulatory Services, Dietary Consultations).</w:t>
      </w:r>
    </w:p>
    <w:p>
      <w:pPr>
        <w:pStyle w:val="ListParagraph"/>
        <w:numPr>
          <w:ilvl w:val="0"/>
          <w:numId w:val="3"/>
        </w:numPr>
      </w:pPr>
      <w:r>
        <w:rPr>
          <w:b/>
          <w:bCs/>
        </w:rPr>
        <w:t xml:space="preserve">Network type analysis (leaf node): </w:t>
      </w:r>
      <w:r>
        <w:t xml:space="preserve">At the lowest hierarchy level, split costs between In-Network and Out-of-Network providers. Calculate the OON utilization share and OON cost premium for each flagged condition-encounter combination.</w:t>
      </w:r>
    </w:p>
    <w:p>
      <w:pPr>
        <w:pStyle w:val="ListParagraph"/>
        <w:numPr>
          <w:ilvl w:val="0"/>
          <w:numId w:val="3"/>
        </w:numPr>
      </w:pPr>
      <w:r>
        <w:rPr>
          <w:b/>
          <w:bCs/>
        </w:rPr>
        <w:t xml:space="preserve">Provider-level investigation: </w:t>
      </w:r>
      <w:r>
        <w:t xml:space="preserve">Identify the top 5 providers by total cost contribution and average CPE for the flagged segments. Check for new provider additions, contract rate changes, or volume shifts. Cross-reference with SOP-MCM-002 (Out-of-Network Utilization Management) for OON-related findings.</w:t>
      </w:r>
    </w:p>
    <w:p>
      <w:pPr>
        <w:pStyle w:val="Heading2"/>
      </w:pPr>
      <w:r>
        <w:t xml:space="preserve">5.3 Phase 3: Impact Quantification (Day 4)</w:t>
      </w:r>
    </w:p>
    <w:p>
      <w:pPr>
        <w:pStyle w:val="ListParagraph"/>
        <w:numPr>
          <w:ilvl w:val="0"/>
          <w:numId w:val="3"/>
        </w:numPr>
      </w:pPr>
      <w:r>
        <w:rPr>
          <w:b/>
          <w:bCs/>
        </w:rPr>
        <w:t xml:space="preserve">Calculate absolute dollar impact: </w:t>
      </w:r>
      <w:r>
        <w:t xml:space="preserve">For each identified root cause, compute the absolute cost contribution to the total PMPM increase. Use the formula: Impact = (Current CPE - Baseline CPE) × Current Encounter Volume.</w:t>
      </w:r>
    </w:p>
    <w:p>
      <w:pPr>
        <w:pStyle w:val="ListParagraph"/>
        <w:numPr>
          <w:ilvl w:val="0"/>
          <w:numId w:val="3"/>
        </w:numPr>
      </w:pPr>
      <w:r>
        <w:rPr>
          <w:b/>
          <w:bCs/>
        </w:rPr>
        <w:t xml:space="preserve">Rank root causes: </w:t>
      </w:r>
      <w:r>
        <w:t xml:space="preserve">Order root causes by their percentage contribution to the total cost increase. The top 3 root causes must be individually documented with supporting data.</w:t>
      </w:r>
    </w:p>
    <w:p>
      <w:pPr>
        <w:pStyle w:val="ListParagraph"/>
        <w:numPr>
          <w:ilvl w:val="0"/>
          <w:numId w:val="3"/>
        </w:numPr>
      </w:pPr>
      <w:r>
        <w:rPr>
          <w:b/>
          <w:bCs/>
        </w:rPr>
        <w:t xml:space="preserve">Forecast projection: </w:t>
      </w:r>
      <w:r>
        <w:t xml:space="preserve">If the identified trends continue at the current rate, project the annualized PMPM impact and total cost for the account. Flag if the projected annual cost exceeds the account’s budget by more than 10%.</w:t>
      </w:r>
    </w:p>
    <w:p>
      <w:pPr>
        <w:pStyle w:val="Heading2"/>
      </w:pPr>
      <w:r>
        <w:t xml:space="preserve">5.4 Phase 4: Remediation Plan (Day 5)</w:t>
      </w:r>
    </w:p>
    <w:p>
      <w:pPr>
        <w:pStyle w:val="ListParagraph"/>
        <w:numPr>
          <w:ilvl w:val="0"/>
          <w:numId w:val="3"/>
        </w:numPr>
      </w:pPr>
      <w:r>
        <w:rPr>
          <w:b/>
          <w:bCs/>
        </w:rPr>
        <w:t xml:space="preserve">Develop targeted interventions: </w:t>
      </w:r>
      <w:r>
        <w:t xml:space="preserve">Based on the root cause analysis, propose specific interventions from the approved intervention catalog (see Section 7). Each intervention must include an estimated cost savings, implementation timeline, and responsible owner.</w:t>
      </w:r>
    </w:p>
    <w:p>
      <w:pPr>
        <w:pStyle w:val="ListParagraph"/>
        <w:numPr>
          <w:ilvl w:val="0"/>
          <w:numId w:val="3"/>
        </w:numPr>
      </w:pPr>
      <w:r>
        <w:rPr>
          <w:b/>
          <w:bCs/>
        </w:rPr>
        <w:t xml:space="preserve">Prepare executive summary: </w:t>
      </w:r>
      <w:r>
        <w:t xml:space="preserve">Create a one-page summary with: the breached KPI, root cause hierarchy, top 3 drivers with dollar impact, proposed interventions, and projected savings.</w:t>
      </w:r>
    </w:p>
    <w:p>
      <w:pPr>
        <w:pStyle w:val="ListParagraph"/>
        <w:numPr>
          <w:ilvl w:val="0"/>
          <w:numId w:val="3"/>
        </w:numPr>
      </w:pPr>
      <w:r>
        <w:rPr>
          <w:b/>
          <w:bCs/>
        </w:rPr>
        <w:t xml:space="preserve">Schedule review meeting: </w:t>
      </w:r>
      <w:r>
        <w:t xml:space="preserve">For Yellow alerts, schedule review with the Cost Management team lead within 5 business days. For Red alerts, schedule an urgent review with the VP of Healthcare Analytics within 2 business days.</w:t>
      </w:r>
    </w:p>
    <w:p>
      <w:r>
        <w:br/>
        <w:t xml:space="preserve"/>
      </w:r>
    </w:p>
    <w:p>
      <w:r>
        <w:br w:type="page"/>
      </w:r>
    </w:p>
    <w:p>
      <w:pPr>
        <w:pStyle w:val="Heading1"/>
      </w:pPr>
      <w:r>
        <w:t xml:space="preserve">6.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000"/>
        <w:gridCol w:w="2160"/>
      </w:tblGrid>
      <w:tr>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Scenario</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Alert Level</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Primary Owner</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Escalation To</w:t>
            </w:r>
          </w:p>
        </w:tc>
        <w:tc>
          <w:tcPr>
            <w:tcW w:type="dxa" w:w="2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SLA</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Single KPI breach (YoY 10-20%)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Yellow</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Medical Cost Analyst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Team Lead</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Report within 5 days</w:t>
            </w:r>
          </w:p>
        </w:tc>
      </w:tr>
      <w:tr>
        <w:tc>
          <w:tcPr>
            <w:tcW w:type="dxa" w:w="1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Single KPI breach (YoY &gt;20%)</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Red</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Senior Analyst</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VP Analytics</w:t>
            </w:r>
          </w:p>
        </w:tc>
        <w:tc>
          <w:tcPr>
            <w:tcW w:type="dxa" w:w="2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Report within 2 days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Multiple KPI breach (3+ KPIs)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Team Lead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VP + Account Exec</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War room within 24 hrs</w:t>
            </w:r>
          </w:p>
        </w:tc>
      </w:tr>
      <w:tr>
        <w:tc>
          <w:tcPr>
            <w:tcW w:type="dxa" w:w="1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OON Rate &gt; 40%</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Red</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Network Mgmt Lead</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VP + Network Dir.</w:t>
            </w:r>
          </w:p>
        </w:tc>
        <w:tc>
          <w:tcPr>
            <w:tcW w:type="dxa" w:w="2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Report within 2 days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Provider CPE outlier (&gt;2.5 SD)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Provider Relations Analyst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Contract Mgmt Dir.</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Contract review in 10 days</w:t>
            </w:r>
          </w:p>
        </w:tc>
      </w:tr>
    </w:tbl>
    <w:p>
      <w:pPr>
        <w:spacing w:before="200"/>
      </w:pPr>
    </w:p>
    <w:p>
      <w:pPr>
        <w:pStyle w:val="Heading1"/>
      </w:pPr>
      <w:r>
        <w:t xml:space="preserve">7. Approved Intervention Catalog</w:t>
      </w:r>
    </w:p>
    <w:p>
      <w:pPr>
        <w:spacing w:after="120"/>
      </w:pPr>
      <w:r>
        <w:t xml:space="preserve">The following interventions are pre-approved for deployment when the corresponding root cause is identified. Any intervention not listed below requires VP-level approval before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1960"/>
      </w:tblGrid>
      <w:tr>
        <w:tc>
          <w:tcPr>
            <w:tcW w:type="dxa" w:w="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Intervention</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Root Cause</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Expected Savings</w:t>
            </w:r>
          </w:p>
        </w:tc>
        <w:tc>
          <w:tcPr>
            <w:tcW w:type="dxa" w:w="1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INT-01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Enhanced pre-authorization for in-patient admissions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In-patient CPE inflation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8–12% reduction in avoidable admissions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 days</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INT-02</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Care navigation program for OON steerage</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OON utilization surge</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15–25% OON volume reduction</w:t>
            </w:r>
          </w:p>
        </w:tc>
        <w:tc>
          <w:tcPr>
            <w:tcW w:type="dxa" w:w="19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60 days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INT-03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Provider contract renegotiation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Provider CPE outlier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5–15% CPE reduction per provider</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90 days</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INT-04</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Site-of-service optimization (in-patient to ambulatory)</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High surgical/in-patient mix</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20–40% per-encounter savings on shifted cases</w:t>
            </w:r>
          </w:p>
        </w:tc>
        <w:tc>
          <w:tcPr>
            <w:tcW w:type="dxa" w:w="19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90 days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INT-05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Disease management program enrollment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Chronic condition cost concentration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10–18% long-term PMPM reduction</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180 days</w:t>
            </w:r>
          </w:p>
        </w:tc>
      </w:tr>
      <w:tr>
        <w:tc>
          <w:tcPr>
            <w:tcW w:type="dxa" w:w="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INT-06</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ER diversion and urgent care redirection</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Elevated ER utilization rate</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$1,500–$2,500 savings per diverted ER visit</w:t>
            </w:r>
          </w:p>
        </w:tc>
        <w:tc>
          <w:tcPr>
            <w:tcW w:type="dxa" w:w="19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45 days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INT-07</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Network adequacy gap analysis and provider recruitment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Network gap driving OON utilization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Structural OON reduction of 10–20 ppts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120 days</w:t>
            </w:r>
          </w:p>
        </w:tc>
      </w:tr>
    </w:tbl>
    <w:p>
      <w:pPr>
        <w:spacing w:before="200"/>
      </w:pPr>
    </w:p>
    <w:p>
      <w:pPr>
        <w:pStyle w:val="Heading1"/>
      </w:pPr>
      <w:r>
        <w:t xml:space="preserve">8. Documentation Requirements</w:t>
      </w:r>
    </w:p>
    <w:p>
      <w:pPr>
        <w:spacing w:after="120"/>
      </w:pPr>
      <w:r>
        <w:t xml:space="preserve">All cost escalation investigations must produce the following documentation, stored in the central analytics repository:</w:t>
      </w:r>
    </w:p>
    <w:p>
      <w:pPr>
        <w:pStyle w:val="ListParagraph"/>
        <w:numPr>
          <w:ilvl w:val="0"/>
          <w:numId w:val="2"/>
        </w:numPr>
      </w:pPr>
      <w:r>
        <w:rPr>
          <w:b/>
          <w:bCs/>
        </w:rPr>
        <w:t xml:space="preserve">Investigation Report: </w:t>
      </w:r>
      <w:r>
        <w:t xml:space="preserve">Full root cause analysis with KPI hierarchy drill-down, data tables, and SQL queries used.</w:t>
      </w:r>
    </w:p>
    <w:p>
      <w:pPr>
        <w:pStyle w:val="ListParagraph"/>
        <w:numPr>
          <w:ilvl w:val="0"/>
          <w:numId w:val="2"/>
        </w:numPr>
      </w:pPr>
      <w:r>
        <w:rPr>
          <w:b/>
          <w:bCs/>
        </w:rPr>
        <w:t xml:space="preserve">Executive Summary: </w:t>
      </w:r>
      <w:r>
        <w:t xml:space="preserve">One-page summary for leadership review, including top 3 root causes, dollar impact, and proposed interventions.</w:t>
      </w:r>
    </w:p>
    <w:p>
      <w:pPr>
        <w:pStyle w:val="ListParagraph"/>
        <w:numPr>
          <w:ilvl w:val="0"/>
          <w:numId w:val="2"/>
        </w:numPr>
      </w:pPr>
      <w:r>
        <w:rPr>
          <w:b/>
          <w:bCs/>
        </w:rPr>
        <w:t xml:space="preserve">Remediation Tracker: </w:t>
      </w:r>
      <w:r>
        <w:t xml:space="preserve">Intervention plan with responsible owners, target dates, and progress milestones.</w:t>
      </w:r>
    </w:p>
    <w:p>
      <w:pPr>
        <w:pStyle w:val="ListParagraph"/>
        <w:numPr>
          <w:ilvl w:val="0"/>
          <w:numId w:val="2"/>
        </w:numPr>
      </w:pPr>
      <w:r>
        <w:rPr>
          <w:b/>
          <w:bCs/>
        </w:rPr>
        <w:t xml:space="preserve">Threshold Recalibration Form: </w:t>
      </w:r>
      <w:r>
        <w:t xml:space="preserve">If the investigation reveals that thresholds require adjustment due to structural changes (e.g., new benefit design, member population change), submit a recalibration request.</w:t>
      </w:r>
    </w:p>
    <w:p>
      <w:pPr>
        <w:pStyle w:val="Heading1"/>
      </w:pPr>
      <w:r>
        <w:t xml:space="preserve">9. SOP Performance Metrics</w:t>
      </w:r>
    </w:p>
    <w:p>
      <w:pPr>
        <w:spacing w:after="120"/>
      </w:pPr>
      <w:r>
        <w:t xml:space="preserve">The effectiveness of this SOP is measured quarterly using the following metrics:</w:t>
      </w:r>
    </w:p>
    <w:p>
      <w:pPr>
        <w:pStyle w:val="ListParagraph"/>
        <w:numPr>
          <w:ilvl w:val="0"/>
          <w:numId w:val="2"/>
        </w:numPr>
      </w:pPr>
      <w:r>
        <w:t xml:space="preserve">Average time from alert to completed investigation (target: 5 business days for Yellow, 2 for Red)</w:t>
      </w:r>
    </w:p>
    <w:p>
      <w:pPr>
        <w:pStyle w:val="ListParagraph"/>
        <w:numPr>
          <w:ilvl w:val="0"/>
          <w:numId w:val="2"/>
        </w:numPr>
      </w:pPr>
      <w:r>
        <w:t xml:space="preserve">Percentage of Red alerts with remediation plan deployed within 10 business days (target: 90%)</w:t>
      </w:r>
    </w:p>
    <w:p>
      <w:pPr>
        <w:pStyle w:val="ListParagraph"/>
        <w:numPr>
          <w:ilvl w:val="0"/>
          <w:numId w:val="2"/>
        </w:numPr>
      </w:pPr>
      <w:r>
        <w:t xml:space="preserve">PMPM cost trajectory 90 days post-intervention vs. pre-intervention baseline</w:t>
      </w:r>
    </w:p>
    <w:p>
      <w:pPr>
        <w:pStyle w:val="ListParagraph"/>
        <w:numPr>
          <w:ilvl w:val="0"/>
          <w:numId w:val="2"/>
        </w:numPr>
      </w:pPr>
      <w:r>
        <w:t xml:space="preserve">Percentage of investigations that correctly identified the root cause (validated by 6-month retrospective review)</w:t>
      </w:r>
    </w:p>
    <w:p>
      <w:pPr>
        <w:pStyle w:val="Heading1"/>
      </w:pPr>
      <w: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500"/>
        <w:gridCol w:w="4260"/>
      </w:tblGrid>
      <w:tr>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Version</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42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Changes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2024-01-15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Cost Management Division</w:t>
            </w:r>
          </w:p>
        </w:tc>
        <w:tc>
          <w:tcPr>
            <w:tcW w:type="dxa" w:w="4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Initial release</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2.0</w:t>
            </w:r>
          </w:p>
        </w:tc>
        <w:tc>
          <w:tcPr>
            <w:tcW w:type="dxa" w:w="1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2024-07-01</w:t>
            </w:r>
          </w:p>
        </w:tc>
        <w:tc>
          <w:tcPr>
            <w:tcW w:type="dxa" w:w="25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Cost Management Division</w:t>
            </w:r>
          </w:p>
        </w:tc>
        <w:tc>
          <w:tcPr>
            <w:tcW w:type="dxa" w:w="42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sz w:val="20"/>
                <w:szCs w:val="20"/>
              </w:rPr>
              <w:t xml:space="preserve">Added KPI threshold integration, ChatAI system references, and provider-level investigation steps.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2025-01-01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VP Healthcare Analytics</w:t>
            </w:r>
          </w:p>
        </w:tc>
        <w:tc>
          <w:tcPr>
            <w:tcW w:type="dxa" w:w="4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Updated threshold levels based on 2024 baseline recalibration. Added composite filter thresholds and SOP cross-references.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SOP-MCM-001  |  Cost Escalation Investigation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C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2026-02-06T07:52:23.121Z</dcterms:created>
  <dcterms:modified xsi:type="dcterms:W3CDTF">2026-02-06T07:52:23.122Z</dcterms:modified>
</cp:coreProperties>
</file>

<file path=docProps/custom.xml><?xml version="1.0" encoding="utf-8"?>
<Properties xmlns="http://schemas.openxmlformats.org/officeDocument/2006/custom-properties" xmlns:vt="http://schemas.openxmlformats.org/officeDocument/2006/docPropsVTypes"/>
</file>