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28"/>
          <w:szCs w:val="28"/>
        </w:rPr>
        <w:t xml:space="preserve">STANDARD OPERATING PROCEDURE</w:t>
      </w:r>
    </w:p>
    <w:p>
      <w:pPr>
        <w:spacing w:after="400"/>
        <w:jc w:val="center"/>
      </w:pPr>
      <w:r>
        <w:rPr>
          <w:rFonts w:ascii="Arial" w:cs="Arial" w:eastAsia="Arial" w:hAnsi="Arial"/>
          <w:b/>
          <w:bCs/>
          <w:color w:val="2E4057"/>
          <w:sz w:val="36"/>
          <w:szCs w:val="36"/>
        </w:rPr>
        <w:t xml:space="preserve">Out-of-Network Utilization Management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Document ID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SOP-MCM-002</w:t>
            </w:r>
          </w:p>
        </w:tc>
      </w:tr>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65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1.3</w:t>
            </w:r>
          </w:p>
        </w:tc>
      </w:tr>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Effective Date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January 1, 2025</w:t>
            </w:r>
          </w:p>
        </w:tc>
      </w:tr>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Review Date</w:t>
            </w:r>
          </w:p>
        </w:tc>
        <w:tc>
          <w:tcPr>
            <w:tcW w:type="dxa" w:w="65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July 1, 2025</w:t>
            </w:r>
          </w:p>
        </w:tc>
      </w:tr>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Network Management &amp; Provider Relations</w:t>
            </w:r>
          </w:p>
        </w:tc>
      </w:tr>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Approved By</w:t>
            </w:r>
          </w:p>
        </w:tc>
        <w:tc>
          <w:tcPr>
            <w:tcW w:type="dxa" w:w="65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SVP, Network Strategy &amp; Cost Containment</w:t>
            </w:r>
          </w:p>
        </w:tc>
      </w:tr>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Cross-References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SOP-MCM-001 (Cost Escalation Investigation Protocol)</w:t>
            </w:r>
          </w:p>
        </w:tc>
      </w:tr>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65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Internal — Confidential</w:t>
            </w:r>
          </w:p>
        </w:tc>
      </w:tr>
    </w:tbl>
    <w:p>
      <w:pPr>
        <w:spacing w:before="400"/>
      </w:pPr>
    </w:p>
    <w:p>
      <w:pPr>
        <w:pStyle w:val="Heading1"/>
      </w:pPr>
      <w:r>
        <w:t xml:space="preserve">1. Purpose</w:t>
      </w:r>
    </w:p>
    <w:p>
      <w:pPr>
        <w:spacing w:after="200"/>
      </w:pPr>
      <w:r>
        <w:t xml:space="preserve">This SOP establishes the protocols for monitoring, managing, and reducing Out-of-Network (OON) utilization across all group accounts. OON utilization has been identified as a primary driver of cost escalation, with OON encounters costing 20–50% more than equivalent In-Network services. This protocol defines network adequacy assessment criteria, member steerage interventions, provider contracting guidelines, and monitoring requirements to maintain OON utilization within acceptable thresholds.</w:t>
      </w:r>
    </w:p>
    <w:p>
      <w:pPr>
        <w:pStyle w:val="Heading1"/>
      </w:pPr>
      <w:r>
        <w:t xml:space="preserve">2. Scope and Applicability</w:t>
      </w:r>
    </w:p>
    <w:p>
      <w:pPr>
        <w:spacing w:after="120"/>
      </w:pPr>
      <w:r>
        <w:t xml:space="preserve">This SOP applies to all provider network management activities for the following high-priority conditions and encounter types, which have been identified as the primary contributors to OON cost leakage:</w:t>
      </w:r>
    </w:p>
    <w:p>
      <w:pPr>
        <w:pStyle w:val="Heading2"/>
      </w:pPr>
      <w:r>
        <w:t xml:space="preserve">2.1 Priority Conditions (Based on 2025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OON Rate (2025)</w:t>
            </w:r>
          </w:p>
        </w:tc>
        <w:tc>
          <w:tcPr>
            <w:tcW w:type="dxa" w:w="2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YoY OON Change</w:t>
            </w:r>
          </w:p>
        </w:tc>
        <w:tc>
          <w:tcPr>
            <w:tcW w:type="dxa" w:w="26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Cost Impact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Cancer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80.6%</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+47.3 ppts (from 33.3%)</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$3.2M OON cost increase</w:t>
            </w:r>
          </w:p>
        </w:tc>
      </w:tr>
      <w:tr>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Diabetes</w:t>
            </w:r>
          </w:p>
        </w:tc>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45.0%</w:t>
            </w:r>
          </w:p>
        </w:tc>
        <w:tc>
          <w:tcPr>
            <w:tcW w:type="dxa" w:w="27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+20.0 ppts (from 25.0%)</w:t>
            </w:r>
          </w:p>
        </w:tc>
        <w:tc>
          <w:tcPr>
            <w:tcW w:type="dxa" w:w="26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$692K OON cost increase</w:t>
            </w:r>
          </w:p>
        </w:tc>
      </w:tr>
    </w:tbl>
    <w:p>
      <w:pPr>
        <w:spacing w:before="200"/>
      </w:pPr>
    </w:p>
    <w:p>
      <w:pPr>
        <w:pStyle w:val="Heading2"/>
      </w:pPr>
      <w:r>
        <w:t xml:space="preserve">2.2 Priority Encounter Types</w:t>
      </w:r>
    </w:p>
    <w:p>
      <w:pPr>
        <w:pStyle w:val="ListParagraph"/>
        <w:numPr>
          <w:ilvl w:val="0"/>
          <w:numId w:val="2"/>
        </w:numPr>
      </w:pPr>
      <w:r>
        <w:rPr>
          <w:b/>
          <w:bCs/>
        </w:rPr>
        <w:t xml:space="preserve">In-patient hospitalizations: </w:t>
      </w:r>
      <w:r>
        <w:t xml:space="preserve">OON encounters surged from 64 to 156 in 2025. Cancer in-patient OON CPE reached $38,907 (47.3% YoY increase).</w:t>
      </w:r>
    </w:p>
    <w:p>
      <w:pPr>
        <w:pStyle w:val="ListParagraph"/>
        <w:numPr>
          <w:ilvl w:val="0"/>
          <w:numId w:val="2"/>
        </w:numPr>
      </w:pPr>
      <w:r>
        <w:rPr>
          <w:b/>
          <w:bCs/>
        </w:rPr>
        <w:t xml:space="preserve">Surgical procedures: </w:t>
      </w:r>
      <w:r>
        <w:t xml:space="preserve">Cancer surgical CPE averaged $43,344, the highest per-encounter cost in the portfolio.</w:t>
      </w:r>
    </w:p>
    <w:p>
      <w:pPr>
        <w:pStyle w:val="ListParagraph"/>
        <w:numPr>
          <w:ilvl w:val="0"/>
          <w:numId w:val="2"/>
        </w:numPr>
        <w:spacing w:after="200"/>
      </w:pPr>
      <w:r>
        <w:rPr>
          <w:b/>
          <w:bCs/>
        </w:rPr>
        <w:t xml:space="preserve">Outpatient clinic visits: </w:t>
      </w:r>
      <w:r>
        <w:t xml:space="preserve">Diabetes outpatient CPE surged 50% YoY, linked to Meridian Surgical Associates price inflation.</w:t>
      </w:r>
    </w:p>
    <w:p>
      <w:pPr>
        <w:pStyle w:val="Heading1"/>
      </w:pPr>
      <w:r>
        <w:t xml:space="preserve">3. OON Utilization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Yellow</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Red</w:t>
            </w:r>
          </w:p>
        </w:tc>
        <w:tc>
          <w:tcPr>
            <w:tcW w:type="dxa" w:w="4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Required Action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Overall OON Rate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&gt;40%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Trigger network adequacy audit per Section 5</w:t>
            </w:r>
          </w:p>
        </w:tc>
      </w:tr>
      <w:tr>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Condition-Specific OON Rate</w:t>
            </w:r>
          </w:p>
        </w:tc>
        <w:tc>
          <w:tcPr>
            <w:tcW w:type="dxa" w:w="1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&gt;25%</w:t>
            </w:r>
          </w:p>
        </w:tc>
        <w:tc>
          <w:tcPr>
            <w:tcW w:type="dxa" w:w="1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&gt;40%</w:t>
            </w:r>
          </w:p>
        </w:tc>
        <w:tc>
          <w:tcPr>
            <w:tcW w:type="dxa" w:w="43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Initiate condition-specific provider recruitment per Section 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OON Cost Premium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&gt;35%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Launch contract negotiation per Section 7</w:t>
            </w:r>
          </w:p>
        </w:tc>
      </w:tr>
      <w:tr>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New OON Provider Volume</w:t>
            </w:r>
          </w:p>
        </w:tc>
        <w:tc>
          <w:tcPr>
            <w:tcW w:type="dxa" w:w="1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&gt;10 encounters</w:t>
            </w:r>
          </w:p>
        </w:tc>
        <w:tc>
          <w:tcPr>
            <w:tcW w:type="dxa" w:w="1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&gt;25 encounters</w:t>
            </w:r>
          </w:p>
        </w:tc>
        <w:tc>
          <w:tcPr>
            <w:tcW w:type="dxa" w:w="43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Evaluate for network inclusion per Section 6.3</w:t>
            </w:r>
          </w:p>
        </w:tc>
      </w:tr>
    </w:tbl>
    <w:p>
      <w:pPr>
        <w:spacing w:before="200"/>
      </w:pPr>
    </w:p>
    <w:p>
      <w:pPr>
        <w:pStyle w:val="Heading1"/>
      </w:pPr>
      <w:r>
        <w:t xml:space="preserve">4. Monitoring and Alert System</w:t>
      </w:r>
    </w:p>
    <w:p>
      <w:pPr>
        <w:spacing w:after="120"/>
      </w:pPr>
      <w:r>
        <w:t xml:space="preserve">OON utilization is monitored through three integrated systems:</w:t>
      </w:r>
    </w:p>
    <w:p>
      <w:pPr>
        <w:pStyle w:val="Heading2"/>
      </w:pPr>
      <w:r>
        <w:t xml:space="preserve">4.1 Automated KPI Dashboard Monitoring</w:t>
      </w:r>
    </w:p>
    <w:p>
      <w:pPr>
        <w:spacing w:after="120"/>
      </w:pPr>
      <w:r>
        <w:t xml:space="preserve">The KPI home screen displays OON-related metrics with real-time threshold status badges. The following KPIs are tracked for OON:</w:t>
      </w:r>
    </w:p>
    <w:p>
      <w:pPr>
        <w:pStyle w:val="ListParagraph"/>
        <w:numPr>
          <w:ilvl w:val="0"/>
          <w:numId w:val="2"/>
        </w:numPr>
      </w:pPr>
      <w:r>
        <w:t xml:space="preserve">OON Utilization Rate (overall and by chronic condition)</w:t>
      </w:r>
    </w:p>
    <w:p>
      <w:pPr>
        <w:pStyle w:val="ListParagraph"/>
        <w:numPr>
          <w:ilvl w:val="0"/>
          <w:numId w:val="2"/>
        </w:numPr>
      </w:pPr>
      <w:r>
        <w:t xml:space="preserve">OON Cost Premium percentage over In-Network equivalent</w:t>
      </w:r>
    </w:p>
    <w:p>
      <w:pPr>
        <w:pStyle w:val="ListParagraph"/>
        <w:numPr>
          <w:ilvl w:val="0"/>
          <w:numId w:val="2"/>
        </w:numPr>
      </w:pPr>
      <w:r>
        <w:t xml:space="preserve">OON Encounter Volume Share by chronic condition (with separate thresholds per condition)</w:t>
      </w:r>
    </w:p>
    <w:p>
      <w:pPr>
        <w:pStyle w:val="ListParagraph"/>
        <w:numPr>
          <w:ilvl w:val="0"/>
          <w:numId w:val="2"/>
        </w:numPr>
      </w:pPr>
      <w:r>
        <w:t xml:space="preserve">New OON Provider Activity (providers with first-time OON claims in the monitoring period)</w:t>
      </w:r>
    </w:p>
    <w:p>
      <w:pPr>
        <w:pStyle w:val="Heading2"/>
      </w:pPr>
      <w:r>
        <w:t xml:space="preserve">4.2 Insight Engine Integration</w:t>
      </w:r>
    </w:p>
    <w:p>
      <w:pPr>
        <w:spacing w:after="200"/>
      </w:pPr>
      <w:r>
        <w:t xml:space="preserve">The multi-agentic insight generation system is configured to automatically generate OON-related insights when threshold breaches are detected. These insights follow the KPI hierarchy drill-down and cross-reference provider network data to surface root causes such as network adequacy gaps, referral pattern changes, and provider contract expirations.</w:t>
      </w:r>
    </w:p>
    <w:p>
      <w:pPr>
        <w:pStyle w:val="Heading2"/>
      </w:pPr>
      <w:r>
        <w:t xml:space="preserve">4.3 Monthly OON Report</w:t>
      </w:r>
    </w:p>
    <w:p>
      <w:pPr>
        <w:spacing w:after="200"/>
      </w:pPr>
      <w:r>
        <w:t xml:space="preserve">The Network Management team produces a monthly OON Report including: OON encounter volume and cost trends by condition, list of top 10 OON providers by cost impact, network adequacy gap summary, and steerage program effectiveness metrics. This report is distributed to the Cost Management team, Account Executives, and VP Healthcare Analytics.</w:t>
      </w:r>
    </w:p>
    <w:p>
      <w:pPr>
        <w:pStyle w:val="Heading1"/>
      </w:pPr>
      <w:r>
        <w:t xml:space="preserve">5. Network Adequacy Assessment Protocol</w:t>
      </w:r>
    </w:p>
    <w:p>
      <w:pPr>
        <w:spacing w:after="120"/>
      </w:pPr>
      <w:r>
        <w:t xml:space="preserve">When OON thresholds are breached for a specific chronic condition, the following network adequacy assessment must be completed within 10 business days:</w:t>
      </w:r>
    </w:p>
    <w:p>
      <w:pPr>
        <w:pStyle w:val="ListParagraph"/>
        <w:numPr>
          <w:ilvl w:val="0"/>
          <w:numId w:val="3"/>
        </w:numPr>
      </w:pPr>
      <w:r>
        <w:rPr>
          <w:b/>
          <w:bCs/>
        </w:rPr>
        <w:t xml:space="preserve">Geographic coverage analysis: </w:t>
      </w:r>
      <w:r>
        <w:t xml:space="preserve">Map member ZIP codes against available In-Network providers for the flagged specialty. Identify geographic gaps where members must travel more than 30 miles to reach an In-Network facility.</w:t>
      </w:r>
    </w:p>
    <w:p>
      <w:pPr>
        <w:pStyle w:val="ListParagraph"/>
        <w:numPr>
          <w:ilvl w:val="0"/>
          <w:numId w:val="3"/>
        </w:numPr>
      </w:pPr>
      <w:r>
        <w:rPr>
          <w:b/>
          <w:bCs/>
        </w:rPr>
        <w:t xml:space="preserve">Specialty capacity assessment: </w:t>
      </w:r>
      <w:r>
        <w:t xml:space="preserve">Evaluate the number of In-Network providers, their appointment availability, and average wait times for the flagged specialty. For Cancer, specifically assess oncology surgical capacity and in-patient bed availability.</w:t>
      </w:r>
    </w:p>
    <w:p>
      <w:pPr>
        <w:pStyle w:val="ListParagraph"/>
        <w:numPr>
          <w:ilvl w:val="0"/>
          <w:numId w:val="3"/>
        </w:numPr>
      </w:pPr>
      <w:r>
        <w:rPr>
          <w:b/>
          <w:bCs/>
        </w:rPr>
        <w:t xml:space="preserve">Referral pattern audit: </w:t>
      </w:r>
      <w:r>
        <w:t xml:space="preserve">Analyze referring physician patterns to determine whether specific PCPs or specialists are systematically directing patients to OON facilities. Identify the top 5 referring providers by OON referral volume.</w:t>
      </w:r>
    </w:p>
    <w:p>
      <w:pPr>
        <w:pStyle w:val="ListParagraph"/>
        <w:numPr>
          <w:ilvl w:val="0"/>
          <w:numId w:val="3"/>
        </w:numPr>
      </w:pPr>
      <w:r>
        <w:rPr>
          <w:b/>
          <w:bCs/>
        </w:rPr>
        <w:t xml:space="preserve">Member survey (if applicable): </w:t>
      </w:r>
      <w:r>
        <w:t xml:space="preserve">For conditions where OON utilization exceeds 50%, conduct a targeted member survey to understand reasons for OON choice: provider preference, wait times, quality perception, or lack of awareness of In-Network options.</w:t>
      </w:r>
    </w:p>
    <w:p>
      <w:pPr>
        <w:pStyle w:val="ListParagraph"/>
        <w:numPr>
          <w:ilvl w:val="0"/>
          <w:numId w:val="3"/>
        </w:numPr>
      </w:pPr>
      <w:r>
        <w:rPr>
          <w:b/>
          <w:bCs/>
        </w:rPr>
        <w:t xml:space="preserve">Gap closure plan: </w:t>
      </w:r>
      <w:r>
        <w:t xml:space="preserve">Based on the assessment, produce a gap closure plan with specific provider recruitment targets, timeline, and expected OON reduction impact. The plan must be approved by the Network Strategy Director.</w:t>
      </w:r>
    </w:p>
    <w:p>
      <w:r>
        <w:br w:type="page"/>
      </w:r>
    </w:p>
    <w:p>
      <w:pPr>
        <w:pStyle w:val="Heading1"/>
      </w:pPr>
      <w:r>
        <w:t xml:space="preserve">6. Provider Contracting Guidelines for OON Cost Containment</w:t>
      </w:r>
    </w:p>
    <w:p>
      <w:pPr>
        <w:pStyle w:val="Heading2"/>
      </w:pPr>
      <w:r>
        <w:t xml:space="preserve">6.1 Priority Contracting Targets</w:t>
      </w:r>
    </w:p>
    <w:p>
      <w:pPr>
        <w:spacing w:after="120"/>
      </w:pPr>
      <w:r>
        <w:t xml:space="preserve">Based on the 2025 analysis, the following providers and provider categories are designated as priority contracting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Provider / Category</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OON Cost Impact</w:t>
            </w:r>
          </w:p>
        </w:tc>
        <w:tc>
          <w:tcPr>
            <w:tcW w:type="dxa" w:w="2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Contracting Goal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P1 - Critical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Cancer in-patient OON providers (116 encounters)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$3.2M annual</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Bring top 3 by volume In-Network within 90 days</w:t>
            </w:r>
          </w:p>
        </w:tc>
      </w:tr>
      <w:tr>
        <w:tc>
          <w:tcPr>
            <w:tcW w:type="dxa" w:w="1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P2 - High</w:t>
            </w:r>
          </w:p>
        </w:tc>
        <w:tc>
          <w:tcPr>
            <w:tcW w:type="dxa" w:w="2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Diabetes in-patient OON providers (40 encounters)</w:t>
            </w:r>
          </w:p>
        </w:tc>
        <w:tc>
          <w:tcPr>
            <w:tcW w:type="dxa" w:w="2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$692K annual</w:t>
            </w:r>
          </w:p>
        </w:tc>
        <w:tc>
          <w:tcPr>
            <w:tcW w:type="dxa" w:w="28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Establish case rates or single-case agreements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P3 - Medium</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Front Range Neurology (OON, $26.5K avg CPE)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$265K estimated</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Negotiate In-Network contract or carve-out rates</w:t>
            </w:r>
          </w:p>
        </w:tc>
      </w:tr>
      <w:tr>
        <w:tc>
          <w:tcPr>
            <w:tcW w:type="dxa" w:w="1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P4 - Monitor</w:t>
            </w:r>
          </w:p>
        </w:tc>
        <w:tc>
          <w:tcPr>
            <w:tcW w:type="dxa" w:w="2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New providers RP-989, RP-593, RP-087, RP-151</w:t>
            </w:r>
          </w:p>
        </w:tc>
        <w:tc>
          <w:tcPr>
            <w:tcW w:type="dxa" w:w="2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$7.3M combined (new in 2025)</w:t>
            </w:r>
          </w:p>
        </w:tc>
        <w:tc>
          <w:tcPr>
            <w:tcW w:type="dxa" w:w="28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Validate contract terms and network status</w:t>
            </w:r>
          </w:p>
        </w:tc>
      </w:tr>
    </w:tbl>
    <w:p>
      <w:pPr>
        <w:spacing w:before="200"/>
      </w:pPr>
    </w:p>
    <w:p>
      <w:pPr>
        <w:pStyle w:val="Heading2"/>
      </w:pPr>
      <w:r>
        <w:t xml:space="preserve">6.2 Rate Negotiation Standards</w:t>
      </w:r>
    </w:p>
    <w:p>
      <w:pPr>
        <w:spacing w:after="120"/>
      </w:pPr>
      <w:r>
        <w:t xml:space="preserve">All OON provider negotiations must target the following rate benchmarks:</w:t>
      </w:r>
    </w:p>
    <w:p>
      <w:pPr>
        <w:pStyle w:val="ListParagraph"/>
        <w:numPr>
          <w:ilvl w:val="0"/>
          <w:numId w:val="2"/>
        </w:numPr>
      </w:pPr>
      <w:r>
        <w:rPr>
          <w:b/>
          <w:bCs/>
        </w:rPr>
        <w:t xml:space="preserve">In-patient hospitalizations: </w:t>
      </w:r>
      <w:r>
        <w:t xml:space="preserve">Target rate no more than 120% of the In-Network average CPE for the same condition and encounter type.</w:t>
      </w:r>
    </w:p>
    <w:p>
      <w:pPr>
        <w:pStyle w:val="ListParagraph"/>
        <w:numPr>
          <w:ilvl w:val="0"/>
          <w:numId w:val="2"/>
        </w:numPr>
      </w:pPr>
      <w:r>
        <w:rPr>
          <w:b/>
          <w:bCs/>
        </w:rPr>
        <w:t xml:space="preserve">Surgical procedures: </w:t>
      </w:r>
      <w:r>
        <w:t xml:space="preserve">Negotiate bundled payment rates inclusive of pre-operative and post-operative care, targeting no more than 115% of In-Network benchmarks.</w:t>
      </w:r>
    </w:p>
    <w:p>
      <w:pPr>
        <w:pStyle w:val="ListParagraph"/>
        <w:numPr>
          <w:ilvl w:val="0"/>
          <w:numId w:val="2"/>
        </w:numPr>
      </w:pPr>
      <w:r>
        <w:rPr>
          <w:b/>
          <w:bCs/>
        </w:rPr>
        <w:t xml:space="preserve">Outpatient and specialist visits: </w:t>
      </w:r>
      <w:r>
        <w:t xml:space="preserve">Target parity with In-Network rates. Any premium above 110% requires Director-level approval.</w:t>
      </w:r>
    </w:p>
    <w:p>
      <w:pPr>
        <w:pStyle w:val="Heading2"/>
      </w:pPr>
      <w:r>
        <w:t xml:space="preserve">6.3 New Provider Onboarding Assessment</w:t>
      </w:r>
    </w:p>
    <w:p>
      <w:pPr>
        <w:spacing w:after="200"/>
      </w:pPr>
      <w:r>
        <w:t xml:space="preserve">Before any new provider is brought In-Network, the following cost impact assessment must be completed: projected annual encounter volume and total cost based on historical OON utilization, comparison of proposed contract rates against existing In-Network provider rates for the same services, network duplication analysis to ensure the new provider fills a gap rather than creating redundancy, and quality and credentialing verification per organizational standards.</w:t>
      </w:r>
    </w:p>
    <w:p>
      <w:pPr>
        <w:pStyle w:val="Heading1"/>
      </w:pPr>
      <w:r>
        <w:t xml:space="preserve">7. Member Steerage and Education Programs</w:t>
      </w:r>
    </w:p>
    <w:p>
      <w:pPr>
        <w:pStyle w:val="Heading2"/>
      </w:pPr>
      <w:r>
        <w:t xml:space="preserve">7.1 Pre-Authorization Requirements</w:t>
      </w:r>
    </w:p>
    <w:p>
      <w:pPr>
        <w:spacing w:after="120"/>
      </w:pPr>
      <w:r>
        <w:t xml:space="preserve">Effective immediately for Cancer and Diabetes in-patient hospitalizations, the following pre-authorization protocol applies:</w:t>
      </w:r>
    </w:p>
    <w:p>
      <w:pPr>
        <w:pStyle w:val="ListParagraph"/>
        <w:numPr>
          <w:ilvl w:val="0"/>
          <w:numId w:val="3"/>
        </w:numPr>
      </w:pPr>
      <w:r>
        <w:t xml:space="preserve">All non-emergency in-patient admissions require pre-authorization with In-Network alternative identification.</w:t>
      </w:r>
    </w:p>
    <w:p>
      <w:pPr>
        <w:pStyle w:val="ListParagraph"/>
        <w:numPr>
          <w:ilvl w:val="0"/>
          <w:numId w:val="3"/>
        </w:numPr>
      </w:pPr>
      <w:r>
        <w:t xml:space="preserve">The care navigation team must present at least two In-Network alternatives to the member before OON authorization is granted.</w:t>
      </w:r>
    </w:p>
    <w:p>
      <w:pPr>
        <w:pStyle w:val="ListParagraph"/>
        <w:numPr>
          <w:ilvl w:val="0"/>
          <w:numId w:val="3"/>
        </w:numPr>
      </w:pPr>
      <w:r>
        <w:t xml:space="preserve">OON authorizations require clinical justification documenting why In-Network alternatives are insufficient (e.g., specialized equipment, clinical trial enrollment, physician recommendation with documented rationale).</w:t>
      </w:r>
    </w:p>
    <w:p>
      <w:pPr>
        <w:pStyle w:val="ListParagraph"/>
        <w:numPr>
          <w:ilvl w:val="0"/>
          <w:numId w:val="3"/>
        </w:numPr>
      </w:pPr>
      <w:r>
        <w:t xml:space="preserve">All OON pre-authorization decisions are reviewed by the Medical Director within 48 hours.</w:t>
      </w:r>
    </w:p>
    <w:p>
      <w:pPr>
        <w:pStyle w:val="Heading2"/>
      </w:pPr>
      <w:r>
        <w:t xml:space="preserve">7.2 Member Communication</w:t>
      </w:r>
    </w:p>
    <w:p>
      <w:pPr>
        <w:spacing w:after="200"/>
      </w:pPr>
      <w:r>
        <w:t xml:space="preserve">For members with chronic conditions at high risk of OON utilization, the following proactive outreach is required: welcome packet with In-Network provider directory specific to their condition, quarterly In-Network provider highlights and quality ratings, cost transparency communications showing estimated member cost-share differential between In-Network and OON options, and dedicated care navigator assignment for Cancer and Diabetes members.</w:t>
      </w:r>
    </w:p>
    <w:p>
      <w:pPr>
        <w:pStyle w:val="Heading1"/>
      </w:pPr>
      <w:r>
        <w:t xml:space="preserve">8. Performance Metrics and Reporting</w:t>
      </w:r>
    </w:p>
    <w:p>
      <w:pPr>
        <w:spacing w:after="120"/>
      </w:pPr>
      <w:r>
        <w:t xml:space="preserve">The effectiveness of OON management is evaluated monthly through the following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Current (2025)</w:t>
            </w:r>
          </w:p>
        </w:tc>
        <w:tc>
          <w:tcPr>
            <w:tcW w:type="dxa" w:w="2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Overall OON Utilization Rate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&lt;30%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 Above threshold</w:t>
            </w:r>
          </w:p>
        </w:tc>
      </w:tr>
      <w:tr>
        <w:tc>
          <w:tcPr>
            <w:tcW w:type="dxa" w:w="3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Cancer OON Rate</w:t>
            </w:r>
          </w:p>
        </w:tc>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&lt;25%</w:t>
            </w:r>
          </w:p>
        </w:tc>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80.6%</w:t>
            </w:r>
          </w:p>
        </w:tc>
        <w:tc>
          <w:tcPr>
            <w:tcW w:type="dxa" w:w="23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Red – Critical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Diabetes OON Rate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 Above threshold</w:t>
            </w:r>
          </w:p>
        </w:tc>
      </w:tr>
      <w:tr>
        <w:tc>
          <w:tcPr>
            <w:tcW w:type="dxa" w:w="3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OON Cost Premium</w:t>
            </w:r>
          </w:p>
        </w:tc>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&lt;20%</w:t>
            </w:r>
          </w:p>
        </w:tc>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35-50%</w:t>
            </w:r>
          </w:p>
        </w:tc>
        <w:tc>
          <w:tcPr>
            <w:tcW w:type="dxa" w:w="23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Red – Above threshold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Pre-Auth OON Redirect Rate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&gt;60%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 (new)</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Baseline year</w:t>
            </w:r>
          </w:p>
        </w:tc>
      </w:tr>
      <w:tr>
        <w:tc>
          <w:tcPr>
            <w:tcW w:type="dxa" w:w="3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Member Steerage Effectiveness</w:t>
            </w:r>
          </w:p>
        </w:tc>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&gt;40% OON reduction</w:t>
            </w:r>
          </w:p>
        </w:tc>
        <w:tc>
          <w:tcPr>
            <w:tcW w:type="dxa" w:w="20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N/A (new)</w:t>
            </w:r>
          </w:p>
        </w:tc>
        <w:tc>
          <w:tcPr>
            <w:tcW w:type="dxa" w:w="23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Baseline year</w:t>
            </w:r>
          </w:p>
        </w:tc>
      </w:tr>
    </w:tbl>
    <w:p>
      <w:pPr>
        <w:spacing w:before="200"/>
      </w:pPr>
    </w:p>
    <w:p>
      <w:pPr>
        <w:pStyle w:val="Heading1"/>
      </w:pPr>
      <w:r>
        <w:t xml:space="preserve">9.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500"/>
        <w:gridCol w:w="4260"/>
      </w:tblGrid>
      <w:tr>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42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2024-04-01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Network Management</w:t>
            </w:r>
          </w:p>
        </w:tc>
        <w:tc>
          <w:tcPr>
            <w:tcW w:type="dxa" w:w="4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Initial release with basic OON monitoring framework</w:t>
            </w:r>
          </w:p>
        </w:tc>
      </w:tr>
      <w:tr>
        <w:tc>
          <w:tcPr>
            <w:tcW w:type="dxa" w:w="12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1.1</w:t>
            </w:r>
          </w:p>
        </w:tc>
        <w:tc>
          <w:tcPr>
            <w:tcW w:type="dxa" w:w="14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2024-08-15</w:t>
            </w:r>
          </w:p>
        </w:tc>
        <w:tc>
          <w:tcPr>
            <w:tcW w:type="dxa" w:w="2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Network Management</w:t>
            </w:r>
          </w:p>
        </w:tc>
        <w:tc>
          <w:tcPr>
            <w:tcW w:type="dxa" w:w="42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Added condition-specific thresholds and provider contracting guidelines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2024-11-01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Network Strategy Dir.</w:t>
            </w:r>
          </w:p>
        </w:tc>
        <w:tc>
          <w:tcPr>
            <w:tcW w:type="dxa" w:w="4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Integrated with KPI alerting system and ChatAI insight engine</w:t>
            </w:r>
          </w:p>
        </w:tc>
      </w:tr>
      <w:tr>
        <w:tc>
          <w:tcPr>
            <w:tcW w:type="dxa" w:w="12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1.3</w:t>
            </w:r>
          </w:p>
        </w:tc>
        <w:tc>
          <w:tcPr>
            <w:tcW w:type="dxa" w:w="14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2025-01-01</w:t>
            </w:r>
          </w:p>
        </w:tc>
        <w:tc>
          <w:tcPr>
            <w:tcW w:type="dxa" w:w="250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SVP Network Strategy</w:t>
            </w:r>
          </w:p>
        </w:tc>
        <w:tc>
          <w:tcPr>
            <w:tcW w:type="dxa" w:w="4260"/>
            <w:tcBorders>
              <w:top w:val="single" w:color="999999" w:sz="1"/>
              <w:left w:val="single" w:color="999999" w:sz="1"/>
              <w:bottom w:val="single" w:color="999999" w:sz="1"/>
              <w:right w:val="single" w:color="999999" w:sz="1"/>
            </w:tcBorders>
            <w:shd w:fill="EFF3F6" w:val="clear"/>
            <w:tcMar>
              <w:top w:type="dxa" w:w="60"/>
              <w:left w:type="dxa" w:w="100"/>
              <w:bottom w:type="dxa" w:w="60"/>
              <w:right w:type="dxa" w:w="100"/>
            </w:tcMar>
          </w:tcPr>
          <w:p>
            <w:r>
              <w:rPr>
                <w:rFonts w:ascii="Arial" w:cs="Arial" w:eastAsia="Arial" w:hAnsi="Arial"/>
                <w:sz w:val="20"/>
                <w:szCs w:val="20"/>
              </w:rPr>
              <w:t xml:space="preserve">Major update: added 2025 Cancer/Diabetes OON data, new provider onboarding assessment, member steerage protocols, and cross-reference to SOP-MCM-001</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SOP-MCM-002  |  Out-of-Network Utilization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D6B8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A8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2026-02-06T07:52:23.303Z</dcterms:created>
  <dcterms:modified xsi:type="dcterms:W3CDTF">2026-02-06T07:52:23.304Z</dcterms:modified>
</cp:coreProperties>
</file>

<file path=docProps/custom.xml><?xml version="1.0" encoding="utf-8"?>
<Properties xmlns="http://schemas.openxmlformats.org/officeDocument/2006/custom-properties" xmlns:vt="http://schemas.openxmlformats.org/officeDocument/2006/docPropsVTypes"/>
</file>