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wj4xphz4e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Personal Auto Claims &amp; Policy SOP (Extract)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cg2y4r37n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– Policy Issuance Guidelines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o07nlicel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Eligibility Checklist</w:t>
      </w:r>
    </w:p>
    <w:tbl>
      <w:tblPr>
        <w:tblStyle w:val="Table1"/>
        <w:tblW w:w="8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2585"/>
        <w:gridCol w:w="3395"/>
        <w:tblGridChange w:id="0">
          <w:tblGrid>
            <w:gridCol w:w="2135"/>
            <w:gridCol w:w="2585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Acceptable Range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Policyholder 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POLICY.PolicyHolderAge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18 – 85 years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Veteran Discount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POLICY.VeteranFlag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apply 5 % premium credit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Premium Threshold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POLICY.PREMIUMAMOUNT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Min $300, Max $25 000</w:t>
            </w:r>
          </w:p>
        </w:tc>
      </w:tr>
    </w:tbl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Note 1:</w:t>
      </w:r>
      <w:r w:rsidDel="00000000" w:rsidR="00000000" w:rsidRPr="00000000">
        <w:rPr>
          <w:rtl w:val="0"/>
        </w:rPr>
        <w:t xml:space="preserve"> All personal‑auto business is written under </w:t>
      </w:r>
      <w:r w:rsidDel="00000000" w:rsidR="00000000" w:rsidRPr="00000000">
        <w:rPr>
          <w:b w:val="1"/>
          <w:bCs w:val="1"/>
          <w:rtl w:val="0"/>
        </w:rPr>
        <w:t xml:space="preserve">LineOfBusiness = "PA"</w:t>
      </w:r>
      <w:r w:rsidDel="00000000" w:rsidR="00000000" w:rsidRPr="00000000">
        <w:rPr>
          <w:rtl w:val="0"/>
        </w:rPr>
        <w:t xml:space="preserve">. Non‑auto exposures must be referred to Commercial Lines.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xxc2pzbj2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Effective &amp; Expiration Dates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PolicyEffectiveDate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 must be ⩽ 30 days from quote bind date.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PolicyExpirationDate</w:t>
      </w:r>
      <w:r w:rsidDel="00000000" w:rsidR="00000000" w:rsidRPr="00000000">
        <w:rPr>
          <w:rtl w:val="0"/>
        </w:rPr>
        <w:t xml:space="preserve"> = 12 months minus one day from effective date, unless otherwise endorsed.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nfx329hhu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Producer Binding Authority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ProducerID</w:t>
      </w:r>
      <w:r w:rsidDel="00000000" w:rsidR="00000000" w:rsidRPr="00000000">
        <w:rPr>
          <w:rtl w:val="0"/>
        </w:rPr>
        <w:t xml:space="preserve"> with fewer than 12 months tenure may not bind risks with premium &gt; $10 000 without Underwriting approval.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wz16yi27y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– Claims Intake &amp; Triage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tnxpw8pvm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First Notice of Loss (FNOL)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</w:t>
      </w:r>
      <w:r w:rsidDel="00000000" w:rsidR="00000000" w:rsidRPr="00000000">
        <w:rPr>
          <w:b w:val="1"/>
          <w:bCs w:val="1"/>
          <w:rtl w:val="0"/>
        </w:rPr>
        <w:t xml:space="preserve">POLICYID</w:t>
      </w:r>
      <w:r w:rsidDel="00000000" w:rsidR="00000000" w:rsidRPr="00000000">
        <w:rPr>
          <w:rtl w:val="0"/>
        </w:rPr>
        <w:t xml:space="preserve"> is active on </w:t>
      </w:r>
      <w:r w:rsidDel="00000000" w:rsidR="00000000" w:rsidRPr="00000000">
        <w:rPr>
          <w:b w:val="1"/>
          <w:bCs w:val="1"/>
          <w:rtl w:val="0"/>
        </w:rPr>
        <w:t xml:space="preserve">INCIDENTDATE</w:t>
      </w:r>
      <w:r w:rsidDel="00000000" w:rsidR="00000000" w:rsidRPr="00000000">
        <w:rPr>
          <w:rtl w:val="0"/>
        </w:rPr>
        <w:t xml:space="preserve">. If not,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ClaimStatus = "Coverage Question"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</w:t>
      </w:r>
      <w:r w:rsidDel="00000000" w:rsidR="00000000" w:rsidRPr="00000000">
        <w:rPr>
          <w:b w:val="1"/>
          <w:bCs w:val="1"/>
          <w:rtl w:val="0"/>
        </w:rPr>
        <w:t xml:space="preserve">REPORTEDDATE</w:t>
      </w: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. Claims reported ⩾ 10 days after incident are tagged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LateNoticeFlag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LOSSTYPE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Collision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populate </w:t>
      </w:r>
      <w:r w:rsidDel="00000000" w:rsidR="00000000" w:rsidRPr="00000000">
        <w:rPr>
          <w:b w:val="1"/>
          <w:bCs w:val="1"/>
          <w:rtl w:val="0"/>
        </w:rPr>
        <w:t xml:space="preserve">COLLISIONTYPE</w:t>
      </w:r>
      <w:r w:rsidDel="00000000" w:rsidR="00000000" w:rsidRPr="00000000">
        <w:rPr>
          <w:rtl w:val="0"/>
        </w:rPr>
        <w:t xml:space="preserve"> (Rear‑End, Side‑Swipe, Rollover, etc.).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Non‑Collision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Theft, Vandalism, Weather.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ib4w6wd008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Litigation &amp; Fraud Triggers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LitigationFlag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if claimant retains counsel before first payment.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FraudFlag</w:t>
      </w:r>
      <w:r w:rsidDel="00000000" w:rsidR="00000000" w:rsidRPr="00000000">
        <w:rPr>
          <w:rtl w:val="0"/>
        </w:rPr>
        <w:t xml:space="preserve"> auto‑set to </w:t>
      </w:r>
      <w:r w:rsidDel="00000000" w:rsidR="00000000" w:rsidRPr="00000000">
        <w:rPr>
          <w:i w:val="1"/>
          <w:iCs w:val="1"/>
          <w:rtl w:val="0"/>
        </w:rPr>
        <w:t xml:space="preserve">Yes</w:t>
      </w:r>
      <w:r w:rsidDel="00000000" w:rsidR="00000000" w:rsidRPr="00000000">
        <w:rPr>
          <w:rtl w:val="0"/>
        </w:rPr>
        <w:t xml:space="preserve"> when:</w:t>
        <w:br w:type="textWrapping"/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LateNoticeFlag = Yes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CLAIM.RecoveryIndicator = 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prior claim frequency ≥ 3 in 36 months.</w:t>
        <w:br w:type="textWrapping"/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d0snvab8k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Adjuster Assignment Matrix</w:t>
      </w:r>
    </w:p>
    <w:tbl>
      <w:tblPr>
        <w:tblStyle w:val="Table2"/>
        <w:tblW w:w="6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1760"/>
        <w:gridCol w:w="3005"/>
        <w:tblGridChange w:id="0">
          <w:tblGrid>
            <w:gridCol w:w="1610"/>
            <w:gridCol w:w="1760"/>
            <w:gridCol w:w="3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Loss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 Band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Assigned AdjusterID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Collision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&lt;$5 000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Junior Auto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Collision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$5 001–$25 000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Auto Mid‑Tier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Collision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&gt;$25 000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Senior Complex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Non‑Collision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Any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Specialty Desk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es7ydzb2j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– Transactions &amp; Reserves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oeceg5iycu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Indemnity vs Expense Coding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TRANSACTIONTYPE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Indemnity</w:t>
      </w:r>
      <w:r w:rsidDel="00000000" w:rsidR="00000000" w:rsidRPr="00000000">
        <w:rPr>
          <w:rtl w:val="0"/>
        </w:rPr>
        <w:t xml:space="preserve">: Bodily Injury (BI), Property Damage (PD).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COSTTYPE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i w:val="1"/>
          <w:iCs w:val="1"/>
          <w:rtl w:val="0"/>
        </w:rPr>
        <w:t xml:space="preserve">Expense</w:t>
      </w:r>
      <w:r w:rsidDel="00000000" w:rsidR="00000000" w:rsidRPr="00000000">
        <w:rPr>
          <w:rtl w:val="0"/>
        </w:rPr>
        <w:t xml:space="preserve">: LAE – Allocated (Defense Counsel, Experts) or Unallocated (Overhead).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2icrasd9l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Transaction Controls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TRANSACTIONAMOUNT</w:t>
      </w:r>
      <w:r w:rsidDel="00000000" w:rsidR="00000000" w:rsidRPr="00000000">
        <w:rPr>
          <w:rtl w:val="0"/>
        </w:rPr>
        <w:t xml:space="preserve"> &gt; $25 000 requires two‑level approval.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LegalMatterIndicator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= Yes → must include </w:t>
      </w:r>
      <w:r w:rsidDel="00000000" w:rsidR="00000000" w:rsidRPr="00000000">
        <w:rPr>
          <w:b w:val="1"/>
          <w:bCs w:val="1"/>
          <w:rtl w:val="0"/>
        </w:rPr>
        <w:t xml:space="preserve">LegalEntityID</w:t>
      </w:r>
      <w:r w:rsidDel="00000000" w:rsidR="00000000" w:rsidRPr="00000000">
        <w:rPr>
          <w:rtl w:val="0"/>
        </w:rPr>
        <w:t xml:space="preserve"> and populate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ReferredToOutsidePanelID</w:t>
      </w:r>
      <w:r w:rsidDel="00000000" w:rsidR="00000000" w:rsidRPr="00000000">
        <w:rPr>
          <w:rtl w:val="0"/>
        </w:rPr>
        <w:t xml:space="preserve"> if external counsel.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THIRDPARTYINVOLVED</w:t>
      </w:r>
      <w:r w:rsidDel="00000000" w:rsidR="00000000" w:rsidRPr="00000000">
        <w:rPr>
          <w:rtl w:val="0"/>
        </w:rPr>
        <w:t xml:space="preserve"> = Yes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COVERAGE_INDICATOR = Liability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subrogation referral within 15 days.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j0qadlp26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– Recovery &amp; Subrogation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1ojpjhycj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Targets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Recovery_Type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Subrogation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target ≥ 30 % of applicable loss for Collision BI.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Recovery_Type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Salvage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target ≥ 60 % of ACV on total‑loss vehicles.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3p1owz7dl1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Timing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RECOVERY_DATE</w:t>
      </w:r>
      <w:r w:rsidDel="00000000" w:rsidR="00000000" w:rsidRPr="00000000">
        <w:rPr>
          <w:rtl w:val="0"/>
        </w:rPr>
        <w:t xml:space="preserve"> should be within 180 days of </w:t>
      </w:r>
      <w:r w:rsidDel="00000000" w:rsidR="00000000" w:rsidRPr="00000000">
        <w:rPr>
          <w:b w:val="1"/>
          <w:bCs w:val="1"/>
          <w:rtl w:val="0"/>
        </w:rPr>
        <w:t xml:space="preserve">CLAIM.CLAIMSTATUS = Closed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6df0m234ki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5 – Vendor &amp; Legal Panel Management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dffmlikvh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Fee Guidelines (Third‑Party Services)</w:t>
      </w:r>
    </w:p>
    <w:tbl>
      <w:tblPr>
        <w:tblStyle w:val="Table3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2345"/>
        <w:gridCol w:w="2150"/>
        <w:tblGridChange w:id="0">
          <w:tblGrid>
            <w:gridCol w:w="2015"/>
            <w:gridCol w:w="2345"/>
            <w:gridCol w:w="21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VendorType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Invoice per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 Indicator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Law Firm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$2 500 (expense)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Yes required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Expert Witness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$1 200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Medical Examiner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$800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 preferred</w:t>
            </w:r>
          </w:p>
        </w:tc>
      </w:tr>
    </w:tbl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no39ey4vt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SLA Metrics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VENDOR_IN_NETWORK_INDICATOR = Yes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Invoice turnaround ≤ 30 days.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Panel counsel must close 80 % of litigated files within 18 months.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ohv940k71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6 – Location &amp; Vehicle Insights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High‑Frequency States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TX, CA, FL (≥ 15 % of total claims). Track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STATE</w:t>
      </w:r>
      <w:r w:rsidDel="00000000" w:rsidR="00000000" w:rsidRPr="00000000">
        <w:rPr>
          <w:rtl w:val="0"/>
        </w:rPr>
        <w:t xml:space="preserve"> exposure quarterly.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Vehicle Types</w:t>
      </w:r>
      <w:r w:rsidDel="00000000" w:rsidR="00000000" w:rsidRPr="00000000">
        <w:rPr>
          <w:rtl w:val="0"/>
        </w:rPr>
        <w:t xml:space="preserve"> with highest severity: Trucks &gt; SUVs &gt; Large Sedans (measure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VEHICLETYPE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5o97bbk5s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7 – Compliance &amp; Audit Flags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5.8785942492013"/>
        <w:gridCol w:w="3802.811501597444"/>
        <w:gridCol w:w="2711.3099041533546"/>
        <w:tblGridChange w:id="0">
          <w:tblGrid>
            <w:gridCol w:w="2845.8785942492013"/>
            <w:gridCol w:w="3802.811501597444"/>
            <w:gridCol w:w="2711.30990415335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Field(s)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Policy premium under $300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PREMIUMAMOUNT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Issue underwriting exception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Claim reported &gt;10 days 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REPORTEDDATE − INCIDENTDATE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Late notice code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Indemnity paid without reserve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TRANSACTIONAMOUNT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Reserve error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exceptions are routed to the Claims QA team for resolution within 5 business days.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Extract – Rev 1.2 (Internal Use Only)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