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120"/>
        <w:jc w:val="center"/>
      </w:pPr>
      <w:r>
        <w:rPr>
          <w:rFonts w:ascii="Arial" w:cs="Arial" w:eastAsia="Arial" w:hAnsi="Arial"/>
          <w:b/>
          <w:bCs/>
          <w:color w:val="1B3A5C"/>
          <w:sz w:val="44"/>
          <w:szCs w:val="44"/>
        </w:rPr>
        <w:t xml:space="preserve">ACUHIT HACKATHON 2026</w:t>
      </w:r>
    </w:p>
    <w:p>
      <w:pPr>
        <w:spacing w:after="80"/>
        <w:jc w:val="center"/>
      </w:pPr>
      <w:r>
        <w:rPr>
          <w:rFonts w:ascii="Arial" w:cs="Arial" w:eastAsia="Arial" w:hAnsi="Arial"/>
          <w:color w:val="2E5E8E"/>
          <w:sz w:val="32"/>
          <w:szCs w:val="32"/>
        </w:rPr>
        <w:t xml:space="preserve">Championship-Level Project Proposals</w:t>
      </w:r>
    </w:p>
    <w:p>
      <w:pPr>
        <w:pBdr>
          <w:bottom w:val="single" w:color="2E5E8E" w:sz="6" w:space="1"/>
        </w:pBdr>
        <w:spacing w:before="200" w:after="200"/>
      </w:pPr>
    </w:p>
    <w:p>
      <w:pPr>
        <w:spacing w:after="60"/>
        <w:jc w:val="center"/>
      </w:pPr>
      <w:r>
        <w:rPr>
          <w:rFonts w:ascii="Arial" w:cs="Arial" w:eastAsia="Arial" w:hAnsi="Arial"/>
          <w:color w:val="666666"/>
          <w:sz w:val="22"/>
          <w:szCs w:val="22"/>
        </w:rPr>
        <w:t xml:space="preserve">Phase 1 Submission — March 2026</w:t>
      </w:r>
    </w:p>
    <w:p>
      <w:pPr>
        <w:spacing w:after="60"/>
        <w:jc w:val="center"/>
      </w:pPr>
      <w:r>
        <w:rPr>
          <w:rFonts w:ascii="Arial" w:cs="Arial" w:eastAsia="Arial" w:hAnsi="Arial"/>
          <w:color w:val="666666"/>
          <w:sz w:val="22"/>
          <w:szCs w:val="22"/>
        </w:rPr>
        <w:t xml:space="preserve">Acıbadem Mehmet Ali Aydınlar University</w:t>
      </w:r>
    </w:p>
    <w:p>
      <w:pPr>
        <w:spacing w:after="200"/>
        <w:jc w:val="center"/>
      </w:pPr>
      <w:r>
        <w:rPr>
          <w:rFonts w:ascii="Arial" w:cs="Arial" w:eastAsia="Arial" w:hAnsi="Arial"/>
          <w:i/>
          <w:iCs/>
          <w:color w:val="666666"/>
          <w:sz w:val="22"/>
          <w:szCs w:val="22"/>
        </w:rPr>
        <w:t xml:space="preserve">Kerem Aydınlar Health Technology &amp; Innovation Awards</w:t>
      </w:r>
    </w:p>
    <w:p>
      <w:pPr>
        <w:spacing w:after="200"/>
      </w:pPr>
    </w:p>
    <w:p>
      <w:pPr>
        <w:pBdr>
          <w:top w:val="single" w:color="2E5E8E" w:sz="2" w:space="8"/>
          <w:bottom w:val="single" w:color="2E5E8E" w:sz="2" w:space="8"/>
        </w:pBdr>
        <w:spacing w:after="100"/>
        <w:jc w:val="center"/>
      </w:pPr>
      <w:r>
        <w:rPr>
          <w:rFonts w:ascii="Arial" w:cs="Arial" w:eastAsia="Arial" w:hAnsi="Arial"/>
          <w:b/>
          <w:bCs/>
          <w:color w:val="1B3A5C"/>
          <w:sz w:val="24"/>
          <w:szCs w:val="24"/>
        </w:rPr>
        <w:t xml:space="preserve">Three Fully Developed Proposals Targeting Top-3 Finish</w:t>
      </w:r>
    </w:p>
    <w:p>
      <w:pPr>
        <w:spacing w:after="300"/>
      </w:pPr>
    </w:p>
    <w:p>
      <w:pPr>
        <w:jc w:val="center"/>
      </w:pPr>
      <w:r>
        <w:rPr>
          <w:rFonts w:ascii="Arial" w:cs="Arial" w:eastAsia="Arial" w:hAnsi="Arial"/>
          <w:color w:val="888888"/>
          <w:sz w:val="20"/>
          <w:szCs w:val="20"/>
        </w:rPr>
        <w:t xml:space="preserve">Integrating NLP, Dynamic Health Scoring, and Predictive Analytics</w:t>
      </w:r>
    </w:p>
    <w:p>
      <w:r>
        <w:br w:type="page"/>
      </w:r>
    </w:p>
    <w:p>
      <w:pPr>
        <w:spacing w:after="60"/>
      </w:pPr>
      <w:r>
        <w:rPr>
          <w:rFonts w:ascii="Arial" w:cs="Arial" w:eastAsia="Arial" w:hAnsi="Arial"/>
          <w:b/>
          <w:bCs/>
          <w:color w:val="999999"/>
          <w:sz w:val="18"/>
          <w:szCs w:val="18"/>
        </w:rPr>
        <w:t xml:space="preserve">PROPOSAL 1</w:t>
      </w:r>
    </w:p>
    <w:p>
      <w:pPr>
        <w:pStyle w:val="Heading1"/>
        <w:spacing w:before="360" w:after="200"/>
      </w:pPr>
      <w:r>
        <w:rPr>
          <w:rFonts w:ascii="Arial" w:cs="Arial" w:eastAsia="Arial" w:hAnsi="Arial"/>
          <w:b/>
          <w:bCs/>
          <w:color w:val="1B3A5C"/>
          <w:sz w:val="32"/>
          <w:szCs w:val="32"/>
        </w:rPr>
        <w:t xml:space="preserve">PhysioLang: Multimodal Physiological Language Model for Unified Patient State Representation</w:t>
      </w:r>
    </w:p>
    <w:p>
      <w:pPr>
        <w:pBdr>
          <w:bottom w:val="single" w:color="2E5E8E" w:sz="6" w:space="1"/>
        </w:pBdr>
        <w:spacing w:before="200" w:after="200"/>
      </w:pPr>
    </w:p>
    <w:p>
      <w:pPr>
        <w:pStyle w:val="Heading2"/>
        <w:spacing w:before="280" w:after="160"/>
      </w:pPr>
      <w:r>
        <w:rPr>
          <w:rFonts w:ascii="Arial" w:cs="Arial" w:eastAsia="Arial" w:hAnsi="Arial"/>
          <w:b/>
          <w:bCs/>
          <w:color w:val="2E5E8E"/>
          <w:sz w:val="26"/>
          <w:szCs w:val="26"/>
        </w:rPr>
        <w:t xml:space="preserve">1. Core Clinical Hypothesis</w:t>
      </w:r>
    </w:p>
    <w:p>
      <w:pPr>
        <w:spacing w:after="120" w:line="276"/>
        <w:jc w:val="left"/>
      </w:pPr>
      <w:r>
        <w:rPr>
          <w:rFonts w:ascii="Arial" w:cs="Arial" w:eastAsia="Arial" w:hAnsi="Arial"/>
          <w:sz w:val="21"/>
          <w:szCs w:val="21"/>
        </w:rPr>
        <w:t xml:space="preserve">Clinical deterioration signatures exist as latent patterns distributed across three data modalities: the semantic content of clinician narratives, the trajectory of laboratory biomarkers, and the temporal dynamics of continuous vital signs. Current early warning scores (NEWS, MEWS, APACHE) collapse this rich multimodal signal into static, hand-engineered features that discard temporal context, ignore free-text clinical reasoning, and treat each parameter independently. We hypothesize that a unified embedding space—where a physician’s note about “worsening mental status” is mathematically proximal to a declining GCS trajectory and rising lactate—will yield a patient state representation that is simultaneously more predictive and more clinically interpretable than any single-modality scoring system.</w:t>
      </w:r>
    </w:p>
    <w:p>
      <w:pPr>
        <w:spacing w:after="120" w:line="276"/>
        <w:jc w:val="left"/>
      </w:pPr>
      <w:r>
        <w:rPr>
          <w:rFonts w:ascii="Arial" w:cs="Arial" w:eastAsia="Arial" w:hAnsi="Arial"/>
          <w:sz w:val="21"/>
          <w:szCs w:val="21"/>
        </w:rPr>
        <w:t xml:space="preserve">Specifically, we posit that multimodal contrastive alignment of text embeddings with time-series physiological features recovers clinically meaningful latent health dimensions (organ-system axes) that static scoring systems structurally cannot capture.</w:t>
      </w:r>
    </w:p>
    <w:p>
      <w:pPr>
        <w:pStyle w:val="Heading2"/>
        <w:spacing w:before="280" w:after="160"/>
      </w:pPr>
      <w:r>
        <w:rPr>
          <w:rFonts w:ascii="Arial" w:cs="Arial" w:eastAsia="Arial" w:hAnsi="Arial"/>
          <w:b/>
          <w:bCs/>
          <w:color w:val="2E5E8E"/>
          <w:sz w:val="26"/>
          <w:szCs w:val="26"/>
        </w:rPr>
        <w:t xml:space="preserve">2. Novel Health Score Definition: PhysioLang Composite Index (PLCI)</w:t>
      </w:r>
    </w:p>
    <w:p>
      <w:pPr>
        <w:spacing w:before="200" w:after="120"/>
      </w:pPr>
      <w:r>
        <w:rPr>
          <w:rFonts w:ascii="Arial" w:cs="Arial" w:eastAsia="Arial" w:hAnsi="Arial"/>
          <w:b/>
          <w:bCs/>
          <w:color w:val="3A7CA5"/>
          <w:sz w:val="22"/>
          <w:szCs w:val="22"/>
        </w:rPr>
        <w:t xml:space="preserve">2.1 Mathematical Formulation</w:t>
      </w:r>
    </w:p>
    <w:p>
      <w:pPr>
        <w:spacing w:after="120" w:line="276"/>
        <w:jc w:val="left"/>
      </w:pPr>
      <w:r>
        <w:rPr>
          <w:rFonts w:ascii="Arial" w:cs="Arial" w:eastAsia="Arial" w:hAnsi="Arial"/>
          <w:sz w:val="21"/>
          <w:szCs w:val="21"/>
        </w:rPr>
        <w:t xml:space="preserve">Let patient i at time t have three feature representations:</w:t>
      </w:r>
    </w:p>
    <w:p>
      <w:pPr>
        <w:spacing w:after="60" w:line="276"/>
        <w:ind w:left="720"/>
      </w:pPr>
      <w:r>
        <w:rPr>
          <w:rFonts w:ascii="Courier New" w:cs="Courier New" w:eastAsia="Courier New" w:hAnsi="Courier New"/>
          <w:color w:val="333333"/>
          <w:sz w:val="20"/>
          <w:szCs w:val="20"/>
        </w:rPr>
        <w:t xml:space="preserve">z_text(i,t) ∈ R^d    — ClinicalBERT embedding of latest note window</w:t>
      </w:r>
    </w:p>
    <w:p>
      <w:pPr>
        <w:spacing w:after="60" w:line="276"/>
        <w:ind w:left="720"/>
      </w:pPr>
      <w:r>
        <w:rPr>
          <w:rFonts w:ascii="Courier New" w:cs="Courier New" w:eastAsia="Courier New" w:hAnsi="Courier New"/>
          <w:color w:val="333333"/>
          <w:sz w:val="20"/>
          <w:szCs w:val="20"/>
        </w:rPr>
        <w:t xml:space="preserve">z_labs(i,t) ∈ R^d    — Temporal convolutional encoding of lab trajectories</w:t>
      </w:r>
    </w:p>
    <w:p>
      <w:pPr>
        <w:spacing w:after="60" w:line="276"/>
        <w:ind w:left="720"/>
      </w:pPr>
      <w:r>
        <w:rPr>
          <w:rFonts w:ascii="Courier New" w:cs="Courier New" w:eastAsia="Courier New" w:hAnsi="Courier New"/>
          <w:color w:val="333333"/>
          <w:sz w:val="20"/>
          <w:szCs w:val="20"/>
        </w:rPr>
        <w:t xml:space="preserve">z_vitals(i,t) ∈ R^d  — Temporal convolutional encoding of vital sign streams</w:t>
      </w:r>
    </w:p>
    <w:p>
      <w:pPr>
        <w:spacing w:after="60"/>
      </w:pPr>
    </w:p>
    <w:p>
      <w:pPr>
        <w:spacing w:after="120" w:line="276"/>
        <w:jc w:val="left"/>
      </w:pPr>
      <w:r>
        <w:rPr>
          <w:rFonts w:ascii="Arial" w:cs="Arial" w:eastAsia="Arial" w:hAnsi="Arial"/>
          <w:sz w:val="21"/>
          <w:szCs w:val="21"/>
        </w:rPr>
        <w:t xml:space="preserve">We define the fused patient state vector via multimodal attention fusion:</w:t>
      </w:r>
    </w:p>
    <w:p>
      <w:pPr>
        <w:spacing w:after="60" w:line="276"/>
        <w:ind w:left="720"/>
      </w:pPr>
      <w:r>
        <w:rPr>
          <w:rFonts w:ascii="Courier New" w:cs="Courier New" w:eastAsia="Courier New" w:hAnsi="Courier New"/>
          <w:color w:val="333333"/>
          <w:sz w:val="20"/>
          <w:szCs w:val="20"/>
        </w:rPr>
        <w:t xml:space="preserve">h(i,t) = MultiHeadAttn(Q=z_text, K=[z_labs; z_vitals], V=[z_labs; z_vitals]) + z_text</w:t>
      </w:r>
    </w:p>
    <w:p>
      <w:pPr>
        <w:spacing w:after="60" w:line="276"/>
        <w:ind w:left="720"/>
      </w:pPr>
      <w:r>
        <w:rPr>
          <w:rFonts w:ascii="Courier New" w:cs="Courier New" w:eastAsia="Courier New" w:hAnsi="Courier New"/>
          <w:color w:val="333333"/>
          <w:sz w:val="20"/>
          <w:szCs w:val="20"/>
        </w:rPr>
        <w:t xml:space="preserve"/>
      </w:r>
    </w:p>
    <w:p>
      <w:pPr>
        <w:spacing w:after="60" w:line="276"/>
        <w:ind w:left="720"/>
      </w:pPr>
      <w:r>
        <w:rPr>
          <w:rFonts w:ascii="Courier New" w:cs="Courier New" w:eastAsia="Courier New" w:hAnsi="Courier New"/>
          <w:color w:val="333333"/>
          <w:sz w:val="20"/>
          <w:szCs w:val="20"/>
        </w:rPr>
        <w:t xml:space="preserve">where MultiHeadAttn uses 4 heads with d_k = d/4</w:t>
      </w:r>
    </w:p>
    <w:p>
      <w:pPr>
        <w:spacing w:after="60"/>
      </w:pPr>
    </w:p>
    <w:p>
      <w:pPr>
        <w:spacing w:after="120" w:line="276"/>
        <w:jc w:val="left"/>
      </w:pPr>
      <w:r>
        <w:rPr>
          <w:rFonts w:ascii="Arial" w:cs="Arial" w:eastAsia="Arial" w:hAnsi="Arial"/>
          <w:sz w:val="21"/>
          <w:szCs w:val="21"/>
        </w:rPr>
        <w:t xml:space="preserve">The PLCI decomposes h(i,t) into K organ-system axes via learned linear projections:</w:t>
      </w:r>
    </w:p>
    <w:p>
      <w:pPr>
        <w:spacing w:after="60" w:line="276"/>
        <w:ind w:left="720"/>
      </w:pPr>
      <w:r>
        <w:rPr>
          <w:rFonts w:ascii="Courier New" w:cs="Courier New" w:eastAsia="Courier New" w:hAnsi="Courier New"/>
          <w:color w:val="333333"/>
          <w:sz w:val="20"/>
          <w:szCs w:val="20"/>
        </w:rPr>
        <w:t xml:space="preserve">PLCI_k(i,t) = sigmoid(w_k^T · h(i,t) + b_k)    for k ∈ {cardio, resp, renal, hepatic, neuro, metabolic}</w:t>
      </w:r>
    </w:p>
    <w:p>
      <w:pPr>
        <w:spacing w:after="60" w:line="276"/>
        <w:ind w:left="720"/>
      </w:pPr>
      <w:r>
        <w:rPr>
          <w:rFonts w:ascii="Courier New" w:cs="Courier New" w:eastAsia="Courier New" w:hAnsi="Courier New"/>
          <w:color w:val="333333"/>
          <w:sz w:val="20"/>
          <w:szCs w:val="20"/>
        </w:rPr>
        <w:t xml:space="preserve"/>
      </w:r>
    </w:p>
    <w:p>
      <w:pPr>
        <w:spacing w:after="60" w:line="276"/>
        <w:ind w:left="720"/>
      </w:pPr>
      <w:r>
        <w:rPr>
          <w:rFonts w:ascii="Courier New" w:cs="Courier New" w:eastAsia="Courier New" w:hAnsi="Courier New"/>
          <w:color w:val="333333"/>
          <w:sz w:val="20"/>
          <w:szCs w:val="20"/>
        </w:rPr>
        <w:t xml:space="preserve">PLCI_total(i,t) = (1/K) ∑_k PLCI_k(i,t)</w:t>
      </w:r>
    </w:p>
    <w:p>
      <w:pPr>
        <w:spacing w:after="60" w:line="276"/>
        <w:ind w:left="720"/>
      </w:pPr>
      <w:r>
        <w:rPr>
          <w:rFonts w:ascii="Courier New" w:cs="Courier New" w:eastAsia="Courier New" w:hAnsi="Courier New"/>
          <w:color w:val="333333"/>
          <w:sz w:val="20"/>
          <w:szCs w:val="20"/>
        </w:rPr>
        <w:t xml:space="preserve"/>
      </w:r>
    </w:p>
    <w:p>
      <w:pPr>
        <w:spacing w:after="60" w:line="276"/>
        <w:ind w:left="720"/>
      </w:pPr>
      <w:r>
        <w:rPr>
          <w:rFonts w:ascii="Courier New" w:cs="Courier New" w:eastAsia="Courier New" w:hAnsi="Courier New"/>
          <w:color w:val="333333"/>
          <w:sz w:val="20"/>
          <w:szCs w:val="20"/>
        </w:rPr>
        <w:t xml:space="preserve">PLCI_delta(i,t) = PLCI_total(i,t) - PLCI_total(i, t-Δt)</w:t>
      </w:r>
    </w:p>
    <w:p>
      <w:pPr>
        <w:spacing w:after="60"/>
      </w:pPr>
    </w:p>
    <w:p>
      <w:pPr>
        <w:spacing w:after="120" w:line="276"/>
        <w:jc w:val="left"/>
      </w:pPr>
      <w:r>
        <w:rPr>
          <w:rFonts w:ascii="Arial" w:cs="Arial" w:eastAsia="Arial" w:hAnsi="Arial"/>
          <w:sz w:val="21"/>
          <w:szCs w:val="21"/>
        </w:rPr>
        <w:t xml:space="preserve">The composite score lies in [0,1], where 0 = critical deterioration and 1 = physiological stability. Each organ subscore is independently interpretable.</w:t>
      </w:r>
    </w:p>
    <w:p>
      <w:pPr>
        <w:spacing w:before="200" w:after="120"/>
      </w:pPr>
      <w:r>
        <w:rPr>
          <w:rFonts w:ascii="Arial" w:cs="Arial" w:eastAsia="Arial" w:hAnsi="Arial"/>
          <w:b/>
          <w:bCs/>
          <w:color w:val="3A7CA5"/>
          <w:sz w:val="22"/>
          <w:szCs w:val="22"/>
        </w:rPr>
        <w:t xml:space="preserve">2.2 Clinical Rationale</w:t>
      </w:r>
    </w:p>
    <w:p>
      <w:pPr>
        <w:spacing w:after="120" w:line="276"/>
        <w:jc w:val="left"/>
      </w:pPr>
      <w:r>
        <w:rPr>
          <w:rFonts w:ascii="Arial" w:cs="Arial" w:eastAsia="Arial" w:hAnsi="Arial"/>
          <w:sz w:val="21"/>
          <w:szCs w:val="21"/>
        </w:rPr>
        <w:t xml:space="preserve">Unlike APACHE-II (which uses worst-case values from the first 24 hours) or SOFA (which requires manual assessment of 6 organ systems), PLCI provides continuous, automated, organ-resolved health tracking that updates with each new data point—whether a lab result, a vital sign reading, or a clinical note. The delta term captures the velocity of deterioration, which clinicians identify as the most actionable signal in ICU decision-making.</w:t>
      </w:r>
    </w:p>
    <w:p>
      <w:pPr>
        <w:spacing w:before="200" w:after="120"/>
      </w:pPr>
      <w:r>
        <w:rPr>
          <w:rFonts w:ascii="Arial" w:cs="Arial" w:eastAsia="Arial" w:hAnsi="Arial"/>
          <w:b/>
          <w:bCs/>
          <w:color w:val="3A7CA5"/>
          <w:sz w:val="22"/>
          <w:szCs w:val="22"/>
        </w:rPr>
        <w:t xml:space="preserve">2.3 Literature Grounding</w:t>
      </w:r>
    </w:p>
    <w:p>
      <w:pPr>
        <w:pStyle w:val="ListParagraph"/>
        <w:numPr>
          <w:ilvl w:val="0"/>
          <w:numId w:val="2"/>
        </w:numPr>
        <w:spacing w:after="80" w:line="276"/>
      </w:pPr>
      <w:r>
        <w:rPr>
          <w:rFonts w:ascii="Arial" w:cs="Arial" w:eastAsia="Arial" w:hAnsi="Arial"/>
          <w:b/>
          <w:bCs/>
          <w:sz w:val="21"/>
          <w:szCs w:val="21"/>
        </w:rPr>
        <w:t xml:space="preserve">Contrastive multimodal alignment: </w:t>
      </w:r>
      <w:r>
        <w:rPr>
          <w:rFonts w:ascii="Arial" w:cs="Arial" w:eastAsia="Arial" w:hAnsi="Arial"/>
          <w:sz w:val="21"/>
          <w:szCs w:val="21"/>
        </w:rPr>
        <w:t xml:space="preserve">Radford et al. (2021) CLIP demonstrated that contrastive learning creates semantically meaningful joint embedding spaces; we adapt this principle to clinical text-physiology alignment.</w:t>
      </w:r>
    </w:p>
    <w:p>
      <w:pPr>
        <w:pStyle w:val="ListParagraph"/>
        <w:numPr>
          <w:ilvl w:val="0"/>
          <w:numId w:val="2"/>
        </w:numPr>
        <w:spacing w:after="80" w:line="276"/>
      </w:pPr>
      <w:r>
        <w:rPr>
          <w:rFonts w:ascii="Arial" w:cs="Arial" w:eastAsia="Arial" w:hAnsi="Arial"/>
          <w:b/>
          <w:bCs/>
          <w:sz w:val="21"/>
          <w:szCs w:val="21"/>
        </w:rPr>
        <w:t xml:space="preserve">ClinicalBERT: </w:t>
      </w:r>
      <w:r>
        <w:rPr>
          <w:rFonts w:ascii="Arial" w:cs="Arial" w:eastAsia="Arial" w:hAnsi="Arial"/>
          <w:sz w:val="21"/>
          <w:szCs w:val="21"/>
        </w:rPr>
        <w:t xml:space="preserve">Alsentzer et al. (2019) showed that domain-specific BERT pretraining on MIMIC-III clinical notes substantially outperforms general-purpose embeddings for clinical NLP tasks.</w:t>
      </w:r>
    </w:p>
    <w:p>
      <w:pPr>
        <w:pStyle w:val="ListParagraph"/>
        <w:numPr>
          <w:ilvl w:val="0"/>
          <w:numId w:val="2"/>
        </w:numPr>
        <w:spacing w:after="80" w:line="276"/>
      </w:pPr>
      <w:r>
        <w:rPr>
          <w:rFonts w:ascii="Arial" w:cs="Arial" w:eastAsia="Arial" w:hAnsi="Arial"/>
          <w:b/>
          <w:bCs/>
          <w:sz w:val="21"/>
          <w:szCs w:val="21"/>
        </w:rPr>
        <w:t xml:space="preserve">Organ-system decomposition: </w:t>
      </w:r>
      <w:r>
        <w:rPr>
          <w:rFonts w:ascii="Arial" w:cs="Arial" w:eastAsia="Arial" w:hAnsi="Arial"/>
          <w:sz w:val="21"/>
          <w:szCs w:val="21"/>
        </w:rPr>
        <w:t xml:space="preserve">Vincent et al. (1996) SOFA score established the clinical validity of organ-axis decomposition; PLCI extends this to continuous, learned representations.</w:t>
      </w:r>
    </w:p>
    <w:p>
      <w:pPr>
        <w:pStyle w:val="ListParagraph"/>
        <w:numPr>
          <w:ilvl w:val="0"/>
          <w:numId w:val="2"/>
        </w:numPr>
        <w:spacing w:after="80" w:line="276"/>
      </w:pPr>
      <w:r>
        <w:rPr>
          <w:rFonts w:ascii="Arial" w:cs="Arial" w:eastAsia="Arial" w:hAnsi="Arial"/>
          <w:b/>
          <w:bCs/>
          <w:sz w:val="21"/>
          <w:szCs w:val="21"/>
        </w:rPr>
        <w:t xml:space="preserve">Temporal deterioration velocity: </w:t>
      </w:r>
      <w:r>
        <w:rPr>
          <w:rFonts w:ascii="Arial" w:cs="Arial" w:eastAsia="Arial" w:hAnsi="Arial"/>
          <w:sz w:val="21"/>
          <w:szCs w:val="21"/>
        </w:rPr>
        <w:t xml:space="preserve">Churpek et al. (2016) demonstrated that vital sign trends outperform single-point measurements for predicting cardiac arrest, supporting our delta formulation.</w:t>
      </w:r>
    </w:p>
    <w:p>
      <w:pPr>
        <w:pStyle w:val="Heading2"/>
        <w:spacing w:before="280" w:after="160"/>
      </w:pPr>
      <w:r>
        <w:rPr>
          <w:rFonts w:ascii="Arial" w:cs="Arial" w:eastAsia="Arial" w:hAnsi="Arial"/>
          <w:b/>
          <w:bCs/>
          <w:color w:val="2E5E8E"/>
          <w:sz w:val="26"/>
          <w:szCs w:val="26"/>
        </w:rPr>
        <w:t xml:space="preserve">3. Data Processing Pipeline</w:t>
      </w:r>
    </w:p>
    <w:p>
      <w:pPr>
        <w:spacing w:before="200" w:after="120"/>
      </w:pPr>
      <w:r>
        <w:rPr>
          <w:rFonts w:ascii="Arial" w:cs="Arial" w:eastAsia="Arial" w:hAnsi="Arial"/>
          <w:b/>
          <w:bCs/>
          <w:color w:val="3A7CA5"/>
          <w:sz w:val="22"/>
          <w:szCs w:val="22"/>
        </w:rPr>
        <w:t xml:space="preserve">3.1 NLP Approach for Unstructured Notes</w:t>
      </w:r>
    </w:p>
    <w:p>
      <w:pPr>
        <w:pStyle w:val="ListParagraph"/>
        <w:numPr>
          <w:ilvl w:val="0"/>
          <w:numId w:val="2"/>
        </w:numPr>
        <w:spacing w:after="80" w:line="276"/>
      </w:pPr>
      <w:r>
        <w:rPr>
          <w:rFonts w:ascii="Arial" w:cs="Arial" w:eastAsia="Arial" w:hAnsi="Arial"/>
          <w:b/>
          <w:bCs/>
          <w:sz w:val="21"/>
          <w:szCs w:val="21"/>
        </w:rPr>
        <w:t xml:space="preserve">Tokenization: </w:t>
      </w:r>
      <w:r>
        <w:rPr>
          <w:rFonts w:ascii="Arial" w:cs="Arial" w:eastAsia="Arial" w:hAnsi="Arial"/>
          <w:sz w:val="21"/>
          <w:szCs w:val="21"/>
        </w:rPr>
        <w:t xml:space="preserve">ClinicalBERT tokenizer with medical abbreviation expansion dictionary (e.g., “htn” → “hypertension”, “s/p” → “status post”).</w:t>
      </w:r>
    </w:p>
    <w:p>
      <w:pPr>
        <w:pStyle w:val="ListParagraph"/>
        <w:numPr>
          <w:ilvl w:val="0"/>
          <w:numId w:val="2"/>
        </w:numPr>
        <w:spacing w:after="80" w:line="276"/>
      </w:pPr>
      <w:r>
        <w:rPr>
          <w:rFonts w:ascii="Arial" w:cs="Arial" w:eastAsia="Arial" w:hAnsi="Arial"/>
          <w:b/>
          <w:bCs/>
          <w:sz w:val="21"/>
          <w:szCs w:val="21"/>
        </w:rPr>
        <w:t xml:space="preserve">Embedding extraction: </w:t>
      </w:r>
      <w:r>
        <w:rPr>
          <w:rFonts w:ascii="Arial" w:cs="Arial" w:eastAsia="Arial" w:hAnsi="Arial"/>
          <w:sz w:val="21"/>
          <w:szCs w:val="21"/>
        </w:rPr>
        <w:t xml:space="preserve">Final hidden-state [CLS] token from ClinicalBERT, fine-tuned on note-level mortality prediction as a warm-up task.</w:t>
      </w:r>
    </w:p>
    <w:p>
      <w:pPr>
        <w:pStyle w:val="ListParagraph"/>
        <w:numPr>
          <w:ilvl w:val="0"/>
          <w:numId w:val="2"/>
        </w:numPr>
        <w:spacing w:after="80" w:line="276"/>
      </w:pPr>
      <w:r>
        <w:rPr>
          <w:rFonts w:ascii="Arial" w:cs="Arial" w:eastAsia="Arial" w:hAnsi="Arial"/>
          <w:b/>
          <w:bCs/>
          <w:sz w:val="21"/>
          <w:szCs w:val="21"/>
        </w:rPr>
        <w:t xml:space="preserve">Temporal windowing: </w:t>
      </w:r>
      <w:r>
        <w:rPr>
          <w:rFonts w:ascii="Arial" w:cs="Arial" w:eastAsia="Arial" w:hAnsi="Arial"/>
          <w:sz w:val="21"/>
          <w:szCs w:val="21"/>
        </w:rPr>
        <w:t xml:space="preserve">Sliding 24-hour windows of concatenated notes, with recency weighting (exponential decay λ=0.1 per hour from window edge).</w:t>
      </w:r>
    </w:p>
    <w:p>
      <w:pPr>
        <w:pStyle w:val="ListParagraph"/>
        <w:numPr>
          <w:ilvl w:val="0"/>
          <w:numId w:val="2"/>
        </w:numPr>
        <w:spacing w:after="80" w:line="276"/>
      </w:pPr>
      <w:r>
        <w:rPr>
          <w:rFonts w:ascii="Arial" w:cs="Arial" w:eastAsia="Arial" w:hAnsi="Arial"/>
          <w:b/>
          <w:bCs/>
          <w:sz w:val="21"/>
          <w:szCs w:val="21"/>
        </w:rPr>
        <w:t xml:space="preserve">Entity extraction: </w:t>
      </w:r>
      <w:r>
        <w:rPr>
          <w:rFonts w:ascii="Arial" w:cs="Arial" w:eastAsia="Arial" w:hAnsi="Arial"/>
          <w:sz w:val="21"/>
          <w:szCs w:val="21"/>
        </w:rPr>
        <w:t xml:space="preserve">SpaCy MedCAT pipeline for UMLS concept identification; extracted concepts augment the embedding as a sparse binary feature vector.</w:t>
      </w:r>
    </w:p>
    <w:p>
      <w:pPr>
        <w:spacing w:before="200" w:after="120"/>
      </w:pPr>
      <w:r>
        <w:rPr>
          <w:rFonts w:ascii="Arial" w:cs="Arial" w:eastAsia="Arial" w:hAnsi="Arial"/>
          <w:b/>
          <w:bCs/>
          <w:color w:val="3A7CA5"/>
          <w:sz w:val="22"/>
          <w:szCs w:val="22"/>
        </w:rPr>
        <w:t xml:space="preserve">3.2 Feature Engineering for Labs and Vitals</w:t>
      </w:r>
    </w:p>
    <w:p>
      <w:pPr>
        <w:pStyle w:val="ListParagraph"/>
        <w:numPr>
          <w:ilvl w:val="0"/>
          <w:numId w:val="2"/>
        </w:numPr>
        <w:spacing w:after="80" w:line="276"/>
      </w:pPr>
      <w:r>
        <w:rPr>
          <w:rFonts w:ascii="Arial" w:cs="Arial" w:eastAsia="Arial" w:hAnsi="Arial"/>
          <w:b/>
          <w:bCs/>
          <w:sz w:val="21"/>
          <w:szCs w:val="21"/>
        </w:rPr>
        <w:t xml:space="preserve">Labs: </w:t>
      </w:r>
      <w:r>
        <w:rPr>
          <w:rFonts w:ascii="Arial" w:cs="Arial" w:eastAsia="Arial" w:hAnsi="Arial"/>
          <w:sz w:val="21"/>
          <w:szCs w:val="21"/>
        </w:rPr>
        <w:t xml:space="preserve">Missingness-aware encoding: [value, time_since_last, is_missing, deviation_from_patient_baseline]. Baseline computed as median of first 24h. Normalized per-feature using robust scaling (IQR).</w:t>
      </w:r>
    </w:p>
    <w:p>
      <w:pPr>
        <w:pStyle w:val="ListParagraph"/>
        <w:numPr>
          <w:ilvl w:val="0"/>
          <w:numId w:val="2"/>
        </w:numPr>
        <w:spacing w:after="80" w:line="276"/>
      </w:pPr>
      <w:r>
        <w:rPr>
          <w:rFonts w:ascii="Arial" w:cs="Arial" w:eastAsia="Arial" w:hAnsi="Arial"/>
          <w:b/>
          <w:bCs/>
          <w:sz w:val="21"/>
          <w:szCs w:val="21"/>
        </w:rPr>
        <w:t xml:space="preserve">Vitals: </w:t>
      </w:r>
      <w:r>
        <w:rPr>
          <w:rFonts w:ascii="Arial" w:cs="Arial" w:eastAsia="Arial" w:hAnsi="Arial"/>
          <w:sz w:val="21"/>
          <w:szCs w:val="21"/>
        </w:rPr>
        <w:t xml:space="preserve">5-minute resolution resampling via forward-fill + linear interpolation. Features: rolling mean, rolling std (1h, 4h, 12h windows), slope (OLS over trailing 2h), and spectral entropy (128-sample FFT for HRV complexity).</w:t>
      </w:r>
    </w:p>
    <w:p>
      <w:pPr>
        <w:pStyle w:val="ListParagraph"/>
        <w:numPr>
          <w:ilvl w:val="0"/>
          <w:numId w:val="2"/>
        </w:numPr>
        <w:spacing w:after="80" w:line="276"/>
      </w:pPr>
      <w:r>
        <w:rPr>
          <w:rFonts w:ascii="Arial" w:cs="Arial" w:eastAsia="Arial" w:hAnsi="Arial"/>
          <w:b/>
          <w:bCs/>
          <w:sz w:val="21"/>
          <w:szCs w:val="21"/>
        </w:rPr>
        <w:t xml:space="preserve">Cross-modal temporal alignment: </w:t>
      </w:r>
      <w:r>
        <w:rPr>
          <w:rFonts w:ascii="Arial" w:cs="Arial" w:eastAsia="Arial" w:hAnsi="Arial"/>
          <w:sz w:val="21"/>
          <w:szCs w:val="21"/>
        </w:rPr>
        <w:t xml:space="preserve">All features indexed to a common 1-hour resolution timeline via aggregation (labs, notes) or downsampling (vitals).</w:t>
      </w:r>
    </w:p>
    <w:p>
      <w:pPr>
        <w:spacing w:before="200" w:after="120"/>
      </w:pPr>
      <w:r>
        <w:rPr>
          <w:rFonts w:ascii="Arial" w:cs="Arial" w:eastAsia="Arial" w:hAnsi="Arial"/>
          <w:b/>
          <w:bCs/>
          <w:color w:val="3A7CA5"/>
          <w:sz w:val="22"/>
          <w:szCs w:val="22"/>
        </w:rPr>
        <w:t xml:space="preserve">3.3 Temporal Modeling Strategy</w:t>
      </w:r>
    </w:p>
    <w:p>
      <w:pPr>
        <w:spacing w:after="120" w:line="276"/>
        <w:jc w:val="left"/>
      </w:pPr>
      <w:r>
        <w:rPr>
          <w:rFonts w:ascii="Arial" w:cs="Arial" w:eastAsia="Arial" w:hAnsi="Arial"/>
          <w:sz w:val="21"/>
          <w:szCs w:val="21"/>
        </w:rPr>
        <w:t xml:space="preserve">Each modality is independently encoded through 1D temporal convolutional networks (TCN) with dilated causal convolutions (kernel=3, dilation factors [1,2,4,8]) before entering the multimodal attention fusion layer. This ensures that the model captures both short-range physiological transients and long-range clinical trajectories (up to ~64 hours of lookback with 1h resolution).</w:t>
      </w:r>
    </w:p>
    <w:p>
      <w:pPr>
        <w:pStyle w:val="Heading2"/>
        <w:spacing w:before="280" w:after="160"/>
      </w:pPr>
      <w:r>
        <w:rPr>
          <w:rFonts w:ascii="Arial" w:cs="Arial" w:eastAsia="Arial" w:hAnsi="Arial"/>
          <w:b/>
          <w:bCs/>
          <w:color w:val="2E5E8E"/>
          <w:sz w:val="26"/>
          <w:szCs w:val="26"/>
        </w:rPr>
        <w:t xml:space="preserve">4. Predictive Models</w:t>
      </w:r>
    </w:p>
    <w:p>
      <w:pPr>
        <w:spacing w:before="200" w:after="120"/>
      </w:pPr>
      <w:r>
        <w:rPr>
          <w:rFonts w:ascii="Arial" w:cs="Arial" w:eastAsia="Arial" w:hAnsi="Arial"/>
          <w:b/>
          <w:bCs/>
          <w:color w:val="3A7CA5"/>
          <w:sz w:val="22"/>
          <w:szCs w:val="22"/>
        </w:rPr>
        <w:t xml:space="preserve">4.1 Algorithms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900"/>
        <w:gridCol w:w="312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Target</w:t>
            </w:r>
          </w:p>
        </w:tc>
        <w:tc>
          <w:tcPr>
            <w:tcW w:type="dxa" w:w="3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Model</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Loss Function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Prognosis (mortality)</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Gradient-boosted survival forest (XGBoost-AFT) on PLCI features + raw features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Accelerated failure time (log-normal)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Length of Stay</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Two-stage: Logistic (short vs long) + Gamma regression on h(i,t)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Binary CE + Gamma deviance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Procedure Prediction</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Multi-label classifier (LightGBM) on h(i,t) with top-20 ICD procedure codes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Binary CE per label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Resource Allocation</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Poisson regression ensemble on PLCI subscores for daily bed/ventilator/dialysis demand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Poisson log-likelihood</w:t>
            </w:r>
          </w:p>
        </w:tc>
      </w:tr>
    </w:tbl>
    <w:p>
      <w:pPr>
        <w:spacing w:after="120"/>
      </w:pPr>
    </w:p>
    <w:p>
      <w:pPr>
        <w:spacing w:before="200" w:after="120"/>
      </w:pPr>
      <w:r>
        <w:rPr>
          <w:rFonts w:ascii="Arial" w:cs="Arial" w:eastAsia="Arial" w:hAnsi="Arial"/>
          <w:b/>
          <w:bCs/>
          <w:color w:val="3A7CA5"/>
          <w:sz w:val="22"/>
          <w:szCs w:val="22"/>
        </w:rPr>
        <w:t xml:space="preserve">4.2 Interpretability Strategy</w:t>
      </w:r>
    </w:p>
    <w:p>
      <w:pPr>
        <w:pStyle w:val="ListParagraph"/>
        <w:numPr>
          <w:ilvl w:val="0"/>
          <w:numId w:val="2"/>
        </w:numPr>
        <w:spacing w:after="80" w:line="276"/>
      </w:pPr>
      <w:r>
        <w:rPr>
          <w:rFonts w:ascii="Arial" w:cs="Arial" w:eastAsia="Arial" w:hAnsi="Arial"/>
          <w:b/>
          <w:bCs/>
          <w:sz w:val="21"/>
          <w:szCs w:val="21"/>
        </w:rPr>
        <w:t xml:space="preserve">SHAP TreeExplainer: </w:t>
      </w:r>
      <w:r>
        <w:rPr>
          <w:rFonts w:ascii="Arial" w:cs="Arial" w:eastAsia="Arial" w:hAnsi="Arial"/>
          <w:sz w:val="21"/>
          <w:szCs w:val="21"/>
        </w:rPr>
        <w:t xml:space="preserve">Applied to all gradient-boosted models to produce per-feature importance at the patient level.</w:t>
      </w:r>
    </w:p>
    <w:p>
      <w:pPr>
        <w:pStyle w:val="ListParagraph"/>
        <w:numPr>
          <w:ilvl w:val="0"/>
          <w:numId w:val="2"/>
        </w:numPr>
        <w:spacing w:after="80" w:line="276"/>
      </w:pPr>
      <w:r>
        <w:rPr>
          <w:rFonts w:ascii="Arial" w:cs="Arial" w:eastAsia="Arial" w:hAnsi="Arial"/>
          <w:b/>
          <w:bCs/>
          <w:sz w:val="21"/>
          <w:szCs w:val="21"/>
        </w:rPr>
        <w:t xml:space="preserve">Attention heatmaps: </w:t>
      </w:r>
      <w:r>
        <w:rPr>
          <w:rFonts w:ascii="Arial" w:cs="Arial" w:eastAsia="Arial" w:hAnsi="Arial"/>
          <w:sz w:val="21"/>
          <w:szCs w:val="21"/>
        </w:rPr>
        <w:t xml:space="preserve">Multimodal attention weights visualized as a heatmap showing which vitals/labs the model “attends to” when processing each clinical note.</w:t>
      </w:r>
    </w:p>
    <w:p>
      <w:pPr>
        <w:pStyle w:val="ListParagraph"/>
        <w:numPr>
          <w:ilvl w:val="0"/>
          <w:numId w:val="2"/>
        </w:numPr>
        <w:spacing w:after="80" w:line="276"/>
      </w:pPr>
      <w:r>
        <w:rPr>
          <w:rFonts w:ascii="Arial" w:cs="Arial" w:eastAsia="Arial" w:hAnsi="Arial"/>
          <w:b/>
          <w:bCs/>
          <w:sz w:val="21"/>
          <w:szCs w:val="21"/>
        </w:rPr>
        <w:t xml:space="preserve">Organ-subscore dashboard: </w:t>
      </w:r>
      <w:r>
        <w:rPr>
          <w:rFonts w:ascii="Arial" w:cs="Arial" w:eastAsia="Arial" w:hAnsi="Arial"/>
          <w:sz w:val="21"/>
          <w:szCs w:val="21"/>
        </w:rPr>
        <w:t xml:space="preserve">PLCI_k trajectories plotted per organ system, providing clinicians with an at-a-glance physiological overview analogous to a multi-organ “health EKG.”</w:t>
      </w:r>
    </w:p>
    <w:p>
      <w:pPr>
        <w:pStyle w:val="ListParagraph"/>
        <w:numPr>
          <w:ilvl w:val="0"/>
          <w:numId w:val="2"/>
        </w:numPr>
        <w:spacing w:after="80" w:line="276"/>
      </w:pPr>
      <w:r>
        <w:rPr>
          <w:rFonts w:ascii="Arial" w:cs="Arial" w:eastAsia="Arial" w:hAnsi="Arial"/>
          <w:b/>
          <w:bCs/>
          <w:sz w:val="21"/>
          <w:szCs w:val="21"/>
        </w:rPr>
        <w:t xml:space="preserve">Monotonic constraints: </w:t>
      </w:r>
      <w:r>
        <w:rPr>
          <w:rFonts w:ascii="Arial" w:cs="Arial" w:eastAsia="Arial" w:hAnsi="Arial"/>
          <w:sz w:val="21"/>
          <w:szCs w:val="21"/>
        </w:rPr>
        <w:t xml:space="preserve">XGBoost models enforce clinically expected monotonicity (e.g., higher lactate → worse prognosis) via monotone_constraints parameter.</w:t>
      </w:r>
    </w:p>
    <w:p>
      <w:pPr>
        <w:pStyle w:val="Heading2"/>
        <w:spacing w:before="280" w:after="160"/>
      </w:pPr>
      <w:r>
        <w:rPr>
          <w:rFonts w:ascii="Arial" w:cs="Arial" w:eastAsia="Arial" w:hAnsi="Arial"/>
          <w:b/>
          <w:bCs/>
          <w:color w:val="2E5E8E"/>
          <w:sz w:val="26"/>
          <w:szCs w:val="26"/>
        </w:rPr>
        <w:t xml:space="preserve">5. Validation Strategy</w:t>
      </w:r>
    </w:p>
    <w:p>
      <w:pPr>
        <w:spacing w:before="200" w:after="120"/>
      </w:pPr>
      <w:r>
        <w:rPr>
          <w:rFonts w:ascii="Arial" w:cs="Arial" w:eastAsia="Arial" w:hAnsi="Arial"/>
          <w:b/>
          <w:bCs/>
          <w:color w:val="3A7CA5"/>
          <w:sz w:val="22"/>
          <w:szCs w:val="22"/>
        </w:rPr>
        <w:t xml:space="preserve">5.1 Cross-Validation</w:t>
      </w:r>
    </w:p>
    <w:p>
      <w:pPr>
        <w:pStyle w:val="ListParagraph"/>
        <w:numPr>
          <w:ilvl w:val="0"/>
          <w:numId w:val="2"/>
        </w:numPr>
        <w:spacing w:after="80" w:line="276"/>
      </w:pPr>
      <w:r>
        <w:rPr>
          <w:rFonts w:ascii="Arial" w:cs="Arial" w:eastAsia="Arial" w:hAnsi="Arial"/>
          <w:b/>
          <w:bCs/>
          <w:sz w:val="21"/>
          <w:szCs w:val="21"/>
        </w:rPr>
        <w:t xml:space="preserve">Primary: </w:t>
      </w:r>
      <w:r>
        <w:rPr>
          <w:rFonts w:ascii="Arial" w:cs="Arial" w:eastAsia="Arial" w:hAnsi="Arial"/>
          <w:sz w:val="21"/>
          <w:szCs w:val="21"/>
        </w:rPr>
        <w:t xml:space="preserve">5-fold stratified cross-validation on patient-level splits (no data leakage across admissions of the same patient).</w:t>
      </w:r>
    </w:p>
    <w:p>
      <w:pPr>
        <w:pStyle w:val="ListParagraph"/>
        <w:numPr>
          <w:ilvl w:val="0"/>
          <w:numId w:val="2"/>
        </w:numPr>
        <w:spacing w:after="80" w:line="276"/>
      </w:pPr>
      <w:r>
        <w:rPr>
          <w:rFonts w:ascii="Arial" w:cs="Arial" w:eastAsia="Arial" w:hAnsi="Arial"/>
          <w:b/>
          <w:bCs/>
          <w:sz w:val="21"/>
          <w:szCs w:val="21"/>
        </w:rPr>
        <w:t xml:space="preserve">Temporal: </w:t>
      </w:r>
      <w:r>
        <w:rPr>
          <w:rFonts w:ascii="Arial" w:cs="Arial" w:eastAsia="Arial" w:hAnsi="Arial"/>
          <w:sz w:val="21"/>
          <w:szCs w:val="21"/>
        </w:rPr>
        <w:t xml:space="preserve">Forward-chaining temporal validation (train on months 1–N, test on month N+1) to simulate prospective deployment.</w:t>
      </w:r>
    </w:p>
    <w:p>
      <w:pPr>
        <w:pStyle w:val="ListParagraph"/>
        <w:numPr>
          <w:ilvl w:val="0"/>
          <w:numId w:val="2"/>
        </w:numPr>
        <w:spacing w:after="80" w:line="276"/>
      </w:pPr>
      <w:r>
        <w:rPr>
          <w:rFonts w:ascii="Arial" w:cs="Arial" w:eastAsia="Arial" w:hAnsi="Arial"/>
          <w:b/>
          <w:bCs/>
          <w:sz w:val="21"/>
          <w:szCs w:val="21"/>
        </w:rPr>
        <w:t xml:space="preserve">Metrics: </w:t>
      </w:r>
      <w:r>
        <w:rPr>
          <w:rFonts w:ascii="Arial" w:cs="Arial" w:eastAsia="Arial" w:hAnsi="Arial"/>
          <w:sz w:val="21"/>
          <w:szCs w:val="21"/>
        </w:rPr>
        <w:t xml:space="preserve">AUROC and AUPRC for classification; C-index for survival; MAE and calibration plots for LOS.</w:t>
      </w:r>
    </w:p>
    <w:p>
      <w:pPr>
        <w:spacing w:before="200" w:after="120"/>
      </w:pPr>
      <w:r>
        <w:rPr>
          <w:rFonts w:ascii="Arial" w:cs="Arial" w:eastAsia="Arial" w:hAnsi="Arial"/>
          <w:b/>
          <w:bCs/>
          <w:color w:val="3A7CA5"/>
          <w:sz w:val="22"/>
          <w:szCs w:val="22"/>
        </w:rPr>
        <w:t xml:space="preserve">5.2 Clinical Plausibility Checks</w:t>
      </w:r>
    </w:p>
    <w:p>
      <w:pPr>
        <w:pStyle w:val="ListParagraph"/>
        <w:numPr>
          <w:ilvl w:val="0"/>
          <w:numId w:val="2"/>
        </w:numPr>
        <w:spacing w:after="80" w:line="276"/>
      </w:pPr>
      <w:r>
        <w:rPr>
          <w:rFonts w:ascii="Arial" w:cs="Arial" w:eastAsia="Arial" w:hAnsi="Arial"/>
          <w:b/>
          <w:bCs/>
          <w:sz w:val="21"/>
          <w:szCs w:val="21"/>
        </w:rPr>
        <w:t xml:space="preserve">Face validity: </w:t>
      </w:r>
      <w:r>
        <w:rPr>
          <w:rFonts w:ascii="Arial" w:cs="Arial" w:eastAsia="Arial" w:hAnsi="Arial"/>
          <w:sz w:val="21"/>
          <w:szCs w:val="21"/>
        </w:rPr>
        <w:t xml:space="preserve">PLCI subscores correlated against known organ-failure biomarkers (troponin ↔ cardio, creatinine ↔ renal, bilirubin ↔ hepatic).</w:t>
      </w:r>
    </w:p>
    <w:p>
      <w:pPr>
        <w:pStyle w:val="ListParagraph"/>
        <w:numPr>
          <w:ilvl w:val="0"/>
          <w:numId w:val="2"/>
        </w:numPr>
        <w:spacing w:after="80" w:line="276"/>
      </w:pPr>
      <w:r>
        <w:rPr>
          <w:rFonts w:ascii="Arial" w:cs="Arial" w:eastAsia="Arial" w:hAnsi="Arial"/>
          <w:b/>
          <w:bCs/>
          <w:sz w:val="21"/>
          <w:szCs w:val="21"/>
        </w:rPr>
        <w:t xml:space="preserve">Discrimination comparison: </w:t>
      </w:r>
      <w:r>
        <w:rPr>
          <w:rFonts w:ascii="Arial" w:cs="Arial" w:eastAsia="Arial" w:hAnsi="Arial"/>
          <w:sz w:val="21"/>
          <w:szCs w:val="21"/>
        </w:rPr>
        <w:t xml:space="preserve">Head-to-head AUROC comparison of PLCI vs. APACHE-II, SOFA, and NEWS2 on the same cohort.</w:t>
      </w:r>
    </w:p>
    <w:p>
      <w:pPr>
        <w:pStyle w:val="ListParagraph"/>
        <w:numPr>
          <w:ilvl w:val="0"/>
          <w:numId w:val="2"/>
        </w:numPr>
        <w:spacing w:after="80" w:line="276"/>
      </w:pPr>
      <w:r>
        <w:rPr>
          <w:rFonts w:ascii="Arial" w:cs="Arial" w:eastAsia="Arial" w:hAnsi="Arial"/>
          <w:b/>
          <w:bCs/>
          <w:sz w:val="21"/>
          <w:szCs w:val="21"/>
        </w:rPr>
        <w:t xml:space="preserve">Calibration: </w:t>
      </w:r>
      <w:r>
        <w:rPr>
          <w:rFonts w:ascii="Arial" w:cs="Arial" w:eastAsia="Arial" w:hAnsi="Arial"/>
          <w:sz w:val="21"/>
          <w:szCs w:val="21"/>
        </w:rPr>
        <w:t xml:space="preserve">Hosmer-Lemeshow test and calibration curves for all probability outputs.</w:t>
      </w:r>
    </w:p>
    <w:p>
      <w:pPr>
        <w:pStyle w:val="ListParagraph"/>
        <w:numPr>
          <w:ilvl w:val="0"/>
          <w:numId w:val="2"/>
        </w:numPr>
        <w:spacing w:after="80" w:line="276"/>
      </w:pPr>
      <w:r>
        <w:rPr>
          <w:rFonts w:ascii="Arial" w:cs="Arial" w:eastAsia="Arial" w:hAnsi="Arial"/>
          <w:b/>
          <w:bCs/>
          <w:sz w:val="21"/>
          <w:szCs w:val="21"/>
        </w:rPr>
        <w:t xml:space="preserve">Case studies: </w:t>
      </w:r>
      <w:r>
        <w:rPr>
          <w:rFonts w:ascii="Arial" w:cs="Arial" w:eastAsia="Arial" w:hAnsi="Arial"/>
          <w:sz w:val="21"/>
          <w:szCs w:val="21"/>
        </w:rPr>
        <w:t xml:space="preserve">Three manually curated clinical vignettes where PLCI trajectory provides earlier warning than standard scores.</w:t>
      </w:r>
    </w:p>
    <w:p>
      <w:pPr>
        <w:pStyle w:val="Heading2"/>
        <w:spacing w:before="280" w:after="160"/>
      </w:pPr>
      <w:r>
        <w:rPr>
          <w:rFonts w:ascii="Arial" w:cs="Arial" w:eastAsia="Arial" w:hAnsi="Arial"/>
          <w:b/>
          <w:bCs/>
          <w:color w:val="2E5E8E"/>
          <w:sz w:val="26"/>
          <w:szCs w:val="26"/>
        </w:rPr>
        <w:t xml:space="preserve">6. Demo Strategy (5–7 Minutes)</w:t>
      </w:r>
    </w:p>
    <w:p>
      <w:pPr>
        <w:pStyle w:val="ListParagraph"/>
        <w:numPr>
          <w:ilvl w:val="0"/>
          <w:numId w:val="2"/>
        </w:numPr>
        <w:spacing w:after="80" w:line="276"/>
      </w:pPr>
      <w:r>
        <w:rPr>
          <w:rFonts w:ascii="Arial" w:cs="Arial" w:eastAsia="Arial" w:hAnsi="Arial"/>
          <w:b/>
          <w:bCs/>
          <w:sz w:val="21"/>
          <w:szCs w:val="21"/>
        </w:rPr>
        <w:t xml:space="preserve">Minute 0–1: </w:t>
      </w:r>
      <w:r>
        <w:rPr>
          <w:rFonts w:ascii="Arial" w:cs="Arial" w:eastAsia="Arial" w:hAnsi="Arial"/>
          <w:sz w:val="21"/>
          <w:szCs w:val="21"/>
        </w:rPr>
        <w:t xml:space="preserve">Problem framing—show a real (de-identified) patient timeline where NEWS2 missed deterioration that PLCI caught 6 hours earlier.</w:t>
      </w:r>
    </w:p>
    <w:p>
      <w:pPr>
        <w:pStyle w:val="ListParagraph"/>
        <w:numPr>
          <w:ilvl w:val="0"/>
          <w:numId w:val="2"/>
        </w:numPr>
        <w:spacing w:after="80" w:line="276"/>
      </w:pPr>
      <w:r>
        <w:rPr>
          <w:rFonts w:ascii="Arial" w:cs="Arial" w:eastAsia="Arial" w:hAnsi="Arial"/>
          <w:b/>
          <w:bCs/>
          <w:sz w:val="21"/>
          <w:szCs w:val="21"/>
        </w:rPr>
        <w:t xml:space="preserve">Minute 1–3: </w:t>
      </w:r>
      <w:r>
        <w:rPr>
          <w:rFonts w:ascii="Arial" w:cs="Arial" w:eastAsia="Arial" w:hAnsi="Arial"/>
          <w:sz w:val="21"/>
          <w:szCs w:val="21"/>
        </w:rPr>
        <w:t xml:space="preserve">Live walkthrough of the PLCI organ-subscore dashboard for two contrasting patients (stable vs. deteriorating).</w:t>
      </w:r>
    </w:p>
    <w:p>
      <w:pPr>
        <w:pStyle w:val="ListParagraph"/>
        <w:numPr>
          <w:ilvl w:val="0"/>
          <w:numId w:val="2"/>
        </w:numPr>
        <w:spacing w:after="80" w:line="276"/>
      </w:pPr>
      <w:r>
        <w:rPr>
          <w:rFonts w:ascii="Arial" w:cs="Arial" w:eastAsia="Arial" w:hAnsi="Arial"/>
          <w:b/>
          <w:bCs/>
          <w:sz w:val="21"/>
          <w:szCs w:val="21"/>
        </w:rPr>
        <w:t xml:space="preserve">Minute 3–5: </w:t>
      </w:r>
      <w:r>
        <w:rPr>
          <w:rFonts w:ascii="Arial" w:cs="Arial" w:eastAsia="Arial" w:hAnsi="Arial"/>
          <w:sz w:val="21"/>
          <w:szCs w:val="21"/>
        </w:rPr>
        <w:t xml:space="preserve">Attention heatmap demo—highlight how the model links a note mentioning “decreased urine output” to simultaneous creatinine rise and MAP decline.</w:t>
      </w:r>
    </w:p>
    <w:p>
      <w:pPr>
        <w:pStyle w:val="ListParagraph"/>
        <w:numPr>
          <w:ilvl w:val="0"/>
          <w:numId w:val="2"/>
        </w:numPr>
        <w:spacing w:after="80" w:line="276"/>
      </w:pPr>
      <w:r>
        <w:rPr>
          <w:rFonts w:ascii="Arial" w:cs="Arial" w:eastAsia="Arial" w:hAnsi="Arial"/>
          <w:b/>
          <w:bCs/>
          <w:sz w:val="21"/>
          <w:szCs w:val="21"/>
        </w:rPr>
        <w:t xml:space="preserve">Minute 5–6: </w:t>
      </w:r>
      <w:r>
        <w:rPr>
          <w:rFonts w:ascii="Arial" w:cs="Arial" w:eastAsia="Arial" w:hAnsi="Arial"/>
          <w:sz w:val="21"/>
          <w:szCs w:val="21"/>
        </w:rPr>
        <w:t xml:space="preserve">Prediction accuracy summary: comparison table (PLCI vs. APACHE/SOFA/NEWS) across all four targets.</w:t>
      </w:r>
    </w:p>
    <w:p>
      <w:pPr>
        <w:pStyle w:val="ListParagraph"/>
        <w:numPr>
          <w:ilvl w:val="0"/>
          <w:numId w:val="2"/>
        </w:numPr>
        <w:spacing w:after="80" w:line="276"/>
      </w:pPr>
      <w:r>
        <w:rPr>
          <w:rFonts w:ascii="Arial" w:cs="Arial" w:eastAsia="Arial" w:hAnsi="Arial"/>
          <w:b/>
          <w:bCs/>
          <w:sz w:val="21"/>
          <w:szCs w:val="21"/>
        </w:rPr>
        <w:t xml:space="preserve">Minute 6–7: </w:t>
      </w:r>
      <w:r>
        <w:rPr>
          <w:rFonts w:ascii="Arial" w:cs="Arial" w:eastAsia="Arial" w:hAnsi="Arial"/>
          <w:sz w:val="21"/>
          <w:szCs w:val="21"/>
        </w:rPr>
        <w:t xml:space="preserve">Hospital operations impact: simulated resource allocation dashboard showing how PLCI-driven predictions reduce ICU bed shortfall by projected 12–18%.</w:t>
      </w:r>
    </w:p>
    <w:p>
      <w:pPr>
        <w:pStyle w:val="Heading2"/>
        <w:spacing w:before="280" w:after="160"/>
      </w:pPr>
      <w:r>
        <w:rPr>
          <w:rFonts w:ascii="Arial" w:cs="Arial" w:eastAsia="Arial" w:hAnsi="Arial"/>
          <w:b/>
          <w:bCs/>
          <w:color w:val="2E5E8E"/>
          <w:sz w:val="26"/>
          <w:szCs w:val="26"/>
        </w:rPr>
        <w:t xml:space="preserve">7. Why This Would Outperform Other Teams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Dimension</w:t>
            </w:r>
          </w:p>
        </w:tc>
        <w:tc>
          <w:tcPr>
            <w:tcW w:type="dxa" w:w="70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Our Advantage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Scientific Depth</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Grounded in contrastive representation learning (CLIP paradigm) adapted to clinical domain; organ-decomposed scoring with explicit mathematical formulation; direct literature linkage to SOFA, APACHE, and NEWS limitations.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Technical Depth</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Multimodal attention fusion with TCN temporal encoders; missingness-aware feature engineering; monotonic-constrained gradient boosting; full reproducibility via Docker + config files.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Clinical Applicability</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Organ-subscore dashboard immediately actionable by ICU physicians; delta-PLCI provides deterioration velocity signal; resource allocation model directly useful for hospital operations.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Strategic Positioning</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Judges scoring “Accuracy” see rigorous CV + temporal validation; “Scientific Background” see literature-grounded novel score; “Applicability” see a dashboard that a hospital CIO could pilot within 6 months.</w:t>
            </w:r>
          </w:p>
        </w:tc>
      </w:tr>
    </w:tbl>
    <w:p>
      <w:r>
        <w:br w:type="page"/>
      </w:r>
    </w:p>
    <w:p>
      <w:pPr>
        <w:spacing w:after="60"/>
      </w:pPr>
      <w:r>
        <w:rPr>
          <w:rFonts w:ascii="Arial" w:cs="Arial" w:eastAsia="Arial" w:hAnsi="Arial"/>
          <w:b/>
          <w:bCs/>
          <w:color w:val="999999"/>
          <w:sz w:val="18"/>
          <w:szCs w:val="18"/>
        </w:rPr>
        <w:t xml:space="preserve">PROPOSAL 2</w:t>
      </w:r>
    </w:p>
    <w:p>
      <w:pPr>
        <w:pStyle w:val="Heading1"/>
        <w:spacing w:before="360" w:after="200"/>
      </w:pPr>
      <w:r>
        <w:rPr>
          <w:rFonts w:ascii="Arial" w:cs="Arial" w:eastAsia="Arial" w:hAnsi="Arial"/>
          <w:b/>
          <w:bCs/>
          <w:color w:val="1B3A5C"/>
          <w:sz w:val="32"/>
          <w:szCs w:val="32"/>
        </w:rPr>
        <w:t xml:space="preserve">ClinGraph: Graph-Neural Temporal Knowledge Network for Causal Clinical Trajectory Modeling</w:t>
      </w:r>
    </w:p>
    <w:p>
      <w:pPr>
        <w:pBdr>
          <w:bottom w:val="single" w:color="2E5E8E" w:sz="6" w:space="1"/>
        </w:pBdr>
        <w:spacing w:before="200" w:after="200"/>
      </w:pPr>
    </w:p>
    <w:p>
      <w:pPr>
        <w:pStyle w:val="Heading2"/>
        <w:spacing w:before="280" w:after="160"/>
      </w:pPr>
      <w:r>
        <w:rPr>
          <w:rFonts w:ascii="Arial" w:cs="Arial" w:eastAsia="Arial" w:hAnsi="Arial"/>
          <w:b/>
          <w:bCs/>
          <w:color w:val="2E5E8E"/>
          <w:sz w:val="26"/>
          <w:szCs w:val="26"/>
        </w:rPr>
        <w:t xml:space="preserve">1. Core Clinical Hypothesis</w:t>
      </w:r>
    </w:p>
    <w:p>
      <w:pPr>
        <w:spacing w:after="120" w:line="276"/>
        <w:jc w:val="left"/>
      </w:pPr>
      <w:r>
        <w:rPr>
          <w:rFonts w:ascii="Arial" w:cs="Arial" w:eastAsia="Arial" w:hAnsi="Arial"/>
          <w:sz w:val="21"/>
          <w:szCs w:val="21"/>
        </w:rPr>
        <w:t xml:space="preserve">A patient’s clinical state is not a flat vector of independent features but a dynamic graph of causally interacting physiological variables. When a clinician reads a note about “worsening sepsis,” they mentally trace causal chains: infection → systemic inflammation → vasodilation → hypotension → organ hypoperfusion → renal failure. Existing scoring systems treat these as independent parameters. We hypothesize that explicitly modeling these physiological causal relationships as a dynamic graph—where nodes are clinical variables and edges represent known pathophysiological interactions—will produce a patient representation that is both more predictive and inherently interpretable because it mirrors clinical reasoning.</w:t>
      </w:r>
    </w:p>
    <w:p>
      <w:pPr>
        <w:spacing w:after="120" w:line="276"/>
        <w:jc w:val="left"/>
      </w:pPr>
      <w:r>
        <w:rPr>
          <w:rFonts w:ascii="Arial" w:cs="Arial" w:eastAsia="Arial" w:hAnsi="Arial"/>
          <w:sz w:val="21"/>
          <w:szCs w:val="21"/>
        </w:rPr>
        <w:t xml:space="preserve">The key insight is that the graph structure itself is the health score: edge weights quantify the strength of pathophysiological coupling at any given time, and deviations from expected physiological coupling patterns are early deterioration signals.</w:t>
      </w:r>
    </w:p>
    <w:p>
      <w:pPr>
        <w:pStyle w:val="Heading2"/>
        <w:spacing w:before="280" w:after="160"/>
      </w:pPr>
      <w:r>
        <w:rPr>
          <w:rFonts w:ascii="Arial" w:cs="Arial" w:eastAsia="Arial" w:hAnsi="Arial"/>
          <w:b/>
          <w:bCs/>
          <w:color w:val="2E5E8E"/>
          <w:sz w:val="26"/>
          <w:szCs w:val="26"/>
        </w:rPr>
        <w:t xml:space="preserve">2. Novel Health Score Definition: Physiological Coupling Index (PCI)</w:t>
      </w:r>
    </w:p>
    <w:p>
      <w:pPr>
        <w:spacing w:before="200" w:after="120"/>
      </w:pPr>
      <w:r>
        <w:rPr>
          <w:rFonts w:ascii="Arial" w:cs="Arial" w:eastAsia="Arial" w:hAnsi="Arial"/>
          <w:b/>
          <w:bCs/>
          <w:color w:val="3A7CA5"/>
          <w:sz w:val="22"/>
          <w:szCs w:val="22"/>
        </w:rPr>
        <w:t xml:space="preserve">2.1 Mathematical Formulation</w:t>
      </w:r>
    </w:p>
    <w:p>
      <w:pPr>
        <w:spacing w:after="120" w:line="276"/>
        <w:jc w:val="left"/>
      </w:pPr>
      <w:r>
        <w:rPr>
          <w:rFonts w:ascii="Arial" w:cs="Arial" w:eastAsia="Arial" w:hAnsi="Arial"/>
          <w:sz w:val="21"/>
          <w:szCs w:val="21"/>
        </w:rPr>
        <w:t xml:space="preserve">Define a patient-specific dynamic graph G(i,t) = (V, E(i,t)) where:</w:t>
      </w:r>
    </w:p>
    <w:p>
      <w:pPr>
        <w:spacing w:after="60" w:line="276"/>
        <w:ind w:left="720"/>
      </w:pPr>
      <w:r>
        <w:rPr>
          <w:rFonts w:ascii="Courier New" w:cs="Courier New" w:eastAsia="Courier New" w:hAnsi="Courier New"/>
          <w:color w:val="333333"/>
          <w:sz w:val="20"/>
          <w:szCs w:val="20"/>
        </w:rPr>
        <w:t xml:space="preserve">V = {v_1, ..., v_N}  — N clinical variables (vitals, labs, NLP-extracted concepts)</w:t>
      </w:r>
    </w:p>
    <w:p>
      <w:pPr>
        <w:spacing w:after="60" w:line="276"/>
        <w:ind w:left="720"/>
      </w:pPr>
      <w:r>
        <w:rPr>
          <w:rFonts w:ascii="Courier New" w:cs="Courier New" w:eastAsia="Courier New" w:hAnsi="Courier New"/>
          <w:color w:val="333333"/>
          <w:sz w:val="20"/>
          <w:szCs w:val="20"/>
        </w:rPr>
        <w:t xml:space="preserve">E(i,t): edge weights A(i,t) ∈ R^{N×N}  — learned coupling strengths at time t</w:t>
      </w:r>
    </w:p>
    <w:p>
      <w:pPr>
        <w:spacing w:after="60"/>
      </w:pPr>
    </w:p>
    <w:p>
      <w:pPr>
        <w:spacing w:after="120" w:line="276"/>
        <w:jc w:val="left"/>
      </w:pPr>
      <w:r>
        <w:rPr>
          <w:rFonts w:ascii="Arial" w:cs="Arial" w:eastAsia="Arial" w:hAnsi="Arial"/>
          <w:sz w:val="21"/>
          <w:szCs w:val="21"/>
        </w:rPr>
        <w:t xml:space="preserve">Node features are updated via graph attention:</w:t>
      </w:r>
    </w:p>
    <w:p>
      <w:pPr>
        <w:spacing w:after="60" w:line="276"/>
        <w:ind w:left="720"/>
      </w:pPr>
      <w:r>
        <w:rPr>
          <w:rFonts w:ascii="Courier New" w:cs="Courier New" w:eastAsia="Courier New" w:hAnsi="Courier New"/>
          <w:color w:val="333333"/>
          <w:sz w:val="20"/>
          <w:szCs w:val="20"/>
        </w:rPr>
        <w:t xml:space="preserve">h_v^(l+1) = σ( ∑_{u∈N(v)} α_{vu}^(l) W^(l) h_u^(l) )</w:t>
      </w:r>
    </w:p>
    <w:p>
      <w:pPr>
        <w:spacing w:after="60" w:line="276"/>
        <w:ind w:left="720"/>
      </w:pPr>
      <w:r>
        <w:rPr>
          <w:rFonts w:ascii="Courier New" w:cs="Courier New" w:eastAsia="Courier New" w:hAnsi="Courier New"/>
          <w:color w:val="333333"/>
          <w:sz w:val="20"/>
          <w:szCs w:val="20"/>
        </w:rPr>
        <w:t xml:space="preserve"/>
      </w:r>
    </w:p>
    <w:p>
      <w:pPr>
        <w:spacing w:after="60" w:line="276"/>
        <w:ind w:left="720"/>
      </w:pPr>
      <w:r>
        <w:rPr>
          <w:rFonts w:ascii="Courier New" w:cs="Courier New" w:eastAsia="Courier New" w:hAnsi="Courier New"/>
          <w:color w:val="333333"/>
          <w:sz w:val="20"/>
          <w:szCs w:val="20"/>
        </w:rPr>
        <w:t xml:space="preserve">where α_{vu} = softmax_u( LeakyReLU(a^T [Wh_v || Wh_u || e_{vu}]) )</w:t>
      </w:r>
    </w:p>
    <w:p>
      <w:pPr>
        <w:spacing w:after="60" w:line="276"/>
        <w:ind w:left="720"/>
      </w:pPr>
      <w:r>
        <w:rPr>
          <w:rFonts w:ascii="Courier New" w:cs="Courier New" w:eastAsia="Courier New" w:hAnsi="Courier New"/>
          <w:color w:val="333333"/>
          <w:sz w:val="20"/>
          <w:szCs w:val="20"/>
        </w:rPr>
        <w:t xml:space="preserve">and e_{vu} encodes the prior physiological relationship type</w:t>
      </w:r>
    </w:p>
    <w:p>
      <w:pPr>
        <w:spacing w:after="60"/>
      </w:pPr>
    </w:p>
    <w:p>
      <w:pPr>
        <w:spacing w:after="120" w:line="276"/>
        <w:jc w:val="left"/>
      </w:pPr>
      <w:r>
        <w:rPr>
          <w:rFonts w:ascii="Arial" w:cs="Arial" w:eastAsia="Arial" w:hAnsi="Arial"/>
          <w:sz w:val="21"/>
          <w:szCs w:val="21"/>
        </w:rPr>
        <w:t xml:space="preserve">The Physiological Coupling Index is derived from graph-level statistics:</w:t>
      </w:r>
    </w:p>
    <w:p>
      <w:pPr>
        <w:spacing w:after="60" w:line="276"/>
        <w:ind w:left="720"/>
      </w:pPr>
      <w:r>
        <w:rPr>
          <w:rFonts w:ascii="Courier New" w:cs="Courier New" w:eastAsia="Courier New" w:hAnsi="Courier New"/>
          <w:color w:val="333333"/>
          <w:sz w:val="20"/>
          <w:szCs w:val="20"/>
        </w:rPr>
        <w:t xml:space="preserve">PCI_coherence(i,t) = (1/|E|) ∑_{(u,v)∈E} |α_{uv}(i,t) - α_{uv}^{ref}|</w:t>
      </w:r>
    </w:p>
    <w:p>
      <w:pPr>
        <w:spacing w:after="60" w:line="276"/>
        <w:ind w:left="720"/>
      </w:pPr>
      <w:r>
        <w:rPr>
          <w:rFonts w:ascii="Courier New" w:cs="Courier New" w:eastAsia="Courier New" w:hAnsi="Courier New"/>
          <w:color w:val="333333"/>
          <w:sz w:val="20"/>
          <w:szCs w:val="20"/>
        </w:rPr>
        <w:t xml:space="preserve"/>
      </w:r>
    </w:p>
    <w:p>
      <w:pPr>
        <w:spacing w:after="60" w:line="276"/>
        <w:ind w:left="720"/>
      </w:pPr>
      <w:r>
        <w:rPr>
          <w:rFonts w:ascii="Courier New" w:cs="Courier New" w:eastAsia="Courier New" w:hAnsi="Courier New"/>
          <w:color w:val="333333"/>
          <w:sz w:val="20"/>
          <w:szCs w:val="20"/>
        </w:rPr>
        <w:t xml:space="preserve">where α^{ref} = population-mean attention weights from stable (non-deteriorating) patients</w:t>
      </w:r>
    </w:p>
    <w:p>
      <w:pPr>
        <w:spacing w:after="60" w:line="276"/>
        <w:ind w:left="720"/>
      </w:pPr>
      <w:r>
        <w:rPr>
          <w:rFonts w:ascii="Courier New" w:cs="Courier New" w:eastAsia="Courier New" w:hAnsi="Courier New"/>
          <w:color w:val="333333"/>
          <w:sz w:val="20"/>
          <w:szCs w:val="20"/>
        </w:rPr>
        <w:t xml:space="preserve"/>
      </w:r>
    </w:p>
    <w:p>
      <w:pPr>
        <w:spacing w:after="60" w:line="276"/>
        <w:ind w:left="720"/>
      </w:pPr>
      <w:r>
        <w:rPr>
          <w:rFonts w:ascii="Courier New" w:cs="Courier New" w:eastAsia="Courier New" w:hAnsi="Courier New"/>
          <w:color w:val="333333"/>
          <w:sz w:val="20"/>
          <w:szCs w:val="20"/>
        </w:rPr>
        <w:t xml:space="preserve">PCI_entropy(i,t) = -∑_v p_v(i,t) log p_v(i,t)</w:t>
      </w:r>
    </w:p>
    <w:p>
      <w:pPr>
        <w:spacing w:after="60" w:line="276"/>
        <w:ind w:left="720"/>
      </w:pPr>
      <w:r>
        <w:rPr>
          <w:rFonts w:ascii="Courier New" w:cs="Courier New" w:eastAsia="Courier New" w:hAnsi="Courier New"/>
          <w:color w:val="333333"/>
          <w:sz w:val="20"/>
          <w:szCs w:val="20"/>
        </w:rPr>
        <w:t xml:space="preserve"/>
      </w:r>
    </w:p>
    <w:p>
      <w:pPr>
        <w:spacing w:after="60" w:line="276"/>
        <w:ind w:left="720"/>
      </w:pPr>
      <w:r>
        <w:rPr>
          <w:rFonts w:ascii="Courier New" w:cs="Courier New" w:eastAsia="Courier New" w:hAnsi="Courier New"/>
          <w:color w:val="333333"/>
          <w:sz w:val="20"/>
          <w:szCs w:val="20"/>
        </w:rPr>
        <w:t xml:space="preserve">where p_v = softmax of node influence scores (sum of outgoing attention weights)</w:t>
      </w:r>
    </w:p>
    <w:p>
      <w:pPr>
        <w:spacing w:after="60" w:line="276"/>
        <w:ind w:left="720"/>
      </w:pPr>
      <w:r>
        <w:rPr>
          <w:rFonts w:ascii="Courier New" w:cs="Courier New" w:eastAsia="Courier New" w:hAnsi="Courier New"/>
          <w:color w:val="333333"/>
          <w:sz w:val="20"/>
          <w:szCs w:val="20"/>
        </w:rPr>
        <w:t xml:space="preserve"/>
      </w:r>
    </w:p>
    <w:p>
      <w:pPr>
        <w:spacing w:after="60" w:line="276"/>
        <w:ind w:left="720"/>
      </w:pPr>
      <w:r>
        <w:rPr>
          <w:rFonts w:ascii="Courier New" w:cs="Courier New" w:eastAsia="Courier New" w:hAnsi="Courier New"/>
          <w:color w:val="333333"/>
          <w:sz w:val="20"/>
          <w:szCs w:val="20"/>
        </w:rPr>
        <w:t xml:space="preserve">PCI_total(i,t) = w_1 · PCI_coherence + w_2 · PCI_entropy + w_3 · ΔPCI_coherence/Δt</w:t>
      </w:r>
    </w:p>
    <w:p>
      <w:pPr>
        <w:spacing w:after="60"/>
      </w:pPr>
    </w:p>
    <w:p>
      <w:pPr>
        <w:spacing w:after="120" w:line="276"/>
        <w:jc w:val="left"/>
      </w:pPr>
      <w:r>
        <w:rPr>
          <w:rFonts w:ascii="Arial" w:cs="Arial" w:eastAsia="Arial" w:hAnsi="Arial"/>
          <w:sz w:val="21"/>
          <w:szCs w:val="21"/>
        </w:rPr>
        <w:t xml:space="preserve">Interpretation: PCI_coherence measures deviation from healthy physiological coupling; PCI_entropy measures whether influence is concentrated in few nodes (organ-specific failure) or distributed (multi-organ dysfunction). The temporal derivative captures the rate of coupling breakdown.</w:t>
      </w:r>
    </w:p>
    <w:p>
      <w:pPr>
        <w:spacing w:before="200" w:after="120"/>
      </w:pPr>
      <w:r>
        <w:rPr>
          <w:rFonts w:ascii="Arial" w:cs="Arial" w:eastAsia="Arial" w:hAnsi="Arial"/>
          <w:b/>
          <w:bCs/>
          <w:color w:val="3A7CA5"/>
          <w:sz w:val="22"/>
          <w:szCs w:val="22"/>
        </w:rPr>
        <w:t xml:space="preserve">2.2 Clinical Rationale</w:t>
      </w:r>
    </w:p>
    <w:p>
      <w:pPr>
        <w:spacing w:after="120" w:line="276"/>
        <w:jc w:val="left"/>
      </w:pPr>
      <w:r>
        <w:rPr>
          <w:rFonts w:ascii="Arial" w:cs="Arial" w:eastAsia="Arial" w:hAnsi="Arial"/>
          <w:sz w:val="21"/>
          <w:szCs w:val="21"/>
        </w:rPr>
        <w:t xml:space="preserve">In healthy physiology, heart rate and blood pressure are tightly coupled via baroreceptor reflex. In septic shock, this coupling breaks down—the baroreflex is suppressed, and HR/BP become decoupled. Similarly, in hepatorenal syndrome, liver and kidney function become pathologically coupled. PCI directly quantifies these coupling dynamics, which static scores structurally cannot measure.</w:t>
      </w:r>
    </w:p>
    <w:p>
      <w:pPr>
        <w:spacing w:before="200" w:after="120"/>
      </w:pPr>
      <w:r>
        <w:rPr>
          <w:rFonts w:ascii="Arial" w:cs="Arial" w:eastAsia="Arial" w:hAnsi="Arial"/>
          <w:b/>
          <w:bCs/>
          <w:color w:val="3A7CA5"/>
          <w:sz w:val="22"/>
          <w:szCs w:val="22"/>
        </w:rPr>
        <w:t xml:space="preserve">2.3 Literature Grounding</w:t>
      </w:r>
    </w:p>
    <w:p>
      <w:pPr>
        <w:pStyle w:val="ListParagraph"/>
        <w:numPr>
          <w:ilvl w:val="0"/>
          <w:numId w:val="2"/>
        </w:numPr>
        <w:spacing w:after="80" w:line="276"/>
      </w:pPr>
      <w:r>
        <w:rPr>
          <w:rFonts w:ascii="Arial" w:cs="Arial" w:eastAsia="Arial" w:hAnsi="Arial"/>
          <w:b/>
          <w:bCs/>
          <w:sz w:val="21"/>
          <w:szCs w:val="21"/>
        </w:rPr>
        <w:t xml:space="preserve">Graph neural networks in healthcare: </w:t>
      </w:r>
      <w:r>
        <w:rPr>
          <w:rFonts w:ascii="Arial" w:cs="Arial" w:eastAsia="Arial" w:hAnsi="Arial"/>
          <w:sz w:val="21"/>
          <w:szCs w:val="21"/>
        </w:rPr>
        <w:t xml:space="preserve">Choi et al. (2020) GRAM demonstrated that medical ontology graphs improve clinical prediction; we extend this from concept ontologies to dynamic physiological interaction graphs.</w:t>
      </w:r>
    </w:p>
    <w:p>
      <w:pPr>
        <w:pStyle w:val="ListParagraph"/>
        <w:numPr>
          <w:ilvl w:val="0"/>
          <w:numId w:val="2"/>
        </w:numPr>
        <w:spacing w:after="80" w:line="276"/>
      </w:pPr>
      <w:r>
        <w:rPr>
          <w:rFonts w:ascii="Arial" w:cs="Arial" w:eastAsia="Arial" w:hAnsi="Arial"/>
          <w:b/>
          <w:bCs/>
          <w:sz w:val="21"/>
          <w:szCs w:val="21"/>
        </w:rPr>
        <w:t xml:space="preserve">Physiological coupling: </w:t>
      </w:r>
      <w:r>
        <w:rPr>
          <w:rFonts w:ascii="Arial" w:cs="Arial" w:eastAsia="Arial" w:hAnsi="Arial"/>
          <w:sz w:val="21"/>
          <w:szCs w:val="21"/>
        </w:rPr>
        <w:t xml:space="preserve">Buchman (1996) seminal paper on “decoupling hypothesis”—that critical illness is characterized by loss of normal physiological variability and inter-organ coupling.</w:t>
      </w:r>
    </w:p>
    <w:p>
      <w:pPr>
        <w:pStyle w:val="ListParagraph"/>
        <w:numPr>
          <w:ilvl w:val="0"/>
          <w:numId w:val="2"/>
        </w:numPr>
        <w:spacing w:after="80" w:line="276"/>
      </w:pPr>
      <w:r>
        <w:rPr>
          <w:rFonts w:ascii="Arial" w:cs="Arial" w:eastAsia="Arial" w:hAnsi="Arial"/>
          <w:b/>
          <w:bCs/>
          <w:sz w:val="21"/>
          <w:szCs w:val="21"/>
        </w:rPr>
        <w:t xml:space="preserve">Causal graph structure: </w:t>
      </w:r>
      <w:r>
        <w:rPr>
          <w:rFonts w:ascii="Arial" w:cs="Arial" w:eastAsia="Arial" w:hAnsi="Arial"/>
          <w:sz w:val="21"/>
          <w:szCs w:val="21"/>
        </w:rPr>
        <w:t xml:space="preserve">Prior graph initialized from Guyton’s model of circulatory regulation and KEGG metabolic pathway databases, providing physiologically grounded edge priors.</w:t>
      </w:r>
    </w:p>
    <w:p>
      <w:pPr>
        <w:pStyle w:val="ListParagraph"/>
        <w:numPr>
          <w:ilvl w:val="0"/>
          <w:numId w:val="2"/>
        </w:numPr>
        <w:spacing w:after="80" w:line="276"/>
      </w:pPr>
      <w:r>
        <w:rPr>
          <w:rFonts w:ascii="Arial" w:cs="Arial" w:eastAsia="Arial" w:hAnsi="Arial"/>
          <w:b/>
          <w:bCs/>
          <w:sz w:val="21"/>
          <w:szCs w:val="21"/>
        </w:rPr>
        <w:t xml:space="preserve">Graph attention: </w:t>
      </w:r>
      <w:r>
        <w:rPr>
          <w:rFonts w:ascii="Arial" w:cs="Arial" w:eastAsia="Arial" w:hAnsi="Arial"/>
          <w:sz w:val="21"/>
          <w:szCs w:val="21"/>
        </w:rPr>
        <w:t xml:space="preserve">Velickovic et al. (2018) GAT architecture provides learnable, interpretable edge weights that directly map to coupling strength.</w:t>
      </w:r>
    </w:p>
    <w:p>
      <w:pPr>
        <w:pStyle w:val="Heading2"/>
        <w:spacing w:before="280" w:after="160"/>
      </w:pPr>
      <w:r>
        <w:rPr>
          <w:rFonts w:ascii="Arial" w:cs="Arial" w:eastAsia="Arial" w:hAnsi="Arial"/>
          <w:b/>
          <w:bCs/>
          <w:color w:val="2E5E8E"/>
          <w:sz w:val="26"/>
          <w:szCs w:val="26"/>
        </w:rPr>
        <w:t xml:space="preserve">3. Data Processing Pipeline</w:t>
      </w:r>
    </w:p>
    <w:p>
      <w:pPr>
        <w:spacing w:before="200" w:after="120"/>
      </w:pPr>
      <w:r>
        <w:rPr>
          <w:rFonts w:ascii="Arial" w:cs="Arial" w:eastAsia="Arial" w:hAnsi="Arial"/>
          <w:b/>
          <w:bCs/>
          <w:color w:val="3A7CA5"/>
          <w:sz w:val="22"/>
          <w:szCs w:val="22"/>
        </w:rPr>
        <w:t xml:space="preserve">3.1 NLP Approach for Unstructured Notes</w:t>
      </w:r>
    </w:p>
    <w:p>
      <w:pPr>
        <w:pStyle w:val="ListParagraph"/>
        <w:numPr>
          <w:ilvl w:val="0"/>
          <w:numId w:val="2"/>
        </w:numPr>
        <w:spacing w:after="80" w:line="276"/>
      </w:pPr>
      <w:r>
        <w:rPr>
          <w:rFonts w:ascii="Arial" w:cs="Arial" w:eastAsia="Arial" w:hAnsi="Arial"/>
          <w:b/>
          <w:bCs/>
          <w:sz w:val="21"/>
          <w:szCs w:val="21"/>
        </w:rPr>
        <w:t xml:space="preserve">Relation extraction: </w:t>
      </w:r>
      <w:r>
        <w:rPr>
          <w:rFonts w:ascii="Arial" w:cs="Arial" w:eastAsia="Arial" w:hAnsi="Arial"/>
          <w:sz w:val="21"/>
          <w:szCs w:val="21"/>
        </w:rPr>
        <w:t xml:space="preserve">BioBERT-based relation extraction to identify causal clinical statements (e.g., “pneumonia → respiratory failure”, “antibiotics started for UTI”).</w:t>
      </w:r>
    </w:p>
    <w:p>
      <w:pPr>
        <w:pStyle w:val="ListParagraph"/>
        <w:numPr>
          <w:ilvl w:val="0"/>
          <w:numId w:val="2"/>
        </w:numPr>
        <w:spacing w:after="80" w:line="276"/>
      </w:pPr>
      <w:r>
        <w:rPr>
          <w:rFonts w:ascii="Arial" w:cs="Arial" w:eastAsia="Arial" w:hAnsi="Arial"/>
          <w:b/>
          <w:bCs/>
          <w:sz w:val="21"/>
          <w:szCs w:val="21"/>
        </w:rPr>
        <w:t xml:space="preserve">Negation/uncertainty detection: </w:t>
      </w:r>
      <w:r>
        <w:rPr>
          <w:rFonts w:ascii="Arial" w:cs="Arial" w:eastAsia="Arial" w:hAnsi="Arial"/>
          <w:sz w:val="21"/>
          <w:szCs w:val="21"/>
        </w:rPr>
        <w:t xml:space="preserve">NegEx + ConText algorithm for assertion classification; negated findings receive inverse node activations.</w:t>
      </w:r>
    </w:p>
    <w:p>
      <w:pPr>
        <w:pStyle w:val="ListParagraph"/>
        <w:numPr>
          <w:ilvl w:val="0"/>
          <w:numId w:val="2"/>
        </w:numPr>
        <w:spacing w:after="80" w:line="276"/>
      </w:pPr>
      <w:r>
        <w:rPr>
          <w:rFonts w:ascii="Arial" w:cs="Arial" w:eastAsia="Arial" w:hAnsi="Arial"/>
          <w:b/>
          <w:bCs/>
          <w:sz w:val="21"/>
          <w:szCs w:val="21"/>
        </w:rPr>
        <w:t xml:space="preserve">Concept grounding: </w:t>
      </w:r>
      <w:r>
        <w:rPr>
          <w:rFonts w:ascii="Arial" w:cs="Arial" w:eastAsia="Arial" w:hAnsi="Arial"/>
          <w:sz w:val="21"/>
          <w:szCs w:val="21"/>
        </w:rPr>
        <w:t xml:space="preserve">UMLS CUI mapping via QuickUMLS for standardized node identity across notes.</w:t>
      </w:r>
    </w:p>
    <w:p>
      <w:pPr>
        <w:pStyle w:val="ListParagraph"/>
        <w:numPr>
          <w:ilvl w:val="0"/>
          <w:numId w:val="2"/>
        </w:numPr>
        <w:spacing w:after="80" w:line="276"/>
      </w:pPr>
      <w:r>
        <w:rPr>
          <w:rFonts w:ascii="Arial" w:cs="Arial" w:eastAsia="Arial" w:hAnsi="Arial"/>
          <w:b/>
          <w:bCs/>
          <w:sz w:val="21"/>
          <w:szCs w:val="21"/>
        </w:rPr>
        <w:t xml:space="preserve">Temporal anchoring: </w:t>
      </w:r>
      <w:r>
        <w:rPr>
          <w:rFonts w:ascii="Arial" w:cs="Arial" w:eastAsia="Arial" w:hAnsi="Arial"/>
          <w:sz w:val="21"/>
          <w:szCs w:val="21"/>
        </w:rPr>
        <w:t xml:space="preserve">HeidelTime for temporal expression normalization; events anchored to the clinical timeline.</w:t>
      </w:r>
    </w:p>
    <w:p>
      <w:pPr>
        <w:spacing w:before="200" w:after="120"/>
      </w:pPr>
      <w:r>
        <w:rPr>
          <w:rFonts w:ascii="Arial" w:cs="Arial" w:eastAsia="Arial" w:hAnsi="Arial"/>
          <w:b/>
          <w:bCs/>
          <w:color w:val="3A7CA5"/>
          <w:sz w:val="22"/>
          <w:szCs w:val="22"/>
        </w:rPr>
        <w:t xml:space="preserve">3.2 Feature Engineering for Labs and Vitals</w:t>
      </w:r>
    </w:p>
    <w:p>
      <w:pPr>
        <w:pStyle w:val="ListParagraph"/>
        <w:numPr>
          <w:ilvl w:val="0"/>
          <w:numId w:val="2"/>
        </w:numPr>
        <w:spacing w:after="80" w:line="276"/>
      </w:pPr>
      <w:r>
        <w:rPr>
          <w:rFonts w:ascii="Arial" w:cs="Arial" w:eastAsia="Arial" w:hAnsi="Arial"/>
          <w:b/>
          <w:bCs/>
          <w:sz w:val="21"/>
          <w:szCs w:val="21"/>
        </w:rPr>
        <w:t xml:space="preserve">Node features: </w:t>
      </w:r>
      <w:r>
        <w:rPr>
          <w:rFonts w:ascii="Arial" w:cs="Arial" w:eastAsia="Arial" w:hAnsi="Arial"/>
          <w:sz w:val="21"/>
          <w:szCs w:val="21"/>
        </w:rPr>
        <w:t xml:space="preserve">Each clinical variable becomes a graph node with features: [current_value, z_score_from_normal, 4h_trend, 12h_trend, missingness_flag, time_since_last_measurement].</w:t>
      </w:r>
    </w:p>
    <w:p>
      <w:pPr>
        <w:pStyle w:val="ListParagraph"/>
        <w:numPr>
          <w:ilvl w:val="0"/>
          <w:numId w:val="2"/>
        </w:numPr>
        <w:spacing w:after="80" w:line="276"/>
      </w:pPr>
      <w:r>
        <w:rPr>
          <w:rFonts w:ascii="Arial" w:cs="Arial" w:eastAsia="Arial" w:hAnsi="Arial"/>
          <w:b/>
          <w:bCs/>
          <w:sz w:val="21"/>
          <w:szCs w:val="21"/>
        </w:rPr>
        <w:t xml:space="preserve">Edge initialization: </w:t>
      </w:r>
      <w:r>
        <w:rPr>
          <w:rFonts w:ascii="Arial" w:cs="Arial" w:eastAsia="Arial" w:hAnsi="Arial"/>
          <w:sz w:val="21"/>
          <w:szCs w:val="21"/>
        </w:rPr>
        <w:t xml:space="preserve">Prior adjacency matrix from Guyton circulatory model + KEGG pathways (e.g., strong prior edge between creatinine and BUN; between MAP and HR).</w:t>
      </w:r>
    </w:p>
    <w:p>
      <w:pPr>
        <w:pStyle w:val="ListParagraph"/>
        <w:numPr>
          <w:ilvl w:val="0"/>
          <w:numId w:val="2"/>
        </w:numPr>
        <w:spacing w:after="80" w:line="276"/>
      </w:pPr>
      <w:r>
        <w:rPr>
          <w:rFonts w:ascii="Arial" w:cs="Arial" w:eastAsia="Arial" w:hAnsi="Arial"/>
          <w:b/>
          <w:bCs/>
          <w:sz w:val="21"/>
          <w:szCs w:val="21"/>
        </w:rPr>
        <w:t xml:space="preserve">Dynamic edge updates: </w:t>
      </w:r>
      <w:r>
        <w:rPr>
          <w:rFonts w:ascii="Arial" w:cs="Arial" w:eastAsia="Arial" w:hAnsi="Arial"/>
          <w:sz w:val="21"/>
          <w:szCs w:val="21"/>
        </w:rPr>
        <w:t xml:space="preserve">Windowed Pearson correlation (trailing 6h) between connected node values provides empirical coupling strength that modulates the prior.</w:t>
      </w:r>
    </w:p>
    <w:p>
      <w:pPr>
        <w:spacing w:before="200" w:after="120"/>
      </w:pPr>
      <w:r>
        <w:rPr>
          <w:rFonts w:ascii="Arial" w:cs="Arial" w:eastAsia="Arial" w:hAnsi="Arial"/>
          <w:b/>
          <w:bCs/>
          <w:color w:val="3A7CA5"/>
          <w:sz w:val="22"/>
          <w:szCs w:val="22"/>
        </w:rPr>
        <w:t xml:space="preserve">3.3 Temporal Modeling Strategy</w:t>
      </w:r>
    </w:p>
    <w:p>
      <w:pPr>
        <w:spacing w:after="120" w:line="276"/>
        <w:jc w:val="left"/>
      </w:pPr>
      <w:r>
        <w:rPr>
          <w:rFonts w:ascii="Arial" w:cs="Arial" w:eastAsia="Arial" w:hAnsi="Arial"/>
          <w:sz w:val="21"/>
          <w:szCs w:val="21"/>
        </w:rPr>
        <w:t xml:space="preserve">The graph evolves over time via a Graph-LSTM architecture: at each timestep, the GNN produces a graph-level representation that is fed into an LSTM cell, whose hidden state carries forward the temporal context. This captures both the instantaneous physiological interaction structure (via GNN) and its evolution (via LSTM). Timestep resolution: 1 hour.</w:t>
      </w:r>
    </w:p>
    <w:p>
      <w:pPr>
        <w:pStyle w:val="Heading2"/>
        <w:spacing w:before="280" w:after="160"/>
      </w:pPr>
      <w:r>
        <w:rPr>
          <w:rFonts w:ascii="Arial" w:cs="Arial" w:eastAsia="Arial" w:hAnsi="Arial"/>
          <w:b/>
          <w:bCs/>
          <w:color w:val="2E5E8E"/>
          <w:sz w:val="26"/>
          <w:szCs w:val="26"/>
        </w:rPr>
        <w:t xml:space="preserve">4. Predictive Models</w:t>
      </w:r>
    </w:p>
    <w:p>
      <w:pPr>
        <w:spacing w:before="200" w:after="120"/>
      </w:pPr>
      <w:r>
        <w:rPr>
          <w:rFonts w:ascii="Arial" w:cs="Arial" w:eastAsia="Arial" w:hAnsi="Arial"/>
          <w:b/>
          <w:bCs/>
          <w:color w:val="3A7CA5"/>
          <w:sz w:val="22"/>
          <w:szCs w:val="22"/>
        </w:rPr>
        <w:t xml:space="preserve">4.1 Algorithms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900"/>
        <w:gridCol w:w="312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Target</w:t>
            </w:r>
          </w:p>
        </w:tc>
        <w:tc>
          <w:tcPr>
            <w:tcW w:type="dxa" w:w="3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Model</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Loss Function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Prognosis</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Cox proportional hazards head on graph-LSTM hidden state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Partial log-likelihood (Breslow)</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Length of Stay</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Ordinal regression (CORAL) on binned LOS categories: &lt;3d, 3–7d, 7–14d, &gt;14d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Consistent rank loss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Procedure Prediction</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Graph-level multi-label attention classifier with ICD procedure codes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Focal loss (γ=2) for class imbalance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Resource Allocation</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Daily resource demand regressor (beds, ventilators, CRRT) aggregated over patient census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Quantile regression (τ=0.5, 0.9)</w:t>
            </w:r>
          </w:p>
        </w:tc>
      </w:tr>
    </w:tbl>
    <w:p>
      <w:pPr>
        <w:spacing w:after="120"/>
      </w:pPr>
    </w:p>
    <w:p>
      <w:pPr>
        <w:spacing w:before="200" w:after="120"/>
      </w:pPr>
      <w:r>
        <w:rPr>
          <w:rFonts w:ascii="Arial" w:cs="Arial" w:eastAsia="Arial" w:hAnsi="Arial"/>
          <w:b/>
          <w:bCs/>
          <w:color w:val="3A7CA5"/>
          <w:sz w:val="22"/>
          <w:szCs w:val="22"/>
        </w:rPr>
        <w:t xml:space="preserve">4.2 Interpretability Strategy</w:t>
      </w:r>
    </w:p>
    <w:p>
      <w:pPr>
        <w:pStyle w:val="ListParagraph"/>
        <w:numPr>
          <w:ilvl w:val="0"/>
          <w:numId w:val="2"/>
        </w:numPr>
        <w:spacing w:after="80" w:line="276"/>
      </w:pPr>
      <w:r>
        <w:rPr>
          <w:rFonts w:ascii="Arial" w:cs="Arial" w:eastAsia="Arial" w:hAnsi="Arial"/>
          <w:b/>
          <w:bCs/>
          <w:sz w:val="21"/>
          <w:szCs w:val="21"/>
        </w:rPr>
        <w:t xml:space="preserve">Edge attention visualization: </w:t>
      </w:r>
      <w:r>
        <w:rPr>
          <w:rFonts w:ascii="Arial" w:cs="Arial" w:eastAsia="Arial" w:hAnsi="Arial"/>
          <w:sz w:val="21"/>
          <w:szCs w:val="21"/>
        </w:rPr>
        <w:t xml:space="preserve">Interactive graph where edge thickness represents coupling strength; clinicians see which physiological relationships are breaking down.</w:t>
      </w:r>
    </w:p>
    <w:p>
      <w:pPr>
        <w:pStyle w:val="ListParagraph"/>
        <w:numPr>
          <w:ilvl w:val="0"/>
          <w:numId w:val="2"/>
        </w:numPr>
        <w:spacing w:after="80" w:line="276"/>
      </w:pPr>
      <w:r>
        <w:rPr>
          <w:rFonts w:ascii="Arial" w:cs="Arial" w:eastAsia="Arial" w:hAnsi="Arial"/>
          <w:b/>
          <w:bCs/>
          <w:sz w:val="21"/>
          <w:szCs w:val="21"/>
        </w:rPr>
        <w:t xml:space="preserve">Node influence ranking: </w:t>
      </w:r>
      <w:r>
        <w:rPr>
          <w:rFonts w:ascii="Arial" w:cs="Arial" w:eastAsia="Arial" w:hAnsi="Arial"/>
          <w:sz w:val="21"/>
          <w:szCs w:val="21"/>
        </w:rPr>
        <w:t xml:space="preserve">Top-5 nodes (clinical variables) driving PCI change at each timestep, presented as a clinical narrative: “PCI deterioration driven by: renal-hepatic decoupling (creatinine↑, bilirubin↑, albumin↓).”</w:t>
      </w:r>
    </w:p>
    <w:p>
      <w:pPr>
        <w:pStyle w:val="ListParagraph"/>
        <w:numPr>
          <w:ilvl w:val="0"/>
          <w:numId w:val="2"/>
        </w:numPr>
        <w:spacing w:after="80" w:line="276"/>
      </w:pPr>
      <w:r>
        <w:rPr>
          <w:rFonts w:ascii="Arial" w:cs="Arial" w:eastAsia="Arial" w:hAnsi="Arial"/>
          <w:b/>
          <w:bCs/>
          <w:sz w:val="21"/>
          <w:szCs w:val="21"/>
        </w:rPr>
        <w:t xml:space="preserve">Counterfactual paths: </w:t>
      </w:r>
      <w:r>
        <w:rPr>
          <w:rFonts w:ascii="Arial" w:cs="Arial" w:eastAsia="Arial" w:hAnsi="Arial"/>
          <w:sz w:val="21"/>
          <w:szCs w:val="21"/>
        </w:rPr>
        <w:t xml:space="preserve">Mask individual edges to show: “If the cardiac-renal coupling had remained stable, PCI would have been X instead of Y”—providing causal interpretation.</w:t>
      </w:r>
    </w:p>
    <w:p>
      <w:pPr>
        <w:pStyle w:val="ListParagraph"/>
        <w:numPr>
          <w:ilvl w:val="0"/>
          <w:numId w:val="2"/>
        </w:numPr>
        <w:spacing w:after="80" w:line="276"/>
      </w:pPr>
      <w:r>
        <w:rPr>
          <w:rFonts w:ascii="Arial" w:cs="Arial" w:eastAsia="Arial" w:hAnsi="Arial"/>
          <w:b/>
          <w:bCs/>
          <w:sz w:val="21"/>
          <w:szCs w:val="21"/>
        </w:rPr>
        <w:t xml:space="preserve">Clinical subgraph templates: </w:t>
      </w:r>
      <w:r>
        <w:rPr>
          <w:rFonts w:ascii="Arial" w:cs="Arial" w:eastAsia="Arial" w:hAnsi="Arial"/>
          <w:sz w:val="21"/>
          <w:szCs w:val="21"/>
        </w:rPr>
        <w:t xml:space="preserve">Pre-defined physiological failure patterns (sepsis subgraph, cardiorenal subgraph, hepatorenal subgraph) matched against the patient’s current graph via subgraph isomorphism.</w:t>
      </w:r>
    </w:p>
    <w:p>
      <w:pPr>
        <w:pStyle w:val="Heading2"/>
        <w:spacing w:before="280" w:after="160"/>
      </w:pPr>
      <w:r>
        <w:rPr>
          <w:rFonts w:ascii="Arial" w:cs="Arial" w:eastAsia="Arial" w:hAnsi="Arial"/>
          <w:b/>
          <w:bCs/>
          <w:color w:val="2E5E8E"/>
          <w:sz w:val="26"/>
          <w:szCs w:val="26"/>
        </w:rPr>
        <w:t xml:space="preserve">5. Validation Strategy</w:t>
      </w:r>
    </w:p>
    <w:p>
      <w:pPr>
        <w:spacing w:before="200" w:after="120"/>
      </w:pPr>
      <w:r>
        <w:rPr>
          <w:rFonts w:ascii="Arial" w:cs="Arial" w:eastAsia="Arial" w:hAnsi="Arial"/>
          <w:b/>
          <w:bCs/>
          <w:color w:val="3A7CA5"/>
          <w:sz w:val="22"/>
          <w:szCs w:val="22"/>
        </w:rPr>
        <w:t xml:space="preserve">5.1 Cross-Validation</w:t>
      </w:r>
    </w:p>
    <w:p>
      <w:pPr>
        <w:pStyle w:val="ListParagraph"/>
        <w:numPr>
          <w:ilvl w:val="0"/>
          <w:numId w:val="2"/>
        </w:numPr>
        <w:spacing w:after="80" w:line="276"/>
      </w:pPr>
      <w:r>
        <w:rPr>
          <w:rFonts w:ascii="Arial" w:cs="Arial" w:eastAsia="Arial" w:hAnsi="Arial"/>
          <w:b/>
          <w:bCs/>
          <w:sz w:val="21"/>
          <w:szCs w:val="21"/>
        </w:rPr>
        <w:t xml:space="preserve">Primary: </w:t>
      </w:r>
      <w:r>
        <w:rPr>
          <w:rFonts w:ascii="Arial" w:cs="Arial" w:eastAsia="Arial" w:hAnsi="Arial"/>
          <w:sz w:val="21"/>
          <w:szCs w:val="21"/>
        </w:rPr>
        <w:t xml:space="preserve">5-fold patient-level stratified CV with temporal ordering preserved within folds.</w:t>
      </w:r>
    </w:p>
    <w:p>
      <w:pPr>
        <w:pStyle w:val="ListParagraph"/>
        <w:numPr>
          <w:ilvl w:val="0"/>
          <w:numId w:val="2"/>
        </w:numPr>
        <w:spacing w:after="80" w:line="276"/>
      </w:pPr>
      <w:r>
        <w:rPr>
          <w:rFonts w:ascii="Arial" w:cs="Arial" w:eastAsia="Arial" w:hAnsi="Arial"/>
          <w:b/>
          <w:bCs/>
          <w:sz w:val="21"/>
          <w:szCs w:val="21"/>
        </w:rPr>
        <w:t xml:space="preserve">Ablation study: </w:t>
      </w:r>
      <w:r>
        <w:rPr>
          <w:rFonts w:ascii="Arial" w:cs="Arial" w:eastAsia="Arial" w:hAnsi="Arial"/>
          <w:sz w:val="21"/>
          <w:szCs w:val="21"/>
        </w:rPr>
        <w:t xml:space="preserve">Compare full ClinGraph vs. (a) flat feature model (no graph), (b) static graph (no dynamic edges), (c) graph without NLP nodes, to quantify the contribution of each component.</w:t>
      </w:r>
    </w:p>
    <w:p>
      <w:pPr>
        <w:pStyle w:val="ListParagraph"/>
        <w:numPr>
          <w:ilvl w:val="0"/>
          <w:numId w:val="2"/>
        </w:numPr>
        <w:spacing w:after="80" w:line="276"/>
      </w:pPr>
      <w:r>
        <w:rPr>
          <w:rFonts w:ascii="Arial" w:cs="Arial" w:eastAsia="Arial" w:hAnsi="Arial"/>
          <w:b/>
          <w:bCs/>
          <w:sz w:val="21"/>
          <w:szCs w:val="21"/>
        </w:rPr>
        <w:t xml:space="preserve">Metrics: </w:t>
      </w:r>
      <w:r>
        <w:rPr>
          <w:rFonts w:ascii="Arial" w:cs="Arial" w:eastAsia="Arial" w:hAnsi="Arial"/>
          <w:sz w:val="21"/>
          <w:szCs w:val="21"/>
        </w:rPr>
        <w:t xml:space="preserve">C-index for survival; quadratic weighted kappa for ordinal LOS; micro/macro F1 for procedures; pinball loss for quantile resource predictions.</w:t>
      </w:r>
    </w:p>
    <w:p>
      <w:pPr>
        <w:spacing w:before="200" w:after="120"/>
      </w:pPr>
      <w:r>
        <w:rPr>
          <w:rFonts w:ascii="Arial" w:cs="Arial" w:eastAsia="Arial" w:hAnsi="Arial"/>
          <w:b/>
          <w:bCs/>
          <w:color w:val="3A7CA5"/>
          <w:sz w:val="22"/>
          <w:szCs w:val="22"/>
        </w:rPr>
        <w:t xml:space="preserve">5.2 Clinical Plausibility Checks</w:t>
      </w:r>
    </w:p>
    <w:p>
      <w:pPr>
        <w:pStyle w:val="ListParagraph"/>
        <w:numPr>
          <w:ilvl w:val="0"/>
          <w:numId w:val="2"/>
        </w:numPr>
        <w:spacing w:after="80" w:line="276"/>
      </w:pPr>
      <w:r>
        <w:rPr>
          <w:rFonts w:ascii="Arial" w:cs="Arial" w:eastAsia="Arial" w:hAnsi="Arial"/>
          <w:b/>
          <w:bCs/>
          <w:sz w:val="21"/>
          <w:szCs w:val="21"/>
        </w:rPr>
        <w:t xml:space="preserve">Known pathway recovery: </w:t>
      </w:r>
      <w:r>
        <w:rPr>
          <w:rFonts w:ascii="Arial" w:cs="Arial" w:eastAsia="Arial" w:hAnsi="Arial"/>
          <w:sz w:val="21"/>
          <w:szCs w:val="21"/>
        </w:rPr>
        <w:t xml:space="preserve">Verify that learned edge weights recover known physiological relationships (e.g., strong MAP↔HR edge, strong creatinine↔BUN edge).</w:t>
      </w:r>
    </w:p>
    <w:p>
      <w:pPr>
        <w:pStyle w:val="ListParagraph"/>
        <w:numPr>
          <w:ilvl w:val="0"/>
          <w:numId w:val="2"/>
        </w:numPr>
        <w:spacing w:after="80" w:line="276"/>
      </w:pPr>
      <w:r>
        <w:rPr>
          <w:rFonts w:ascii="Arial" w:cs="Arial" w:eastAsia="Arial" w:hAnsi="Arial"/>
          <w:b/>
          <w:bCs/>
          <w:sz w:val="21"/>
          <w:szCs w:val="21"/>
        </w:rPr>
        <w:t xml:space="preserve">Failure pattern matching: </w:t>
      </w:r>
      <w:r>
        <w:rPr>
          <w:rFonts w:ascii="Arial" w:cs="Arial" w:eastAsia="Arial" w:hAnsi="Arial"/>
          <w:sz w:val="21"/>
          <w:szCs w:val="21"/>
        </w:rPr>
        <w:t xml:space="preserve">Compare learned subgraph patterns against established clinical syndromes (sepsis, ARDS, DIC) from Harrison’s Principles of Internal Medicine.</w:t>
      </w:r>
    </w:p>
    <w:p>
      <w:pPr>
        <w:pStyle w:val="ListParagraph"/>
        <w:numPr>
          <w:ilvl w:val="0"/>
          <w:numId w:val="2"/>
        </w:numPr>
        <w:spacing w:after="80" w:line="276"/>
      </w:pPr>
      <w:r>
        <w:rPr>
          <w:rFonts w:ascii="Arial" w:cs="Arial" w:eastAsia="Arial" w:hAnsi="Arial"/>
          <w:b/>
          <w:bCs/>
          <w:sz w:val="21"/>
          <w:szCs w:val="21"/>
        </w:rPr>
        <w:t xml:space="preserve">Temporal coherence: </w:t>
      </w:r>
      <w:r>
        <w:rPr>
          <w:rFonts w:ascii="Arial" w:cs="Arial" w:eastAsia="Arial" w:hAnsi="Arial"/>
          <w:sz w:val="21"/>
          <w:szCs w:val="21"/>
        </w:rPr>
        <w:t xml:space="preserve">PCI trajectory should worsen before clinical events (code blue, intubation) and improve after therapeutic interventions (vasopressors, antibiotics).</w:t>
      </w:r>
    </w:p>
    <w:p>
      <w:pPr>
        <w:pStyle w:val="Heading2"/>
        <w:spacing w:before="280" w:after="160"/>
      </w:pPr>
      <w:r>
        <w:rPr>
          <w:rFonts w:ascii="Arial" w:cs="Arial" w:eastAsia="Arial" w:hAnsi="Arial"/>
          <w:b/>
          <w:bCs/>
          <w:color w:val="2E5E8E"/>
          <w:sz w:val="26"/>
          <w:szCs w:val="26"/>
        </w:rPr>
        <w:t xml:space="preserve">6. Demo Strategy (5–7 Minutes)</w:t>
      </w:r>
    </w:p>
    <w:p>
      <w:pPr>
        <w:pStyle w:val="ListParagraph"/>
        <w:numPr>
          <w:ilvl w:val="0"/>
          <w:numId w:val="2"/>
        </w:numPr>
        <w:spacing w:after="80" w:line="276"/>
      </w:pPr>
      <w:r>
        <w:rPr>
          <w:rFonts w:ascii="Arial" w:cs="Arial" w:eastAsia="Arial" w:hAnsi="Arial"/>
          <w:b/>
          <w:bCs/>
          <w:sz w:val="21"/>
          <w:szCs w:val="21"/>
        </w:rPr>
        <w:t xml:space="preserve">Minute 0–1.5: </w:t>
      </w:r>
      <w:r>
        <w:rPr>
          <w:rFonts w:ascii="Arial" w:cs="Arial" w:eastAsia="Arial" w:hAnsi="Arial"/>
          <w:sz w:val="21"/>
          <w:szCs w:val="21"/>
        </w:rPr>
        <w:t xml:space="preserve">Animated graph evolution—show 48 hours of a sepsis patient’s physiological graph where coupling progressively breaks down (edges thin, PCI drops) hours before clinical diagnosis.</w:t>
      </w:r>
    </w:p>
    <w:p>
      <w:pPr>
        <w:pStyle w:val="ListParagraph"/>
        <w:numPr>
          <w:ilvl w:val="0"/>
          <w:numId w:val="2"/>
        </w:numPr>
        <w:spacing w:after="80" w:line="276"/>
      </w:pPr>
      <w:r>
        <w:rPr>
          <w:rFonts w:ascii="Arial" w:cs="Arial" w:eastAsia="Arial" w:hAnsi="Arial"/>
          <w:b/>
          <w:bCs/>
          <w:sz w:val="21"/>
          <w:szCs w:val="21"/>
        </w:rPr>
        <w:t xml:space="preserve">Minute 1.5–3: </w:t>
      </w:r>
      <w:r>
        <w:rPr>
          <w:rFonts w:ascii="Arial" w:cs="Arial" w:eastAsia="Arial" w:hAnsi="Arial"/>
          <w:sz w:val="21"/>
          <w:szCs w:val="21"/>
        </w:rPr>
        <w:t xml:space="preserve">Side-by-side: SOFA score (static, 6 numbers) vs. ClinGraph PCI (dynamic graph with causal pathways). Show how SOFA missed hepatorenal coupling breakdown.</w:t>
      </w:r>
    </w:p>
    <w:p>
      <w:pPr>
        <w:pStyle w:val="ListParagraph"/>
        <w:numPr>
          <w:ilvl w:val="0"/>
          <w:numId w:val="2"/>
        </w:numPr>
        <w:spacing w:after="80" w:line="276"/>
      </w:pPr>
      <w:r>
        <w:rPr>
          <w:rFonts w:ascii="Arial" w:cs="Arial" w:eastAsia="Arial" w:hAnsi="Arial"/>
          <w:b/>
          <w:bCs/>
          <w:sz w:val="21"/>
          <w:szCs w:val="21"/>
        </w:rPr>
        <w:t xml:space="preserve">Minute 3–4.5: </w:t>
      </w:r>
      <w:r>
        <w:rPr>
          <w:rFonts w:ascii="Arial" w:cs="Arial" w:eastAsia="Arial" w:hAnsi="Arial"/>
          <w:sz w:val="21"/>
          <w:szCs w:val="21"/>
        </w:rPr>
        <w:t xml:space="preserve">Counterfactual demo: mask the renal subgraph edges and show the predicted PCI trajectory vs. observed—“what if kidney function had remained coupled?”</w:t>
      </w:r>
    </w:p>
    <w:p>
      <w:pPr>
        <w:pStyle w:val="ListParagraph"/>
        <w:numPr>
          <w:ilvl w:val="0"/>
          <w:numId w:val="2"/>
        </w:numPr>
        <w:spacing w:after="80" w:line="276"/>
      </w:pPr>
      <w:r>
        <w:rPr>
          <w:rFonts w:ascii="Arial" w:cs="Arial" w:eastAsia="Arial" w:hAnsi="Arial"/>
          <w:b/>
          <w:bCs/>
          <w:sz w:val="21"/>
          <w:szCs w:val="21"/>
        </w:rPr>
        <w:t xml:space="preserve">Minute 4.5–6: </w:t>
      </w:r>
      <w:r>
        <w:rPr>
          <w:rFonts w:ascii="Arial" w:cs="Arial" w:eastAsia="Arial" w:hAnsi="Arial"/>
          <w:sz w:val="21"/>
          <w:szCs w:val="21"/>
        </w:rPr>
        <w:t xml:space="preserve">Prediction accuracy dashboard: comparison table for all four targets with confidence intervals.</w:t>
      </w:r>
    </w:p>
    <w:p>
      <w:pPr>
        <w:pStyle w:val="ListParagraph"/>
        <w:numPr>
          <w:ilvl w:val="0"/>
          <w:numId w:val="2"/>
        </w:numPr>
        <w:spacing w:after="80" w:line="276"/>
      </w:pPr>
      <w:r>
        <w:rPr>
          <w:rFonts w:ascii="Arial" w:cs="Arial" w:eastAsia="Arial" w:hAnsi="Arial"/>
          <w:b/>
          <w:bCs/>
          <w:sz w:val="21"/>
          <w:szCs w:val="21"/>
        </w:rPr>
        <w:t xml:space="preserve">Minute 6–7: </w:t>
      </w:r>
      <w:r>
        <w:rPr>
          <w:rFonts w:ascii="Arial" w:cs="Arial" w:eastAsia="Arial" w:hAnsi="Arial"/>
          <w:sz w:val="21"/>
          <w:szCs w:val="21"/>
        </w:rPr>
        <w:t xml:space="preserve">Hospital impact slide: show how quantile resource predictions enable proactive ICU bed management with 90th-percentile confidence bounds.</w:t>
      </w:r>
    </w:p>
    <w:p>
      <w:pPr>
        <w:pStyle w:val="Heading2"/>
        <w:spacing w:before="280" w:after="160"/>
      </w:pPr>
      <w:r>
        <w:rPr>
          <w:rFonts w:ascii="Arial" w:cs="Arial" w:eastAsia="Arial" w:hAnsi="Arial"/>
          <w:b/>
          <w:bCs/>
          <w:color w:val="2E5E8E"/>
          <w:sz w:val="26"/>
          <w:szCs w:val="26"/>
        </w:rPr>
        <w:t xml:space="preserve">7. Why This Would Outperform Other Teams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Dimension</w:t>
            </w:r>
          </w:p>
        </w:tc>
        <w:tc>
          <w:tcPr>
            <w:tcW w:type="dxa" w:w="70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Our Advantage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Scientific Depth</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Grounded in Buchman’s decoupling hypothesis and Guyton’s circulatory model; PCI mathematically quantifies physiological coupling breakdown—a concept no existing scoring system addresses.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Technical Depth</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Dynamic graph neural network with prior-informed edges; Graph-LSTM for temporal evolution; counterfactual interpretability via edge masking; ordinal regression for LOS (avoids regression-to-mean).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Clinical Applicability</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Graph visualization directly mirrors clinical reasoning (“what’s connected to what”); failure pattern templates are immediately recognizable to ICU physicians; quantile resource predictions provide actionable confidence bounds.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Strategic Positioning</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No other team is likely to use graph-based physiological modeling—this is genuinely novel and defensible. Judges see a system that explains WHY a patient is deteriorating, not just that they are.</w:t>
            </w:r>
          </w:p>
        </w:tc>
      </w:tr>
    </w:tbl>
    <w:p>
      <w:r>
        <w:br w:type="page"/>
      </w:r>
    </w:p>
    <w:p>
      <w:pPr>
        <w:spacing w:after="60"/>
      </w:pPr>
      <w:r>
        <w:rPr>
          <w:rFonts w:ascii="Arial" w:cs="Arial" w:eastAsia="Arial" w:hAnsi="Arial"/>
          <w:b/>
          <w:bCs/>
          <w:color w:val="999999"/>
          <w:sz w:val="18"/>
          <w:szCs w:val="18"/>
        </w:rPr>
        <w:t xml:space="preserve">PROPOSAL 3</w:t>
      </w:r>
    </w:p>
    <w:p>
      <w:pPr>
        <w:pStyle w:val="Heading1"/>
        <w:spacing w:before="360" w:after="200"/>
      </w:pPr>
      <w:r>
        <w:rPr>
          <w:rFonts w:ascii="Arial" w:cs="Arial" w:eastAsia="Arial" w:hAnsi="Arial"/>
          <w:b/>
          <w:bCs/>
          <w:color w:val="1B3A5C"/>
          <w:sz w:val="32"/>
          <w:szCs w:val="32"/>
        </w:rPr>
        <w:t xml:space="preserve">SurvivalLens: Bayesian Survival-Guided Multimodal Framework with Interpretable Hazard Decomposition</w:t>
      </w:r>
    </w:p>
    <w:p>
      <w:pPr>
        <w:pBdr>
          <w:bottom w:val="single" w:color="2E5E8E" w:sz="6" w:space="1"/>
        </w:pBdr>
        <w:spacing w:before="200" w:after="200"/>
      </w:pPr>
    </w:p>
    <w:p>
      <w:pPr>
        <w:pStyle w:val="Heading2"/>
        <w:spacing w:before="280" w:after="160"/>
      </w:pPr>
      <w:r>
        <w:rPr>
          <w:rFonts w:ascii="Arial" w:cs="Arial" w:eastAsia="Arial" w:hAnsi="Arial"/>
          <w:b/>
          <w:bCs/>
          <w:color w:val="2E5E8E"/>
          <w:sz w:val="26"/>
          <w:szCs w:val="26"/>
        </w:rPr>
        <w:t xml:space="preserve">1. Core Clinical Hypothesis</w:t>
      </w:r>
    </w:p>
    <w:p>
      <w:pPr>
        <w:spacing w:after="120" w:line="276"/>
        <w:jc w:val="left"/>
      </w:pPr>
      <w:r>
        <w:rPr>
          <w:rFonts w:ascii="Arial" w:cs="Arial" w:eastAsia="Arial" w:hAnsi="Arial"/>
          <w:sz w:val="21"/>
          <w:szCs w:val="21"/>
        </w:rPr>
        <w:t xml:space="preserve">Patient outcomes in acute care are fundamentally time-to-event processes, yet most clinical AI systems treat prediction as static classification (e.g., “will this patient die: yes/no”). This discards the most clinically actionable information: when events will occur and which modifiable risk factors are driving the hazard at each moment. We hypothesize that a survival analysis framework—where the hazard function is decomposed into interpretable, time-varying components derived from multimodal clinical data—provides superior predictions and directly informs clinical decision-making by identifying which factors are driving risk right now and how they are evolving.</w:t>
      </w:r>
    </w:p>
    <w:p>
      <w:pPr>
        <w:spacing w:after="120" w:line="276"/>
        <w:jc w:val="left"/>
      </w:pPr>
      <w:r>
        <w:rPr>
          <w:rFonts w:ascii="Arial" w:cs="Arial" w:eastAsia="Arial" w:hAnsi="Arial"/>
          <w:sz w:val="21"/>
          <w:szCs w:val="21"/>
        </w:rPr>
        <w:t xml:space="preserve">The key innovation is treating the hazard function itself as the health score: a decomposed, time-varying hazard where each component corresponds to a clinically meaningful risk domain, enabling clinicians to see not just the probability of an event, but the mechanistic pathway through which risk is accumulating.</w:t>
      </w:r>
    </w:p>
    <w:p>
      <w:pPr>
        <w:pStyle w:val="Heading2"/>
        <w:spacing w:before="280" w:after="160"/>
      </w:pPr>
      <w:r>
        <w:rPr>
          <w:rFonts w:ascii="Arial" w:cs="Arial" w:eastAsia="Arial" w:hAnsi="Arial"/>
          <w:b/>
          <w:bCs/>
          <w:color w:val="2E5E8E"/>
          <w:sz w:val="26"/>
          <w:szCs w:val="26"/>
        </w:rPr>
        <w:t xml:space="preserve">2. Novel Health Score Definition: Decomposed Dynamic Hazard Score (DDHS)</w:t>
      </w:r>
    </w:p>
    <w:p>
      <w:pPr>
        <w:spacing w:before="200" w:after="120"/>
      </w:pPr>
      <w:r>
        <w:rPr>
          <w:rFonts w:ascii="Arial" w:cs="Arial" w:eastAsia="Arial" w:hAnsi="Arial"/>
          <w:b/>
          <w:bCs/>
          <w:color w:val="3A7CA5"/>
          <w:sz w:val="22"/>
          <w:szCs w:val="22"/>
        </w:rPr>
        <w:t xml:space="preserve">2.1 Mathematical Formulation</w:t>
      </w:r>
    </w:p>
    <w:p>
      <w:pPr>
        <w:spacing w:after="120" w:line="276"/>
        <w:jc w:val="left"/>
      </w:pPr>
      <w:r>
        <w:rPr>
          <w:rFonts w:ascii="Arial" w:cs="Arial" w:eastAsia="Arial" w:hAnsi="Arial"/>
          <w:sz w:val="21"/>
          <w:szCs w:val="21"/>
        </w:rPr>
        <w:t xml:space="preserve">We model the patient’s instantaneous hazard as a sum of domain-specific hazard components:</w:t>
      </w:r>
    </w:p>
    <w:p>
      <w:pPr>
        <w:spacing w:after="60" w:line="276"/>
        <w:ind w:left="720"/>
      </w:pPr>
      <w:r>
        <w:rPr>
          <w:rFonts w:ascii="Courier New" w:cs="Courier New" w:eastAsia="Courier New" w:hAnsi="Courier New"/>
          <w:color w:val="333333"/>
          <w:sz w:val="20"/>
          <w:szCs w:val="20"/>
        </w:rPr>
        <w:t xml:space="preserve">λ(t|x_i) = λ_0(t) · exp( ∑_{k=1}^{K} g_k(x_i(t)) )</w:t>
      </w:r>
    </w:p>
    <w:p>
      <w:pPr>
        <w:spacing w:after="60" w:line="276"/>
        <w:ind w:left="720"/>
      </w:pPr>
      <w:r>
        <w:rPr>
          <w:rFonts w:ascii="Courier New" w:cs="Courier New" w:eastAsia="Courier New" w:hAnsi="Courier New"/>
          <w:color w:val="333333"/>
          <w:sz w:val="20"/>
          <w:szCs w:val="20"/>
        </w:rPr>
        <w:t xml:space="preserve"/>
      </w:r>
    </w:p>
    <w:p>
      <w:pPr>
        <w:spacing w:after="60" w:line="276"/>
        <w:ind w:left="720"/>
      </w:pPr>
      <w:r>
        <w:rPr>
          <w:rFonts w:ascii="Courier New" w:cs="Courier New" w:eastAsia="Courier New" w:hAnsi="Courier New"/>
          <w:color w:val="333333"/>
          <w:sz w:val="20"/>
          <w:szCs w:val="20"/>
        </w:rPr>
        <w:t xml:space="preserve">where K risk domains are: {acute_physiology, chronic_burden, clinical_trajectory,</w:t>
      </w:r>
    </w:p>
    <w:p>
      <w:pPr>
        <w:spacing w:after="60" w:line="276"/>
        <w:ind w:left="720"/>
      </w:pPr>
      <w:r>
        <w:rPr>
          <w:rFonts w:ascii="Courier New" w:cs="Courier New" w:eastAsia="Courier New" w:hAnsi="Courier New"/>
          <w:color w:val="333333"/>
          <w:sz w:val="20"/>
          <w:szCs w:val="20"/>
        </w:rPr>
        <w:t xml:space="preserve">    treatment_response, nursing_concern}</w:t>
      </w:r>
    </w:p>
    <w:p>
      <w:pPr>
        <w:spacing w:after="60"/>
      </w:pPr>
    </w:p>
    <w:p>
      <w:pPr>
        <w:spacing w:after="120" w:line="276"/>
        <w:jc w:val="left"/>
      </w:pPr>
      <w:r>
        <w:rPr>
          <w:rFonts w:ascii="Arial" w:cs="Arial" w:eastAsia="Arial" w:hAnsi="Arial"/>
          <w:sz w:val="21"/>
          <w:szCs w:val="21"/>
        </w:rPr>
        <w:t xml:space="preserve">Each domain-specific log-hazard g_k is computed from modality-specific features:</w:t>
      </w:r>
    </w:p>
    <w:p>
      <w:pPr>
        <w:spacing w:after="60" w:line="276"/>
        <w:ind w:left="720"/>
      </w:pPr>
      <w:r>
        <w:rPr>
          <w:rFonts w:ascii="Courier New" w:cs="Courier New" w:eastAsia="Courier New" w:hAnsi="Courier New"/>
          <w:color w:val="333333"/>
          <w:sz w:val="20"/>
          <w:szCs w:val="20"/>
        </w:rPr>
        <w:t xml:space="preserve">g_acute(t) = β_acute^T · f_vitals(t)           — from vital sign features</w:t>
      </w:r>
    </w:p>
    <w:p>
      <w:pPr>
        <w:spacing w:after="60" w:line="276"/>
        <w:ind w:left="720"/>
      </w:pPr>
      <w:r>
        <w:rPr>
          <w:rFonts w:ascii="Courier New" w:cs="Courier New" w:eastAsia="Courier New" w:hAnsi="Courier New"/>
          <w:color w:val="333333"/>
          <w:sz w:val="20"/>
          <w:szCs w:val="20"/>
        </w:rPr>
        <w:t xml:space="preserve">g_chronic(t) = β_chronic^T · f_comorbidity(t)    — from diagnosis history + labs</w:t>
      </w:r>
    </w:p>
    <w:p>
      <w:pPr>
        <w:spacing w:after="60" w:line="276"/>
        <w:ind w:left="720"/>
      </w:pPr>
      <w:r>
        <w:rPr>
          <w:rFonts w:ascii="Courier New" w:cs="Courier New" w:eastAsia="Courier New" w:hAnsi="Courier New"/>
          <w:color w:val="333333"/>
          <w:sz w:val="20"/>
          <w:szCs w:val="20"/>
        </w:rPr>
        <w:t xml:space="preserve">g_trajectory(t) = LSTM(β_traj, f_labs(1:t))      — from lab trajectory encoding</w:t>
      </w:r>
    </w:p>
    <w:p>
      <w:pPr>
        <w:spacing w:after="60" w:line="276"/>
        <w:ind w:left="720"/>
      </w:pPr>
      <w:r>
        <w:rPr>
          <w:rFonts w:ascii="Courier New" w:cs="Courier New" w:eastAsia="Courier New" w:hAnsi="Courier New"/>
          <w:color w:val="333333"/>
          <w:sz w:val="20"/>
          <w:szCs w:val="20"/>
        </w:rPr>
        <w:t xml:space="preserve">g_treatment(t) = β_treat^T · f_meds(t)           — from medication/procedure features</w:t>
      </w:r>
    </w:p>
    <w:p>
      <w:pPr>
        <w:spacing w:after="60" w:line="276"/>
        <w:ind w:left="720"/>
      </w:pPr>
      <w:r>
        <w:rPr>
          <w:rFonts w:ascii="Courier New" w:cs="Courier New" w:eastAsia="Courier New" w:hAnsi="Courier New"/>
          <w:color w:val="333333"/>
          <w:sz w:val="20"/>
          <w:szCs w:val="20"/>
        </w:rPr>
        <w:t xml:space="preserve">g_nursing(t) = β_nurse^T · f_notes(t)            — from NLP-extracted note features</w:t>
      </w:r>
    </w:p>
    <w:p>
      <w:pPr>
        <w:spacing w:after="60"/>
      </w:pPr>
    </w:p>
    <w:p>
      <w:pPr>
        <w:spacing w:after="120" w:line="276"/>
        <w:jc w:val="left"/>
      </w:pPr>
      <w:r>
        <w:rPr>
          <w:rFonts w:ascii="Arial" w:cs="Arial" w:eastAsia="Arial" w:hAnsi="Arial"/>
          <w:sz w:val="21"/>
          <w:szCs w:val="21"/>
        </w:rPr>
        <w:t xml:space="preserve">The DDHS at time t is the vector of domain contributions:</w:t>
      </w:r>
    </w:p>
    <w:p>
      <w:pPr>
        <w:spacing w:after="60" w:line="276"/>
        <w:ind w:left="720"/>
      </w:pPr>
      <w:r>
        <w:rPr>
          <w:rFonts w:ascii="Courier New" w:cs="Courier New" w:eastAsia="Courier New" w:hAnsi="Courier New"/>
          <w:color w:val="333333"/>
          <w:sz w:val="20"/>
          <w:szCs w:val="20"/>
        </w:rPr>
        <w:t xml:space="preserve">DDHS(i,t) = [g_acute(t), g_chronic(t), g_trajectory(t), g_treatment(t), g_nursing(t)]</w:t>
      </w:r>
    </w:p>
    <w:p>
      <w:pPr>
        <w:spacing w:after="60" w:line="276"/>
        <w:ind w:left="720"/>
      </w:pPr>
      <w:r>
        <w:rPr>
          <w:rFonts w:ascii="Courier New" w:cs="Courier New" w:eastAsia="Courier New" w:hAnsi="Courier New"/>
          <w:color w:val="333333"/>
          <w:sz w:val="20"/>
          <w:szCs w:val="20"/>
        </w:rPr>
        <w:t xml:space="preserve"/>
      </w:r>
    </w:p>
    <w:p>
      <w:pPr>
        <w:spacing w:after="60" w:line="276"/>
        <w:ind w:left="720"/>
      </w:pPr>
      <w:r>
        <w:rPr>
          <w:rFonts w:ascii="Courier New" w:cs="Courier New" w:eastAsia="Courier New" w:hAnsi="Courier New"/>
          <w:color w:val="333333"/>
          <w:sz w:val="20"/>
          <w:szCs w:val="20"/>
        </w:rPr>
        <w:t xml:space="preserve">DDHS_total(i,t) = ∑_k g_k(t)   (total log-hazard contribution)</w:t>
      </w:r>
    </w:p>
    <w:p>
      <w:pPr>
        <w:spacing w:after="60" w:line="276"/>
        <w:ind w:left="720"/>
      </w:pPr>
      <w:r>
        <w:rPr>
          <w:rFonts w:ascii="Courier New" w:cs="Courier New" w:eastAsia="Courier New" w:hAnsi="Courier New"/>
          <w:color w:val="333333"/>
          <w:sz w:val="20"/>
          <w:szCs w:val="20"/>
        </w:rPr>
        <w:t xml:space="preserve"/>
      </w:r>
    </w:p>
    <w:p>
      <w:pPr>
        <w:spacing w:after="60" w:line="276"/>
        <w:ind w:left="720"/>
      </w:pPr>
      <w:r>
        <w:rPr>
          <w:rFonts w:ascii="Courier New" w:cs="Courier New" w:eastAsia="Courier New" w:hAnsi="Courier New"/>
          <w:color w:val="333333"/>
          <w:sz w:val="20"/>
          <w:szCs w:val="20"/>
        </w:rPr>
        <w:t xml:space="preserve">DDHS_alarm(i,t) = max_k( Δg_k(t)/Δt )   (fastest-worsening domain)</w:t>
      </w:r>
    </w:p>
    <w:p>
      <w:pPr>
        <w:spacing w:after="60"/>
      </w:pPr>
    </w:p>
    <w:p>
      <w:pPr>
        <w:spacing w:after="120" w:line="276"/>
        <w:jc w:val="left"/>
      </w:pPr>
      <w:r>
        <w:rPr>
          <w:rFonts w:ascii="Arial" w:cs="Arial" w:eastAsia="Arial" w:hAnsi="Arial"/>
          <w:sz w:val="21"/>
          <w:szCs w:val="21"/>
        </w:rPr>
        <w:t xml:space="preserve">Bayesian uncertainty is incorporated via MC Dropout (50 forward passes) on the neural components:</w:t>
      </w:r>
    </w:p>
    <w:p>
      <w:pPr>
        <w:spacing w:after="60" w:line="276"/>
        <w:ind w:left="720"/>
      </w:pPr>
      <w:r>
        <w:rPr>
          <w:rFonts w:ascii="Courier New" w:cs="Courier New" w:eastAsia="Courier New" w:hAnsi="Courier New"/>
          <w:color w:val="333333"/>
          <w:sz w:val="20"/>
          <w:szCs w:val="20"/>
        </w:rPr>
        <w:t xml:space="preserve">P(event by T | x_i) = 1 - exp(-∫_0^T λ(s|x_i) ds)</w:t>
      </w:r>
    </w:p>
    <w:p>
      <w:pPr>
        <w:spacing w:after="60" w:line="276"/>
        <w:ind w:left="720"/>
      </w:pPr>
      <w:r>
        <w:rPr>
          <w:rFonts w:ascii="Courier New" w:cs="Courier New" w:eastAsia="Courier New" w:hAnsi="Courier New"/>
          <w:color w:val="333333"/>
          <w:sz w:val="20"/>
          <w:szCs w:val="20"/>
        </w:rPr>
        <w:t xml:space="preserve"/>
      </w:r>
    </w:p>
    <w:p>
      <w:pPr>
        <w:spacing w:after="60" w:line="276"/>
        <w:ind w:left="720"/>
      </w:pPr>
      <w:r>
        <w:rPr>
          <w:rFonts w:ascii="Courier New" w:cs="Courier New" w:eastAsia="Courier New" w:hAnsi="Courier New"/>
          <w:color w:val="333333"/>
          <w:sz w:val="20"/>
          <w:szCs w:val="20"/>
        </w:rPr>
        <w:t xml:space="preserve">95% CI from MC Dropout variance across stochastic passes</w:t>
      </w:r>
    </w:p>
    <w:p>
      <w:pPr>
        <w:spacing w:before="200" w:after="120"/>
      </w:pPr>
      <w:r>
        <w:rPr>
          <w:rFonts w:ascii="Arial" w:cs="Arial" w:eastAsia="Arial" w:hAnsi="Arial"/>
          <w:b/>
          <w:bCs/>
          <w:color w:val="3A7CA5"/>
          <w:sz w:val="22"/>
          <w:szCs w:val="22"/>
        </w:rPr>
        <w:t xml:space="preserve">2.2 Clinical Rationale</w:t>
      </w:r>
    </w:p>
    <w:p>
      <w:pPr>
        <w:spacing w:after="120" w:line="276"/>
        <w:jc w:val="left"/>
      </w:pPr>
      <w:r>
        <w:rPr>
          <w:rFonts w:ascii="Arial" w:cs="Arial" w:eastAsia="Arial" w:hAnsi="Arial"/>
          <w:sz w:val="21"/>
          <w:szCs w:val="21"/>
        </w:rPr>
        <w:t xml:space="preserve">When a clinician asks “Why is this patient at high risk?”, DDHS provides a direct answer: “Acute physiology contributes 40% of hazard (driven by tachycardia and hypotension), nursing concern contributes 30% (notes mention agitation and confusion), and trajectory contributes 20% (creatinine has been rising for 12 hours).” This is fundamentally different from a single number like APACHE-II = 24, which provides no decomposition of why the score is high.</w:t>
      </w:r>
    </w:p>
    <w:p>
      <w:pPr>
        <w:spacing w:after="120" w:line="276"/>
        <w:jc w:val="left"/>
      </w:pPr>
      <w:r>
        <w:rPr>
          <w:rFonts w:ascii="Arial" w:cs="Arial" w:eastAsia="Arial" w:hAnsi="Arial"/>
          <w:sz w:val="21"/>
          <w:szCs w:val="21"/>
        </w:rPr>
        <w:t xml:space="preserve">The alarm function specifically addresses clinical workflow: it tells the care team which domain is deteriorating fastest, enabling targeted intervention rather than global escalation.</w:t>
      </w:r>
    </w:p>
    <w:p>
      <w:pPr>
        <w:spacing w:before="200" w:after="120"/>
      </w:pPr>
      <w:r>
        <w:rPr>
          <w:rFonts w:ascii="Arial" w:cs="Arial" w:eastAsia="Arial" w:hAnsi="Arial"/>
          <w:b/>
          <w:bCs/>
          <w:color w:val="3A7CA5"/>
          <w:sz w:val="22"/>
          <w:szCs w:val="22"/>
        </w:rPr>
        <w:t xml:space="preserve">2.3 Literature Grounding</w:t>
      </w:r>
    </w:p>
    <w:p>
      <w:pPr>
        <w:pStyle w:val="ListParagraph"/>
        <w:numPr>
          <w:ilvl w:val="0"/>
          <w:numId w:val="2"/>
        </w:numPr>
        <w:spacing w:after="80" w:line="276"/>
      </w:pPr>
      <w:r>
        <w:rPr>
          <w:rFonts w:ascii="Arial" w:cs="Arial" w:eastAsia="Arial" w:hAnsi="Arial"/>
          <w:b/>
          <w:bCs/>
          <w:sz w:val="21"/>
          <w:szCs w:val="21"/>
        </w:rPr>
        <w:t xml:space="preserve">Cox regression with time-varying covariates: </w:t>
      </w:r>
      <w:r>
        <w:rPr>
          <w:rFonts w:ascii="Arial" w:cs="Arial" w:eastAsia="Arial" w:hAnsi="Arial"/>
          <w:sz w:val="21"/>
          <w:szCs w:val="21"/>
        </w:rPr>
        <w:t xml:space="preserve">Therneau &amp; Grambsch (2000) established the theoretical foundation; we extend with neural network components for non-linear relationships.</w:t>
      </w:r>
    </w:p>
    <w:p>
      <w:pPr>
        <w:pStyle w:val="ListParagraph"/>
        <w:numPr>
          <w:ilvl w:val="0"/>
          <w:numId w:val="2"/>
        </w:numPr>
        <w:spacing w:after="80" w:line="276"/>
      </w:pPr>
      <w:r>
        <w:rPr>
          <w:rFonts w:ascii="Arial" w:cs="Arial" w:eastAsia="Arial" w:hAnsi="Arial"/>
          <w:b/>
          <w:bCs/>
          <w:sz w:val="21"/>
          <w:szCs w:val="21"/>
        </w:rPr>
        <w:t xml:space="preserve">DeepSurv: </w:t>
      </w:r>
      <w:r>
        <w:rPr>
          <w:rFonts w:ascii="Arial" w:cs="Arial" w:eastAsia="Arial" w:hAnsi="Arial"/>
          <w:sz w:val="21"/>
          <w:szCs w:val="21"/>
        </w:rPr>
        <w:t xml:space="preserve">Katzman et al. (2018) demonstrated that neural extensions of Cox models outperform linear Cox on clinical prediction tasks while maintaining partial likelihood interpretability.</w:t>
      </w:r>
    </w:p>
    <w:p>
      <w:pPr>
        <w:pStyle w:val="ListParagraph"/>
        <w:numPr>
          <w:ilvl w:val="0"/>
          <w:numId w:val="2"/>
        </w:numPr>
        <w:spacing w:after="80" w:line="276"/>
      </w:pPr>
      <w:r>
        <w:rPr>
          <w:rFonts w:ascii="Arial" w:cs="Arial" w:eastAsia="Arial" w:hAnsi="Arial"/>
          <w:b/>
          <w:bCs/>
          <w:sz w:val="21"/>
          <w:szCs w:val="21"/>
        </w:rPr>
        <w:t xml:space="preserve">Nursing notes as predictors: </w:t>
      </w:r>
      <w:r>
        <w:rPr>
          <w:rFonts w:ascii="Arial" w:cs="Arial" w:eastAsia="Arial" w:hAnsi="Arial"/>
          <w:sz w:val="21"/>
          <w:szCs w:val="21"/>
        </w:rPr>
        <w:t xml:space="preserve">Marafino et al. (2018) showed that NLP-extracted features from nursing notes predict 30-day readmission beyond structured data alone, validating our nursing_concern domain.</w:t>
      </w:r>
    </w:p>
    <w:p>
      <w:pPr>
        <w:pStyle w:val="ListParagraph"/>
        <w:numPr>
          <w:ilvl w:val="0"/>
          <w:numId w:val="2"/>
        </w:numPr>
        <w:spacing w:after="80" w:line="276"/>
      </w:pPr>
      <w:r>
        <w:rPr>
          <w:rFonts w:ascii="Arial" w:cs="Arial" w:eastAsia="Arial" w:hAnsi="Arial"/>
          <w:b/>
          <w:bCs/>
          <w:sz w:val="21"/>
          <w:szCs w:val="21"/>
        </w:rPr>
        <w:t xml:space="preserve">Bayesian uncertainty in clinical AI: </w:t>
      </w:r>
      <w:r>
        <w:rPr>
          <w:rFonts w:ascii="Arial" w:cs="Arial" w:eastAsia="Arial" w:hAnsi="Arial"/>
          <w:sz w:val="21"/>
          <w:szCs w:val="21"/>
        </w:rPr>
        <w:t xml:space="preserve">Leibig et al. (2017) demonstrated that MC Dropout provides well-calibrated uncertainty estimates crucial for clinical deployment where overconfident predictions are dangerous.</w:t>
      </w:r>
    </w:p>
    <w:p>
      <w:pPr>
        <w:pStyle w:val="ListParagraph"/>
        <w:numPr>
          <w:ilvl w:val="0"/>
          <w:numId w:val="2"/>
        </w:numPr>
        <w:spacing w:after="80" w:line="276"/>
      </w:pPr>
      <w:r>
        <w:rPr>
          <w:rFonts w:ascii="Arial" w:cs="Arial" w:eastAsia="Arial" w:hAnsi="Arial"/>
          <w:b/>
          <w:bCs/>
          <w:sz w:val="21"/>
          <w:szCs w:val="21"/>
        </w:rPr>
        <w:t xml:space="preserve">Hazard decomposition: </w:t>
      </w:r>
      <w:r>
        <w:rPr>
          <w:rFonts w:ascii="Arial" w:cs="Arial" w:eastAsia="Arial" w:hAnsi="Arial"/>
          <w:sz w:val="21"/>
          <w:szCs w:val="21"/>
        </w:rPr>
        <w:t xml:space="preserve">Motivated by competing risks framework (Fine &amp; Gray, 1999); we apply the decomposition principle to risk domains rather than competing event types.</w:t>
      </w:r>
    </w:p>
    <w:p>
      <w:pPr>
        <w:pStyle w:val="Heading2"/>
        <w:spacing w:before="280" w:after="160"/>
      </w:pPr>
      <w:r>
        <w:rPr>
          <w:rFonts w:ascii="Arial" w:cs="Arial" w:eastAsia="Arial" w:hAnsi="Arial"/>
          <w:b/>
          <w:bCs/>
          <w:color w:val="2E5E8E"/>
          <w:sz w:val="26"/>
          <w:szCs w:val="26"/>
        </w:rPr>
        <w:t xml:space="preserve">3. Data Processing Pipeline</w:t>
      </w:r>
    </w:p>
    <w:p>
      <w:pPr>
        <w:spacing w:before="200" w:after="120"/>
      </w:pPr>
      <w:r>
        <w:rPr>
          <w:rFonts w:ascii="Arial" w:cs="Arial" w:eastAsia="Arial" w:hAnsi="Arial"/>
          <w:b/>
          <w:bCs/>
          <w:color w:val="3A7CA5"/>
          <w:sz w:val="22"/>
          <w:szCs w:val="22"/>
        </w:rPr>
        <w:t xml:space="preserve">3.1 NLP Approach for Unstructured Notes</w:t>
      </w:r>
    </w:p>
    <w:p>
      <w:pPr>
        <w:pStyle w:val="ListParagraph"/>
        <w:numPr>
          <w:ilvl w:val="0"/>
          <w:numId w:val="2"/>
        </w:numPr>
        <w:spacing w:after="80" w:line="276"/>
      </w:pPr>
      <w:r>
        <w:rPr>
          <w:rFonts w:ascii="Arial" w:cs="Arial" w:eastAsia="Arial" w:hAnsi="Arial"/>
          <w:b/>
          <w:bCs/>
          <w:sz w:val="21"/>
          <w:szCs w:val="21"/>
        </w:rPr>
        <w:t xml:space="preserve">Dual-encoder architecture: </w:t>
      </w:r>
      <w:r>
        <w:rPr>
          <w:rFonts w:ascii="Arial" w:cs="Arial" w:eastAsia="Arial" w:hAnsi="Arial"/>
          <w:sz w:val="21"/>
          <w:szCs w:val="21"/>
        </w:rPr>
        <w:t xml:space="preserve">Separate BioClinicalBERT encoders for (a) physician notes and (b) nursing notes, reflecting their different vocabulary, granularity, and clinical perspective.</w:t>
      </w:r>
    </w:p>
    <w:p>
      <w:pPr>
        <w:pStyle w:val="ListParagraph"/>
        <w:numPr>
          <w:ilvl w:val="0"/>
          <w:numId w:val="2"/>
        </w:numPr>
        <w:spacing w:after="80" w:line="276"/>
      </w:pPr>
      <w:r>
        <w:rPr>
          <w:rFonts w:ascii="Arial" w:cs="Arial" w:eastAsia="Arial" w:hAnsi="Arial"/>
          <w:b/>
          <w:bCs/>
          <w:sz w:val="21"/>
          <w:szCs w:val="21"/>
        </w:rPr>
        <w:t xml:space="preserve">Sentiment/concern extraction: </w:t>
      </w:r>
      <w:r>
        <w:rPr>
          <w:rFonts w:ascii="Arial" w:cs="Arial" w:eastAsia="Arial" w:hAnsi="Arial"/>
          <w:sz w:val="21"/>
          <w:szCs w:val="21"/>
        </w:rPr>
        <w:t xml:space="preserve">Custom classifier trained to identify concern-level language in nursing notes (“patient appears confused”, “family anxious”, “difficulty breathing”) as a proxy for bedside clinical gestalt.</w:t>
      </w:r>
    </w:p>
    <w:p>
      <w:pPr>
        <w:pStyle w:val="ListParagraph"/>
        <w:numPr>
          <w:ilvl w:val="0"/>
          <w:numId w:val="2"/>
        </w:numPr>
        <w:spacing w:after="80" w:line="276"/>
      </w:pPr>
      <w:r>
        <w:rPr>
          <w:rFonts w:ascii="Arial" w:cs="Arial" w:eastAsia="Arial" w:hAnsi="Arial"/>
          <w:b/>
          <w:bCs/>
          <w:sz w:val="21"/>
          <w:szCs w:val="21"/>
        </w:rPr>
        <w:t xml:space="preserve">Medication extraction: </w:t>
      </w:r>
      <w:r>
        <w:rPr>
          <w:rFonts w:ascii="Arial" w:cs="Arial" w:eastAsia="Arial" w:hAnsi="Arial"/>
          <w:sz w:val="21"/>
          <w:szCs w:val="21"/>
        </w:rPr>
        <w:t xml:space="preserve">RxNorm-based NER for medication mentions in notes, cross-referenced with structured medication administration records.</w:t>
      </w:r>
    </w:p>
    <w:p>
      <w:pPr>
        <w:pStyle w:val="ListParagraph"/>
        <w:numPr>
          <w:ilvl w:val="0"/>
          <w:numId w:val="2"/>
        </w:numPr>
        <w:spacing w:after="80" w:line="276"/>
      </w:pPr>
      <w:r>
        <w:rPr>
          <w:rFonts w:ascii="Arial" w:cs="Arial" w:eastAsia="Arial" w:hAnsi="Arial"/>
          <w:b/>
          <w:bCs/>
          <w:sz w:val="21"/>
          <w:szCs w:val="21"/>
        </w:rPr>
        <w:t xml:space="preserve">Section-aware processing: </w:t>
      </w:r>
      <w:r>
        <w:rPr>
          <w:rFonts w:ascii="Arial" w:cs="Arial" w:eastAsia="Arial" w:hAnsi="Arial"/>
          <w:sz w:val="21"/>
          <w:szCs w:val="21"/>
        </w:rPr>
        <w:t xml:space="preserve">Discharge summary parsing into structured sections (HPI, assessment, plan) with section-specific embedding weights.</w:t>
      </w:r>
    </w:p>
    <w:p>
      <w:pPr>
        <w:spacing w:before="200" w:after="120"/>
      </w:pPr>
      <w:r>
        <w:rPr>
          <w:rFonts w:ascii="Arial" w:cs="Arial" w:eastAsia="Arial" w:hAnsi="Arial"/>
          <w:b/>
          <w:bCs/>
          <w:color w:val="3A7CA5"/>
          <w:sz w:val="22"/>
          <w:szCs w:val="22"/>
        </w:rPr>
        <w:t xml:space="preserve">3.2 Feature Engineering for Labs and Vitals</w:t>
      </w:r>
    </w:p>
    <w:p>
      <w:pPr>
        <w:pStyle w:val="ListParagraph"/>
        <w:numPr>
          <w:ilvl w:val="0"/>
          <w:numId w:val="2"/>
        </w:numPr>
        <w:spacing w:after="80" w:line="276"/>
      </w:pPr>
      <w:r>
        <w:rPr>
          <w:rFonts w:ascii="Arial" w:cs="Arial" w:eastAsia="Arial" w:hAnsi="Arial"/>
          <w:b/>
          <w:bCs/>
          <w:sz w:val="21"/>
          <w:szCs w:val="21"/>
        </w:rPr>
        <w:t xml:space="preserve">Labs: </w:t>
      </w:r>
      <w:r>
        <w:rPr>
          <w:rFonts w:ascii="Arial" w:cs="Arial" w:eastAsia="Arial" w:hAnsi="Arial"/>
          <w:sz w:val="21"/>
          <w:szCs w:val="21"/>
        </w:rPr>
        <w:t xml:space="preserve">Clinically grouped feature sets by organ system (renal panel: BUN/Cr/GFR/K+; hepatic panel: AST/ALT/bilirubin/albumin/INR; inflammatory: WBC/CRP/procalcitonin/lactate). Within each panel: latest value, 24h min/max, trend (OLS slope over available points), coefficient of variation.</w:t>
      </w:r>
    </w:p>
    <w:p>
      <w:pPr>
        <w:pStyle w:val="ListParagraph"/>
        <w:numPr>
          <w:ilvl w:val="0"/>
          <w:numId w:val="2"/>
        </w:numPr>
        <w:spacing w:after="80" w:line="276"/>
      </w:pPr>
      <w:r>
        <w:rPr>
          <w:rFonts w:ascii="Arial" w:cs="Arial" w:eastAsia="Arial" w:hAnsi="Arial"/>
          <w:b/>
          <w:bCs/>
          <w:sz w:val="21"/>
          <w:szCs w:val="21"/>
        </w:rPr>
        <w:t xml:space="preserve">Vitals: </w:t>
      </w:r>
      <w:r>
        <w:rPr>
          <w:rFonts w:ascii="Arial" w:cs="Arial" w:eastAsia="Arial" w:hAnsi="Arial"/>
          <w:sz w:val="21"/>
          <w:szCs w:val="21"/>
        </w:rPr>
        <w:t xml:space="preserve">Per-vital features: hourly mean, hourly variability (SD), shock index (HR/SBP), modified shock index (HR/MAP), and pulse pressure. Composite instability index: count of threshold crossings per 4h window (e.g., SBP &lt; 90 events).</w:t>
      </w:r>
    </w:p>
    <w:p>
      <w:pPr>
        <w:pStyle w:val="ListParagraph"/>
        <w:numPr>
          <w:ilvl w:val="0"/>
          <w:numId w:val="2"/>
        </w:numPr>
        <w:spacing w:after="80" w:line="276"/>
      </w:pPr>
      <w:r>
        <w:rPr>
          <w:rFonts w:ascii="Arial" w:cs="Arial" w:eastAsia="Arial" w:hAnsi="Arial"/>
          <w:b/>
          <w:bCs/>
          <w:sz w:val="21"/>
          <w:szCs w:val="21"/>
        </w:rPr>
        <w:t xml:space="preserve">Comorbidity encoding: </w:t>
      </w:r>
      <w:r>
        <w:rPr>
          <w:rFonts w:ascii="Arial" w:cs="Arial" w:eastAsia="Arial" w:hAnsi="Arial"/>
          <w:sz w:val="21"/>
          <w:szCs w:val="21"/>
        </w:rPr>
        <w:t xml:space="preserve">Elixhauser Comorbidity Index computed from ICD codes, represented as both a scalar score and a 31-dimensional binary vector of individual comorbidities.</w:t>
      </w:r>
    </w:p>
    <w:p>
      <w:pPr>
        <w:spacing w:before="200" w:after="120"/>
      </w:pPr>
      <w:r>
        <w:rPr>
          <w:rFonts w:ascii="Arial" w:cs="Arial" w:eastAsia="Arial" w:hAnsi="Arial"/>
          <w:b/>
          <w:bCs/>
          <w:color w:val="3A7CA5"/>
          <w:sz w:val="22"/>
          <w:szCs w:val="22"/>
        </w:rPr>
        <w:t xml:space="preserve">3.3 Temporal Modeling Strategy</w:t>
      </w:r>
    </w:p>
    <w:p>
      <w:pPr>
        <w:spacing w:after="120" w:line="276"/>
        <w:jc w:val="left"/>
      </w:pPr>
      <w:r>
        <w:rPr>
          <w:rFonts w:ascii="Arial" w:cs="Arial" w:eastAsia="Arial" w:hAnsi="Arial"/>
          <w:sz w:val="21"/>
          <w:szCs w:val="21"/>
        </w:rPr>
        <w:t xml:space="preserve">Two-track temporal architecture: (1) A recurrent track (LSTM) processes the full lab trajectory sequence for the g_trajectory domain, capturing long-range dependencies. (2) A snapshot track takes the current-window features for g_acute and g_chronic, enabling the model to weight both instantaneous state and historical trajectory. Tracks are combined at the hazard computation layer, not before, preserving the interpretable domain decomposition.</w:t>
      </w:r>
    </w:p>
    <w:p>
      <w:pPr>
        <w:pStyle w:val="Heading2"/>
        <w:spacing w:before="280" w:after="160"/>
      </w:pPr>
      <w:r>
        <w:rPr>
          <w:rFonts w:ascii="Arial" w:cs="Arial" w:eastAsia="Arial" w:hAnsi="Arial"/>
          <w:b/>
          <w:bCs/>
          <w:color w:val="2E5E8E"/>
          <w:sz w:val="26"/>
          <w:szCs w:val="26"/>
        </w:rPr>
        <w:t xml:space="preserve">4. Predictive Models</w:t>
      </w:r>
    </w:p>
    <w:p>
      <w:pPr>
        <w:spacing w:before="200" w:after="120"/>
      </w:pPr>
      <w:r>
        <w:rPr>
          <w:rFonts w:ascii="Arial" w:cs="Arial" w:eastAsia="Arial" w:hAnsi="Arial"/>
          <w:b/>
          <w:bCs/>
          <w:color w:val="3A7CA5"/>
          <w:sz w:val="22"/>
          <w:szCs w:val="22"/>
        </w:rPr>
        <w:t xml:space="preserve">4.1 Algorithms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900"/>
        <w:gridCol w:w="312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Target</w:t>
            </w:r>
          </w:p>
        </w:tc>
        <w:tc>
          <w:tcPr>
            <w:tcW w:type="dxa" w:w="3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Model</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Loss Function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Prognosis (time-to-event)</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Neural Cox PH with time-varying covariates + MC Dropout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Negative partial log-likelihood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Length of Stay</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Discrete-time survival model (complementary log-log link) predicting daily discharge probability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Binary CE at each discrete time step</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Procedure Prediction</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Multi-task neural network sharing the DDHS representation with procedure-specific output heads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Multi-task binary CE with task uncertainty weighting (Kendall et al., 2018)</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Resource Allocation</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Aggregate patient-level survival curves to predict census-level demand; Monte Carlo simulation over Bayesian posteriors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CRPS (Continuous Ranked Probability Score)</w:t>
            </w:r>
          </w:p>
        </w:tc>
      </w:tr>
    </w:tbl>
    <w:p>
      <w:pPr>
        <w:spacing w:after="120"/>
      </w:pPr>
    </w:p>
    <w:p>
      <w:pPr>
        <w:spacing w:before="200" w:after="120"/>
      </w:pPr>
      <w:r>
        <w:rPr>
          <w:rFonts w:ascii="Arial" w:cs="Arial" w:eastAsia="Arial" w:hAnsi="Arial"/>
          <w:b/>
          <w:bCs/>
          <w:color w:val="3A7CA5"/>
          <w:sz w:val="22"/>
          <w:szCs w:val="22"/>
        </w:rPr>
        <w:t xml:space="preserve">4.2 Interpretability Strategy</w:t>
      </w:r>
    </w:p>
    <w:p>
      <w:pPr>
        <w:pStyle w:val="ListParagraph"/>
        <w:numPr>
          <w:ilvl w:val="0"/>
          <w:numId w:val="2"/>
        </w:numPr>
        <w:spacing w:after="80" w:line="276"/>
      </w:pPr>
      <w:r>
        <w:rPr>
          <w:rFonts w:ascii="Arial" w:cs="Arial" w:eastAsia="Arial" w:hAnsi="Arial"/>
          <w:b/>
          <w:bCs/>
          <w:sz w:val="21"/>
          <w:szCs w:val="21"/>
        </w:rPr>
        <w:t xml:space="preserve">Hazard waterfall charts: </w:t>
      </w:r>
      <w:r>
        <w:rPr>
          <w:rFonts w:ascii="Arial" w:cs="Arial" w:eastAsia="Arial" w:hAnsi="Arial"/>
          <w:sz w:val="21"/>
          <w:szCs w:val="21"/>
        </w:rPr>
        <w:t xml:space="preserve">For each patient at each time point, a waterfall chart shows the contribution of each risk domain to the total hazard—directly answering “why is this patient high-risk?”</w:t>
      </w:r>
    </w:p>
    <w:p>
      <w:pPr>
        <w:pStyle w:val="ListParagraph"/>
        <w:numPr>
          <w:ilvl w:val="0"/>
          <w:numId w:val="2"/>
        </w:numPr>
        <w:spacing w:after="80" w:line="276"/>
      </w:pPr>
      <w:r>
        <w:rPr>
          <w:rFonts w:ascii="Arial" w:cs="Arial" w:eastAsia="Arial" w:hAnsi="Arial"/>
          <w:b/>
          <w:bCs/>
          <w:sz w:val="21"/>
          <w:szCs w:val="21"/>
        </w:rPr>
        <w:t xml:space="preserve">Temporal risk trajectories: </w:t>
      </w:r>
      <w:r>
        <w:rPr>
          <w:rFonts w:ascii="Arial" w:cs="Arial" w:eastAsia="Arial" w:hAnsi="Arial"/>
          <w:sz w:val="21"/>
          <w:szCs w:val="21"/>
        </w:rPr>
        <w:t xml:space="preserve">Stacked area chart of g_k(t) over time, showing how the composition of risk changes (e.g., chronic burden initially dominant, then acute physiology takes over during sepsis).</w:t>
      </w:r>
    </w:p>
    <w:p>
      <w:pPr>
        <w:pStyle w:val="ListParagraph"/>
        <w:numPr>
          <w:ilvl w:val="0"/>
          <w:numId w:val="2"/>
        </w:numPr>
        <w:spacing w:after="80" w:line="276"/>
      </w:pPr>
      <w:r>
        <w:rPr>
          <w:rFonts w:ascii="Arial" w:cs="Arial" w:eastAsia="Arial" w:hAnsi="Arial"/>
          <w:b/>
          <w:bCs/>
          <w:sz w:val="21"/>
          <w:szCs w:val="21"/>
        </w:rPr>
        <w:t xml:space="preserve">Bayesian credible intervals: </w:t>
      </w:r>
      <w:r>
        <w:rPr>
          <w:rFonts w:ascii="Arial" w:cs="Arial" w:eastAsia="Arial" w:hAnsi="Arial"/>
          <w:sz w:val="21"/>
          <w:szCs w:val="21"/>
        </w:rPr>
        <w:t xml:space="preserve">All predictions displayed with 95% credible intervals; width of interval itself is informative (wide CI = model uncertain, proceed with caution).</w:t>
      </w:r>
    </w:p>
    <w:p>
      <w:pPr>
        <w:pStyle w:val="ListParagraph"/>
        <w:numPr>
          <w:ilvl w:val="0"/>
          <w:numId w:val="2"/>
        </w:numPr>
        <w:spacing w:after="80" w:line="276"/>
      </w:pPr>
      <w:r>
        <w:rPr>
          <w:rFonts w:ascii="Arial" w:cs="Arial" w:eastAsia="Arial" w:hAnsi="Arial"/>
          <w:b/>
          <w:bCs/>
          <w:sz w:val="21"/>
          <w:szCs w:val="21"/>
        </w:rPr>
        <w:t xml:space="preserve">Alarm narratives: </w:t>
      </w:r>
      <w:r>
        <w:rPr>
          <w:rFonts w:ascii="Arial" w:cs="Arial" w:eastAsia="Arial" w:hAnsi="Arial"/>
          <w:sz w:val="21"/>
          <w:szCs w:val="21"/>
        </w:rPr>
        <w:t xml:space="preserve">Auto-generated natural language: “DDHS alert: Nursing concern domain is increasing fastest (rate: +0.3/hour). Key drivers: notes mention increased agitation and new oxygen requirement.”</w:t>
      </w:r>
    </w:p>
    <w:p>
      <w:pPr>
        <w:pStyle w:val="Heading2"/>
        <w:spacing w:before="280" w:after="160"/>
      </w:pPr>
      <w:r>
        <w:rPr>
          <w:rFonts w:ascii="Arial" w:cs="Arial" w:eastAsia="Arial" w:hAnsi="Arial"/>
          <w:b/>
          <w:bCs/>
          <w:color w:val="2E5E8E"/>
          <w:sz w:val="26"/>
          <w:szCs w:val="26"/>
        </w:rPr>
        <w:t xml:space="preserve">5. Validation Strategy</w:t>
      </w:r>
    </w:p>
    <w:p>
      <w:pPr>
        <w:spacing w:before="200" w:after="120"/>
      </w:pPr>
      <w:r>
        <w:rPr>
          <w:rFonts w:ascii="Arial" w:cs="Arial" w:eastAsia="Arial" w:hAnsi="Arial"/>
          <w:b/>
          <w:bCs/>
          <w:color w:val="3A7CA5"/>
          <w:sz w:val="22"/>
          <w:szCs w:val="22"/>
        </w:rPr>
        <w:t xml:space="preserve">5.1 Cross-Validation</w:t>
      </w:r>
    </w:p>
    <w:p>
      <w:pPr>
        <w:pStyle w:val="ListParagraph"/>
        <w:numPr>
          <w:ilvl w:val="0"/>
          <w:numId w:val="2"/>
        </w:numPr>
        <w:spacing w:after="80" w:line="276"/>
      </w:pPr>
      <w:r>
        <w:rPr>
          <w:rFonts w:ascii="Arial" w:cs="Arial" w:eastAsia="Arial" w:hAnsi="Arial"/>
          <w:b/>
          <w:bCs/>
          <w:sz w:val="21"/>
          <w:szCs w:val="21"/>
        </w:rPr>
        <w:t xml:space="preserve">Primary: </w:t>
      </w:r>
      <w:r>
        <w:rPr>
          <w:rFonts w:ascii="Arial" w:cs="Arial" w:eastAsia="Arial" w:hAnsi="Arial"/>
          <w:sz w:val="21"/>
          <w:szCs w:val="21"/>
        </w:rPr>
        <w:t xml:space="preserve">5-fold patient-level CV with concordance index (C-index) as primary metric for survival models.</w:t>
      </w:r>
    </w:p>
    <w:p>
      <w:pPr>
        <w:pStyle w:val="ListParagraph"/>
        <w:numPr>
          <w:ilvl w:val="0"/>
          <w:numId w:val="2"/>
        </w:numPr>
        <w:spacing w:after="80" w:line="276"/>
      </w:pPr>
      <w:r>
        <w:rPr>
          <w:rFonts w:ascii="Arial" w:cs="Arial" w:eastAsia="Arial" w:hAnsi="Arial"/>
          <w:b/>
          <w:bCs/>
          <w:sz w:val="21"/>
          <w:szCs w:val="21"/>
        </w:rPr>
        <w:t xml:space="preserve">Calibration focus: </w:t>
      </w:r>
      <w:r>
        <w:rPr>
          <w:rFonts w:ascii="Arial" w:cs="Arial" w:eastAsia="Arial" w:hAnsi="Arial"/>
          <w:sz w:val="21"/>
          <w:szCs w:val="21"/>
        </w:rPr>
        <w:t xml:space="preserve">D-calibration (Haider et al., 2020) for survival models—measures whether predicted survival curves match observed Kaplan-Meier curves across deciles.</w:t>
      </w:r>
    </w:p>
    <w:p>
      <w:pPr>
        <w:pStyle w:val="ListParagraph"/>
        <w:numPr>
          <w:ilvl w:val="0"/>
          <w:numId w:val="2"/>
        </w:numPr>
        <w:spacing w:after="80" w:line="276"/>
      </w:pPr>
      <w:r>
        <w:rPr>
          <w:rFonts w:ascii="Arial" w:cs="Arial" w:eastAsia="Arial" w:hAnsi="Arial"/>
          <w:b/>
          <w:bCs/>
          <w:sz w:val="21"/>
          <w:szCs w:val="21"/>
        </w:rPr>
        <w:t xml:space="preserve">Brier score decomposition: </w:t>
      </w:r>
      <w:r>
        <w:rPr>
          <w:rFonts w:ascii="Arial" w:cs="Arial" w:eastAsia="Arial" w:hAnsi="Arial"/>
          <w:sz w:val="21"/>
          <w:szCs w:val="21"/>
        </w:rPr>
        <w:t xml:space="preserve">Separate reliability and resolution components to diagnose whether errors come from miscalibration or lack of discrimination.</w:t>
      </w:r>
    </w:p>
    <w:p>
      <w:pPr>
        <w:pStyle w:val="ListParagraph"/>
        <w:numPr>
          <w:ilvl w:val="0"/>
          <w:numId w:val="2"/>
        </w:numPr>
        <w:spacing w:after="80" w:line="276"/>
      </w:pPr>
      <w:r>
        <w:rPr>
          <w:rFonts w:ascii="Arial" w:cs="Arial" w:eastAsia="Arial" w:hAnsi="Arial"/>
          <w:b/>
          <w:bCs/>
          <w:sz w:val="21"/>
          <w:szCs w:val="21"/>
        </w:rPr>
        <w:t xml:space="preserve">Metrics per target: </w:t>
      </w:r>
      <w:r>
        <w:rPr>
          <w:rFonts w:ascii="Arial" w:cs="Arial" w:eastAsia="Arial" w:hAnsi="Arial"/>
          <w:sz w:val="21"/>
          <w:szCs w:val="21"/>
        </w:rPr>
        <w:t xml:space="preserve">Prognosis: C-index, time-dependent AUROC at 24h/72h/7d; LOS: median absolute error + daily discharge calibration; Procedures: AUPRC (handles class imbalance); Resources: CRPS + coverage probability.</w:t>
      </w:r>
    </w:p>
    <w:p>
      <w:pPr>
        <w:spacing w:before="200" w:after="120"/>
      </w:pPr>
      <w:r>
        <w:rPr>
          <w:rFonts w:ascii="Arial" w:cs="Arial" w:eastAsia="Arial" w:hAnsi="Arial"/>
          <w:b/>
          <w:bCs/>
          <w:color w:val="3A7CA5"/>
          <w:sz w:val="22"/>
          <w:szCs w:val="22"/>
        </w:rPr>
        <w:t xml:space="preserve">5.2 Clinical Plausibility Checks</w:t>
      </w:r>
    </w:p>
    <w:p>
      <w:pPr>
        <w:pStyle w:val="ListParagraph"/>
        <w:numPr>
          <w:ilvl w:val="0"/>
          <w:numId w:val="2"/>
        </w:numPr>
        <w:spacing w:after="80" w:line="276"/>
      </w:pPr>
      <w:r>
        <w:rPr>
          <w:rFonts w:ascii="Arial" w:cs="Arial" w:eastAsia="Arial" w:hAnsi="Arial"/>
          <w:b/>
          <w:bCs/>
          <w:sz w:val="21"/>
          <w:szCs w:val="21"/>
        </w:rPr>
        <w:t xml:space="preserve">Domain contribution sanity: </w:t>
      </w:r>
      <w:r>
        <w:rPr>
          <w:rFonts w:ascii="Arial" w:cs="Arial" w:eastAsia="Arial" w:hAnsi="Arial"/>
          <w:sz w:val="21"/>
          <w:szCs w:val="21"/>
        </w:rPr>
        <w:t xml:space="preserve">Verify that g_nursing increases when nursing notes contain concern language; g_acute increases during physiological instability; g_treatment decreases after appropriate therapeutic interventions.</w:t>
      </w:r>
    </w:p>
    <w:p>
      <w:pPr>
        <w:pStyle w:val="ListParagraph"/>
        <w:numPr>
          <w:ilvl w:val="0"/>
          <w:numId w:val="2"/>
        </w:numPr>
        <w:spacing w:after="80" w:line="276"/>
      </w:pPr>
      <w:r>
        <w:rPr>
          <w:rFonts w:ascii="Arial" w:cs="Arial" w:eastAsia="Arial" w:hAnsi="Arial"/>
          <w:b/>
          <w:bCs/>
          <w:sz w:val="21"/>
          <w:szCs w:val="21"/>
        </w:rPr>
        <w:t xml:space="preserve">Bayesian calibration: </w:t>
      </w:r>
      <w:r>
        <w:rPr>
          <w:rFonts w:ascii="Arial" w:cs="Arial" w:eastAsia="Arial" w:hAnsi="Arial"/>
          <w:sz w:val="21"/>
          <w:szCs w:val="21"/>
        </w:rPr>
        <w:t xml:space="preserve">Verify that 95% credible intervals contain the true outcome ~95% of the time (coverage probability analysis).</w:t>
      </w:r>
    </w:p>
    <w:p>
      <w:pPr>
        <w:pStyle w:val="ListParagraph"/>
        <w:numPr>
          <w:ilvl w:val="0"/>
          <w:numId w:val="2"/>
        </w:numPr>
        <w:spacing w:after="80" w:line="276"/>
      </w:pPr>
      <w:r>
        <w:rPr>
          <w:rFonts w:ascii="Arial" w:cs="Arial" w:eastAsia="Arial" w:hAnsi="Arial"/>
          <w:b/>
          <w:bCs/>
          <w:sz w:val="21"/>
          <w:szCs w:val="21"/>
        </w:rPr>
        <w:t xml:space="preserve">Competing model comparison: </w:t>
      </w:r>
      <w:r>
        <w:rPr>
          <w:rFonts w:ascii="Arial" w:cs="Arial" w:eastAsia="Arial" w:hAnsi="Arial"/>
          <w:sz w:val="21"/>
          <w:szCs w:val="21"/>
        </w:rPr>
        <w:t xml:space="preserve">DDHS vs. APACHE-IV (head-to-head on same cohort), with net reclassification improvement (NRI) analysis.</w:t>
      </w:r>
    </w:p>
    <w:p>
      <w:pPr>
        <w:pStyle w:val="ListParagraph"/>
        <w:numPr>
          <w:ilvl w:val="0"/>
          <w:numId w:val="2"/>
        </w:numPr>
        <w:spacing w:after="80" w:line="276"/>
      </w:pPr>
      <w:r>
        <w:rPr>
          <w:rFonts w:ascii="Arial" w:cs="Arial" w:eastAsia="Arial" w:hAnsi="Arial"/>
          <w:b/>
          <w:bCs/>
          <w:sz w:val="21"/>
          <w:szCs w:val="21"/>
        </w:rPr>
        <w:t xml:space="preserve">Subgroup analysis: </w:t>
      </w:r>
      <w:r>
        <w:rPr>
          <w:rFonts w:ascii="Arial" w:cs="Arial" w:eastAsia="Arial" w:hAnsi="Arial"/>
          <w:sz w:val="21"/>
          <w:szCs w:val="21"/>
        </w:rPr>
        <w:t xml:space="preserve">Stratify performance by age, primary diagnosis category, and ICU vs. non-ICU to identify generalizability boundaries.</w:t>
      </w:r>
    </w:p>
    <w:p>
      <w:pPr>
        <w:pStyle w:val="Heading2"/>
        <w:spacing w:before="280" w:after="160"/>
      </w:pPr>
      <w:r>
        <w:rPr>
          <w:rFonts w:ascii="Arial" w:cs="Arial" w:eastAsia="Arial" w:hAnsi="Arial"/>
          <w:b/>
          <w:bCs/>
          <w:color w:val="2E5E8E"/>
          <w:sz w:val="26"/>
          <w:szCs w:val="26"/>
        </w:rPr>
        <w:t xml:space="preserve">6. Demo Strategy (5–7 Minutes)</w:t>
      </w:r>
    </w:p>
    <w:p>
      <w:pPr>
        <w:pStyle w:val="ListParagraph"/>
        <w:numPr>
          <w:ilvl w:val="0"/>
          <w:numId w:val="2"/>
        </w:numPr>
        <w:spacing w:after="80" w:line="276"/>
      </w:pPr>
      <w:r>
        <w:rPr>
          <w:rFonts w:ascii="Arial" w:cs="Arial" w:eastAsia="Arial" w:hAnsi="Arial"/>
          <w:b/>
          <w:bCs/>
          <w:sz w:val="21"/>
          <w:szCs w:val="21"/>
        </w:rPr>
        <w:t xml:space="preserve">Minute 0–1.5: </w:t>
      </w:r>
      <w:r>
        <w:rPr>
          <w:rFonts w:ascii="Arial" w:cs="Arial" w:eastAsia="Arial" w:hAnsi="Arial"/>
          <w:sz w:val="21"/>
          <w:szCs w:val="21"/>
        </w:rPr>
        <w:t xml:space="preserve">Clinical scenario: present a patient where APACHE-IV gives a static risk score of 18% mortality. Show how DDHS decomposes this into five evolving risk streams and identifies that the nursing concern domain is the fastest-rising—something no numeric score captures.</w:t>
      </w:r>
    </w:p>
    <w:p>
      <w:pPr>
        <w:pStyle w:val="ListParagraph"/>
        <w:numPr>
          <w:ilvl w:val="0"/>
          <w:numId w:val="2"/>
        </w:numPr>
        <w:spacing w:after="80" w:line="276"/>
      </w:pPr>
      <w:r>
        <w:rPr>
          <w:rFonts w:ascii="Arial" w:cs="Arial" w:eastAsia="Arial" w:hAnsi="Arial"/>
          <w:b/>
          <w:bCs/>
          <w:sz w:val="21"/>
          <w:szCs w:val="21"/>
        </w:rPr>
        <w:t xml:space="preserve">Minute 1.5–3: </w:t>
      </w:r>
      <w:r>
        <w:rPr>
          <w:rFonts w:ascii="Arial" w:cs="Arial" w:eastAsia="Arial" w:hAnsi="Arial"/>
          <w:sz w:val="21"/>
          <w:szCs w:val="21"/>
        </w:rPr>
        <w:t xml:space="preserve">Hazard waterfall chart walkthrough: for the same patient, show how risk composition shifts over 72 hours (admission: chronic burden dominant → day 2: acute physiology dominant → day 3: trajectory worsening dominant).</w:t>
      </w:r>
    </w:p>
    <w:p>
      <w:pPr>
        <w:pStyle w:val="ListParagraph"/>
        <w:numPr>
          <w:ilvl w:val="0"/>
          <w:numId w:val="2"/>
        </w:numPr>
        <w:spacing w:after="80" w:line="276"/>
      </w:pPr>
      <w:r>
        <w:rPr>
          <w:rFonts w:ascii="Arial" w:cs="Arial" w:eastAsia="Arial" w:hAnsi="Arial"/>
          <w:b/>
          <w:bCs/>
          <w:sz w:val="21"/>
          <w:szCs w:val="21"/>
        </w:rPr>
        <w:t xml:space="preserve">Minute 3–4.5: </w:t>
      </w:r>
      <w:r>
        <w:rPr>
          <w:rFonts w:ascii="Arial" w:cs="Arial" w:eastAsia="Arial" w:hAnsi="Arial"/>
          <w:sz w:val="21"/>
          <w:szCs w:val="21"/>
        </w:rPr>
        <w:t xml:space="preserve">LOS prediction as a survival curve: instead of “predicted LOS = 6.2 days,” show the full daily discharge probability curve with Bayesian uncertainty bands.</w:t>
      </w:r>
    </w:p>
    <w:p>
      <w:pPr>
        <w:pStyle w:val="ListParagraph"/>
        <w:numPr>
          <w:ilvl w:val="0"/>
          <w:numId w:val="2"/>
        </w:numPr>
        <w:spacing w:after="80" w:line="276"/>
      </w:pPr>
      <w:r>
        <w:rPr>
          <w:rFonts w:ascii="Arial" w:cs="Arial" w:eastAsia="Arial" w:hAnsi="Arial"/>
          <w:b/>
          <w:bCs/>
          <w:sz w:val="21"/>
          <w:szCs w:val="21"/>
        </w:rPr>
        <w:t xml:space="preserve">Minute 4.5–6: </w:t>
      </w:r>
      <w:r>
        <w:rPr>
          <w:rFonts w:ascii="Arial" w:cs="Arial" w:eastAsia="Arial" w:hAnsi="Arial"/>
          <w:sz w:val="21"/>
          <w:szCs w:val="21"/>
        </w:rPr>
        <w:t xml:space="preserve">Resource allocation simulation: demonstrate how aggregating patient-level survival curves across the ICU census produces a probabilistic bed-demand forecast with 90% prediction intervals.</w:t>
      </w:r>
    </w:p>
    <w:p>
      <w:pPr>
        <w:pStyle w:val="ListParagraph"/>
        <w:numPr>
          <w:ilvl w:val="0"/>
          <w:numId w:val="2"/>
        </w:numPr>
        <w:spacing w:after="80" w:line="276"/>
      </w:pPr>
      <w:r>
        <w:rPr>
          <w:rFonts w:ascii="Arial" w:cs="Arial" w:eastAsia="Arial" w:hAnsi="Arial"/>
          <w:b/>
          <w:bCs/>
          <w:sz w:val="21"/>
          <w:szCs w:val="21"/>
        </w:rPr>
        <w:t xml:space="preserve">Minute 6–7: </w:t>
      </w:r>
      <w:r>
        <w:rPr>
          <w:rFonts w:ascii="Arial" w:cs="Arial" w:eastAsia="Arial" w:hAnsi="Arial"/>
          <w:sz w:val="21"/>
          <w:szCs w:val="21"/>
        </w:rPr>
        <w:t xml:space="preserve">Summary scoreboard: accuracy metrics head-to-head vs. baselines, plus a 1-slide clinical deployment roadmap.</w:t>
      </w:r>
    </w:p>
    <w:p>
      <w:pPr>
        <w:pStyle w:val="Heading2"/>
        <w:spacing w:before="280" w:after="160"/>
      </w:pPr>
      <w:r>
        <w:rPr>
          <w:rFonts w:ascii="Arial" w:cs="Arial" w:eastAsia="Arial" w:hAnsi="Arial"/>
          <w:b/>
          <w:bCs/>
          <w:color w:val="2E5E8E"/>
          <w:sz w:val="26"/>
          <w:szCs w:val="26"/>
        </w:rPr>
        <w:t xml:space="preserve">7. Why This Would Outperform Other Teams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Dimension</w:t>
            </w:r>
          </w:p>
        </w:tc>
        <w:tc>
          <w:tcPr>
            <w:tcW w:type="dxa" w:w="70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Our Advantage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Scientific Depth</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Rooted in survival analysis theory (Cox PH, competing risks, discrete-time models)—the mathematically correct framework for clinical prediction, unlike classification. Hazard decomposition is novel and literature-grounded.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Technical Depth</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Neural Cox with time-varying covariates + MC Dropout Bayesian uncertainty; multi-task learning with homoscedastic task uncertainty; proper survival calibration (D-calibration, Brier decomposition).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Clinical Applicability</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Hazard waterfall charts answer the “why” question that clinicians always ask. Alarm narratives are auto-generated in natural language. Bayesian CIs prevent dangerous overconfidence. LOS as a survival curve is more useful than a point estimate.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Strategic Positioning</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This is the only proposal framed as survival analysis—the native mathematical language of clinical outcomes. Judges with medical background will immediately recognize the superiority of hazard-based thinking over classification. Bayesian uncertainty addresses the #1 concern in clinical AI deployment.</w:t>
            </w:r>
          </w:p>
        </w:tc>
      </w:tr>
    </w:tbl>
    <w:p>
      <w:r>
        <w:br w:type="page"/>
      </w:r>
    </w:p>
    <w:p>
      <w:pPr>
        <w:pStyle w:val="Heading1"/>
        <w:spacing w:before="360" w:after="200"/>
      </w:pPr>
      <w:r>
        <w:rPr>
          <w:rFonts w:ascii="Arial" w:cs="Arial" w:eastAsia="Arial" w:hAnsi="Arial"/>
          <w:b/>
          <w:bCs/>
          <w:color w:val="1B3A5C"/>
          <w:sz w:val="32"/>
          <w:szCs w:val="32"/>
        </w:rPr>
        <w:t xml:space="preserve">Appendix: Strategic Comparison of Three Proposals</w:t>
      </w:r>
    </w:p>
    <w:p>
      <w:pPr>
        <w:pBdr>
          <w:bottom w:val="single" w:color="2E5E8E" w:sz="6" w:space="1"/>
        </w:pBdr>
        <w:spacing w:before="200" w:after="200"/>
      </w:pPr>
    </w:p>
    <w:p>
      <w:pPr>
        <w:spacing w:after="120" w:line="276"/>
        <w:jc w:val="left"/>
      </w:pPr>
      <w:r>
        <w:rPr>
          <w:rFonts w:ascii="Arial" w:cs="Arial" w:eastAsia="Arial" w:hAnsi="Arial"/>
          <w:sz w:val="21"/>
          <w:szCs w:val="21"/>
        </w:rPr>
        <w:t xml:space="preserve">The table below provides a cross-proposal comparison to help select the optimal strategy based on team composition, available compute, and risk tolerance.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600"/>
        <w:gridCol w:w="2600"/>
        <w:gridCol w:w="2600"/>
      </w:tblGrid>
      <w:tr>
        <w:tc>
          <w:tcPr>
            <w:tcW w:type="dxa" w:w="1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Dimension</w:t>
            </w:r>
          </w:p>
        </w:tc>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Proposal 1: PhysioLang</w:t>
            </w:r>
          </w:p>
        </w:tc>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Proposal 2: ClinGraph</w:t>
            </w:r>
          </w:p>
        </w:tc>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Proposal 3: SurvivalLens</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Core Paradigm</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Multimodal contrastive embeddings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Dynamic graph neural network</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Bayesian survival decomposition</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Novel Score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PLCI (organ-axis embedding decomposition)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PCI (physiological coupling index)</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DDHS (decomposed dynamic hazard)</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Key Innovation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Text-physiology alignment via attention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Causal physiological graph structure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Hazard decomposition into risk domains</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Interpretability Mode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Attention heatmaps + organ subscores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Graph visualization + counterfactuals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Waterfall charts + Bayesian CIs</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Compute Requirements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Medium (ClinicalBERT + TCN + XGBoost)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High (GNN + LSTM + graph ops)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Medium (LSTM + Neural Cox + MC Dropout)</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Implementation Risk</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Low (well-tested components)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Medium (graph construction complexity)</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Low (survival analysis well-understood)</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Differentiation Factor</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Multimodal fusion quality</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Causal graph uniqueness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Survival-native formulation + uncertainty</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Best If Team Has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Strong NLP + ML engineering</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Graph ML expertise + physiology knowledge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Biostatistics depth + clinical partners</w:t>
            </w:r>
          </w:p>
        </w:tc>
      </w:tr>
    </w:tbl>
    <w:p>
      <w:pPr>
        <w:spacing w:after="200"/>
      </w:pPr>
    </w:p>
    <w:p>
      <w:pPr>
        <w:spacing w:after="120" w:line="276"/>
        <w:jc w:val="left"/>
      </w:pPr>
      <w:r>
        <w:rPr>
          <w:rFonts w:ascii="Arial" w:cs="Arial" w:eastAsia="Arial" w:hAnsi="Arial"/>
          <w:i/>
          <w:iCs/>
          <w:color w:val="666666"/>
          <w:sz w:val="21"/>
          <w:szCs w:val="21"/>
        </w:rPr>
        <w:t xml:space="preserve">All three proposals are designed to be independently championship-competitive. Selection should be based on team strengths and the specific characteristics of the provided dataset. Each can be prototyped within 4 days by a team of 2–6 with appropriate skills.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ACUHIT 2026 — Championship Proposals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5E8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2026-03-01T18:39:20.683Z</dcterms:created>
  <dcterms:modified xsi:type="dcterms:W3CDTF">2026-03-01T18:39:20.684Z</dcterms:modified>
</cp:coreProperties>
</file>

<file path=docProps/custom.xml><?xml version="1.0" encoding="utf-8"?>
<Properties xmlns="http://schemas.openxmlformats.org/officeDocument/2006/custom-properties" xmlns:vt="http://schemas.openxmlformats.org/officeDocument/2006/docPropsVTypes"/>
</file>