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rPr>
          <w:b/>
          <w:sz w:val="36"/>
        </w:rPr>
        <w:t xml:space="preserve">Business Requirements Document</w:t>
      </w:r>
    </w:p>
    <w:p>
      <w:r>
        <w:rPr>
          <w:sz w:val="20"/>
        </w:rPr>
        <w:t xml:space="preserve">Meridian Group | Atlas Customer Onboarding | Synthetic enterprise project artifact</w:t>
      </w:r>
    </w:p>
    <w:p>
      <w:r>
        <w:rPr>
          <w:b/>
          <w:sz w:val="28"/>
        </w:rPr>
        <w:t xml:space="preserve">Executive Context</w:t>
      </w:r>
    </w:p>
    <w:p>
      <w:r>
        <w:rPr>
          <w:sz w:val="22"/>
        </w:rPr>
        <w:t xml:space="preserve">Atlas addresses the gap between a signed enterprise deal and a stable production handoff. The current process relies on regional checklists, manual status chasing, duplicated customer references, and inconsistent definitions of completion. Meridian Group is standardizing the enterprise onboarding model while preserving governed regional variation. Phase 1 focuses on enterprise onboarding; SMB is explicitly deferred because the operating model, automation expectations, exception frequency, and volume are materially different.</w:t>
      </w:r>
    </w:p>
    <w:p>
      <w:r>
        <w:rPr>
          <w:b/>
          <w:sz w:val="28"/>
        </w:rPr>
        <w:t xml:space="preserve">Business Outcomes</w:t>
      </w:r>
    </w:p>
    <w:p>
      <w:r>
        <w:rPr>
          <w:sz w:val="22"/>
        </w:rPr>
        <w:t xml:space="preserve">The program must provide predictable onboarding status, clear task ownership, auditable exception handling, reduced duplicate customer records, and a reliable client-facing view of progress. CRM remains authoritative for customer identity and onboarding status. Atlas orchestrates work but does not create a second customer master. Client-facing status must be derived from governed state rather than manually written summaries.</w:t>
      </w:r>
    </w:p>
    <w:p>
      <w:r>
        <w:rPr>
          <w:b/>
          <w:sz w:val="28"/>
        </w:rPr>
        <w:t xml:space="preserve">Functional Requirements</w:t>
      </w:r>
    </w:p>
    <w:p>
      <w:r>
        <w:rPr>
          <w:sz w:val="22"/>
        </w:rPr>
        <w:t xml:space="preserve">A signed enterprise customer enters Atlas only after the commercial handoff includes a valid CRM customer reference, named onboarding owner, contracted scope, and regional designation. The case moves through Initiated, Discovery, Configuration, Validation, Ready for Production, and Completed. Regions may add substeps under each enterprise stage but cannot redefine the enterprise stage meaning. Blocked tasks must have a reason, owner, review date, and dependency reference. High-risk legal, security, contractual, and identity exceptions pause progression and require accountable human approval.</w:t>
      </w:r>
    </w:p>
    <w:p>
      <w:r>
        <w:rPr>
          <w:b/>
          <w:sz w:val="28"/>
        </w:rPr>
        <w:t xml:space="preserve">Identity and Access</w:t>
      </w:r>
    </w:p>
    <w:p>
      <w:r>
        <w:rPr>
          <w:sz w:val="22"/>
        </w:rPr>
        <w:t xml:space="preserve">The Atlas pilot authenticates through the Harbor interim SSO bridge. Atlas does not wait for the complete Harbor migration. CRM identifiers are propagated instead of recreated. Access follows role and project participation. Failed identity resolution must stop case creation rather than creating a local identity record. Authentication, authorization, and onboarding-workflow failures must be distinguishable in operational telemetry.</w:t>
      </w:r>
    </w:p>
    <w:p>
      <w:r>
        <w:rPr>
          <w:b/>
          <w:sz w:val="28"/>
        </w:rPr>
        <w:t xml:space="preserve">Regional Operating Model</w:t>
      </w:r>
    </w:p>
    <w:p>
      <w:r>
        <w:rPr>
          <w:sz w:val="22"/>
        </w:rPr>
        <w:t xml:space="preserve">A common enterprise taxonomy is mandatory for reporting and support. Regional teams may introduce governed substeps when they represent legitimate local requirements. New regional substeps require an owner, documented purpose, mapping to an enterprise stage, QA coverage, and approval by the product owner or delegated BA. Free-form notes can supplement state but cannot replace governed status.</w:t>
      </w:r>
    </w:p>
    <w:p>
      <w:r>
        <w:rPr>
          <w:b/>
          <w:sz w:val="28"/>
        </w:rPr>
        <w:t xml:space="preserve">Exceptions and Approvals</w:t>
      </w:r>
    </w:p>
    <w:p>
      <w:r>
        <w:rPr>
          <w:sz w:val="22"/>
        </w:rPr>
        <w:t xml:space="preserve">Exception records contain the exception category, requester, affected case, rationale, evidence references, approver, decision, timestamp, expiration condition where applicable, and resulting workflow transition. Automated recommendations may assist reviewers, but high-risk outcomes remain human decisions. A dependency owner not responding is not approval.</w:t>
      </w:r>
    </w:p>
    <w:p>
      <w:r>
        <w:rPr>
          <w:b/>
          <w:sz w:val="28"/>
        </w:rPr>
        <w:t xml:space="preserve">Reporting and Audit</w:t>
      </w:r>
    </w:p>
    <w:p>
      <w:r>
        <w:rPr>
          <w:sz w:val="22"/>
        </w:rPr>
        <w:t xml:space="preserve">Operational reporting must show enterprise stage, regional substep, age in stage, blockers, responsible owner, dependency state, and client-visible status. Audit history retains every material stage transition and approval. Historical decisions and superseded assumptions are preserved for traceability rather than deleted.</w:t>
      </w:r>
    </w:p>
    <w:p>
      <w:r>
        <w:rPr>
          <w:b/>
          <w:sz w:val="28"/>
        </w:rPr>
        <w:t xml:space="preserve">Dependencies</w:t>
      </w:r>
    </w:p>
    <w:p>
      <w:r>
        <w:rPr>
          <w:sz w:val="22"/>
        </w:rPr>
        <w:t xml:space="preserve">Harbor owns identity and the interim SSO bridge. Nova shares CRM identity-quality concerns but does not share Atlas workflow state. CRM operations owns customer master-data remediation. Cross-project conflicts are escalated through Meridian Group enterprise architecture rather than solved with local copies.</w:t>
      </w:r>
    </w:p>
    <w:p>
      <w:r>
        <w:rPr>
          <w:b/>
          <w:sz w:val="28"/>
        </w:rPr>
        <w:t xml:space="preserve">Acceptance Criteria</w:t>
      </w:r>
    </w:p>
    <w:p>
      <w:r>
        <w:rPr>
          <w:sz w:val="22"/>
        </w:rPr>
        <w:t xml:space="preserve">Acceptance covers standard onboarding, duplicate CRM matches, Harbor SSO failure and recovery, regional substeps, exception approval and rejection, stale sessions, retried integrations, notification replay, dependency delays, status accuracy, audit history, and client-facing usability. A material requirement is not complete until evidence exists in QA and client acceptance records.</w:t>
      </w:r>
    </w:p>
    <w:p>
      <w:r>
        <w:rPr>
          <w:b/>
          <w:sz w:val="28"/>
        </w:rPr>
        <w:t xml:space="preserve">Governance</w:t>
      </w:r>
    </w:p>
    <w:p>
      <w:r>
        <w:rPr>
          <w:sz w:val="22"/>
        </w:rPr>
        <w:t xml:space="preserve">Material scope and architecture decisions require explicit owners and rationale. Steering decisions supersede point-in-time status reports when they conflict. Older artifacts remain part of long-term memory because they explain how the final design evolved.</w:t>
      </w:r>
    </w:p>
    <w:sectPr>
      <w:pgSz w:w="12240" w:h="15840"/>
      <w:pgMar w:top="900" w:right="900" w:bottom="900" w:left="900"/>
    </w:sectPr>
  </w:body>
</w:document>
</file>