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rPr>
          <w:b/>
          <w:sz w:val="36"/>
        </w:rPr>
        <w:t xml:space="preserve">Implementation Specification</w:t>
      </w:r>
    </w:p>
    <w:p>
      <w:r>
        <w:rPr>
          <w:sz w:val="20"/>
        </w:rPr>
        <w:t xml:space="preserve">Meridian Group | Atlas Customer Onboarding | Synthetic enterprise project artifact</w:t>
      </w:r>
    </w:p>
    <w:p>
      <w:r>
        <w:rPr>
          <w:b/>
          <w:sz w:val="28"/>
        </w:rPr>
        <w:t xml:space="preserve">Objective</w:t>
      </w:r>
    </w:p>
    <w:p>
      <w:r>
        <w:rPr>
          <w:sz w:val="22"/>
        </w:rPr>
        <w:t xml:space="preserve">This specification provides implementation-level detail for Atlas Customer Onboarding within Meridian Group. Atlas orchestrates enterprise onboarding from signed deal to production handoff while preserving clear ownership boundaries with CRM, Harbor identity, client operations, and regional process teams.</w:t>
      </w:r>
    </w:p>
    <w:p>
      <w:r>
        <w:rPr>
          <w:b/>
          <w:sz w:val="28"/>
        </w:rPr>
        <w:t xml:space="preserve">Current Direction</w:t>
      </w:r>
    </w:p>
    <w:p>
      <w:r>
        <w:rPr>
          <w:sz w:val="22"/>
        </w:rPr>
        <w:t xml:space="preserve">CRM remains authoritative for customer identity and onboarding status. The Atlas pilot uses the Harbor interim SSO bridge. Enterprise onboarding is phase 1 and SMB is deferred. High-risk onboarding exceptions require human approval. A common stage taxonomy is mandatory with governed regional substeps.</w:t>
      </w:r>
    </w:p>
    <w:p>
      <w:r>
        <w:rPr>
          <w:b/>
          <w:sz w:val="28"/>
        </w:rPr>
        <w:t xml:space="preserve">Functional Flow</w:t>
      </w:r>
    </w:p>
    <w:p>
      <w:r>
        <w:rPr>
          <w:sz w:val="22"/>
        </w:rPr>
        <w:t xml:space="preserve">A valid commercial handoff initializes a case after CRM identity resolution. Atlas creates governed tasks, maintains enterprise stage and optional regional substep, exposes status to authorized users, and pauses on high-risk exceptions or unresolved dependencies. Completion requires validation and production-handoff evidence.</w:t>
      </w:r>
    </w:p>
    <w:p>
      <w:r>
        <w:rPr>
          <w:b/>
          <w:sz w:val="28"/>
        </w:rPr>
        <w:t xml:space="preserve">Integration Behavior</w:t>
      </w:r>
    </w:p>
    <w:p>
      <w:r>
        <w:rPr>
          <w:sz w:val="22"/>
        </w:rPr>
        <w:t xml:space="preserve">CRM identifiers are carried through rather than recreated. Harbor controls pilot authentication. Notifications derive from confirmed workflow transitions. Integration failures are retryable and observable and cannot silently advance business state.</w:t>
      </w:r>
    </w:p>
    <w:p>
      <w:r>
        <w:rPr>
          <w:b/>
          <w:sz w:val="28"/>
        </w:rPr>
        <w:t xml:space="preserve">State</w:t>
      </w:r>
    </w:p>
    <w:p>
      <w:r>
        <w:rPr>
          <w:sz w:val="22"/>
        </w:rPr>
        <w:t xml:space="preserve">State includes customer reference, case identifier, enterprise stage, regional substep, task owner, exception state, approval evidence, dependencies, timestamps, correlation identifiers, and artifact references. Historical transitions remain available for audit and support.</w:t>
      </w:r>
    </w:p>
    <w:p>
      <w:r>
        <w:rPr>
          <w:b/>
          <w:sz w:val="28"/>
        </w:rPr>
        <w:t xml:space="preserve">Constraints</w:t>
      </w:r>
    </w:p>
    <w:p>
      <w:r>
        <w:rPr>
          <w:sz w:val="22"/>
        </w:rPr>
        <w:t xml:space="preserve">Key constraints include duplicate customer records, regional stage mismatch, Harbor SSO timing, legal exception review, and uneven client readiness. Temporary workarounds require explicit owners, expiry conditions, and governance references.</w:t>
      </w:r>
    </w:p>
    <w:p>
      <w:r>
        <w:rPr>
          <w:b/>
          <w:sz w:val="28"/>
        </w:rPr>
        <w:t xml:space="preserve">Validation</w:t>
      </w:r>
    </w:p>
    <w:p>
      <w:r>
        <w:rPr>
          <w:sz w:val="22"/>
        </w:rPr>
        <w:t xml:space="preserve">QA covers standard progression, duplicate identity, SSO failure and recovery, regional substeps, exception approval and rejection, stale sessions, retries, notification replay, dependency delays, audit history, and client status accuracy.</w:t>
      </w:r>
    </w:p>
    <w:p>
      <w:r>
        <w:rPr>
          <w:b/>
          <w:sz w:val="28"/>
        </w:rPr>
        <w:t xml:space="preserve">Operational Design</w:t>
      </w:r>
    </w:p>
    <w:p>
      <w:r>
        <w:rPr>
          <w:sz w:val="22"/>
        </w:rPr>
        <w:t xml:space="preserve">Support teams need correlation identifiers across CRM, Atlas, and Harbor. Dashboards distinguish identity, authorization, CRM data quality, workflow, dependency, and notification failures. Recovery uses supported idempotent paths.</w:t>
      </w:r>
    </w:p>
    <w:p>
      <w:r>
        <w:rPr>
          <w:b/>
          <w:sz w:val="28"/>
        </w:rPr>
        <w:t xml:space="preserve">Ownership</w:t>
      </w:r>
    </w:p>
    <w:p>
      <w:r>
        <w:rPr>
          <w:sz w:val="22"/>
        </w:rPr>
        <w:t xml:space="preserve">Product owns intended outcomes. BAs own requirements and traceability. Architecture owns integration and decision consequences. QA owns release evidence. CRM and Harbor SMEs own authoritative domain guidance. Project management owns milestone and dependency governance.</w:t>
      </w:r>
    </w:p>
    <w:p>
      <w:r>
        <w:rPr>
          <w:b/>
          <w:sz w:val="28"/>
        </w:rPr>
        <w:t xml:space="preserve">Decision History</w:t>
      </w:r>
    </w:p>
    <w:p>
      <w:r>
        <w:rPr>
          <w:sz w:val="22"/>
        </w:rPr>
        <w:t xml:space="preserve">Older assumptions remain in meeting transcripts, emails, working documents, and superseded ADRs. They are retained deliberately so the memory system can explain why the current design exists rather than only restating the latest decision.</w:t>
      </w:r>
    </w:p>
    <w:sectPr>
      <w:pgSz w:w="12240" w:h="15840"/>
      <w:pgMar w:top="900" w:right="900" w:bottom="900" w:left="900"/>
    </w:sectPr>
  </w:body>
</w:document>
</file>