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6"/>
        </w:rPr>
        <w:t xml:space="preserve">Operational Readiness Runbook</w:t>
      </w:r>
    </w:p>
    <w:p>
      <w:r>
        <w:rPr>
          <w:sz w:val="20"/>
        </w:rPr>
        <w:t xml:space="preserve">Meridian Group | Atlas Customer Onboarding | Synthetic enterprise project artifact</w:t>
      </w:r>
    </w:p>
    <w:p>
      <w:r>
        <w:rPr>
          <w:b/>
          <w:sz w:val="28"/>
        </w:rPr>
        <w:t xml:space="preserve">Operating Model</w:t>
      </w:r>
    </w:p>
    <w:p>
      <w:r>
        <w:rPr>
          <w:sz w:val="22"/>
        </w:rPr>
        <w:t xml:space="preserve">Atlas support is shared across customer operations, application support, CRM operations, and Harbor identity support. The first responder determines whether a symptom is identity, authorization, CRM data quality, workflow state, external dependency, notification, or client-usage related before escalating.</w:t>
      </w:r>
    </w:p>
    <w:p>
      <w:r>
        <w:rPr>
          <w:b/>
          <w:sz w:val="28"/>
        </w:rPr>
        <w:t xml:space="preserve">Health Checks</w:t>
      </w:r>
    </w:p>
    <w:p>
      <w:r>
        <w:rPr>
          <w:sz w:val="22"/>
        </w:rPr>
        <w:t xml:space="preserve">Monitor workflow backlog, cases blocked beyond threshold, integration retry queues, CRM lookup failures, Harbor authentication failures, notification failures, exception approval age, audit-write failures, and client-portal availability. Dashboards must preserve correlation identifiers for investigation.</w:t>
      </w:r>
    </w:p>
    <w:p>
      <w:r>
        <w:rPr>
          <w:b/>
          <w:sz w:val="28"/>
        </w:rPr>
        <w:t xml:space="preserve">Incident Triage</w:t>
      </w:r>
    </w:p>
    <w:p>
      <w:r>
        <w:rPr>
          <w:sz w:val="22"/>
        </w:rPr>
        <w:t xml:space="preserve">Begin with the onboarding case identifier and correlation ID. Confirm enterprise stage and last durable transition. Check identity and CRM references before manually touching workflow state. Never repair production by editing free-text notes or creating a local customer record.</w:t>
      </w:r>
    </w:p>
    <w:p>
      <w:r>
        <w:rPr>
          <w:b/>
          <w:sz w:val="28"/>
        </w:rPr>
        <w:t xml:space="preserve">CRM Data-quality Incident</w:t>
      </w:r>
    </w:p>
    <w:p>
      <w:r>
        <w:rPr>
          <w:sz w:val="22"/>
        </w:rPr>
        <w:t xml:space="preserve">If CRM returns no match or ambiguous duplicates, pause case creation or progression according to workflow state. Route to CRM operations with candidate identifiers and evidence. Resume only after authoritative identity resolution is recorded.</w:t>
      </w:r>
    </w:p>
    <w:p>
      <w:r>
        <w:rPr>
          <w:b/>
          <w:sz w:val="28"/>
        </w:rPr>
        <w:t xml:space="preserve">Harbor Identity Incident</w:t>
      </w:r>
    </w:p>
    <w:p>
      <w:r>
        <w:rPr>
          <w:sz w:val="22"/>
        </w:rPr>
        <w:t xml:space="preserve">If the interim SSO bridge is unavailable, distinguish authentication outage from authorization configuration. Existing onboarding state remains intact. Do not bypass enterprise identity controls with shared accounts or local credentials.</w:t>
      </w:r>
    </w:p>
    <w:p>
      <w:r>
        <w:rPr>
          <w:b/>
          <w:sz w:val="28"/>
        </w:rPr>
        <w:t xml:space="preserve">Workflow Recovery</w:t>
      </w:r>
    </w:p>
    <w:p>
      <w:r>
        <w:rPr>
          <w:sz w:val="22"/>
        </w:rPr>
        <w:t xml:space="preserve">Use supported retry and recovery paths. Validate idempotency before replaying external calls. Confirm that notification replays do not duplicate client communication. If durable state and an external system disagree, escalate with evidence rather than force-advancing the workflow.</w:t>
      </w:r>
    </w:p>
    <w:p>
      <w:r>
        <w:rPr>
          <w:b/>
          <w:sz w:val="28"/>
        </w:rPr>
        <w:t xml:space="preserve">Exception and Approval Support</w:t>
      </w:r>
    </w:p>
    <w:p>
      <w:r>
        <w:rPr>
          <w:sz w:val="22"/>
        </w:rPr>
        <w:t xml:space="preserve">For stuck approvals, confirm current approver authority, evidence availability, and expiration conditions. Reassignment must be recorded. Support staff do not make the business approval on behalf of an unavailable approver.</w:t>
      </w:r>
    </w:p>
    <w:p>
      <w:r>
        <w:rPr>
          <w:b/>
          <w:sz w:val="28"/>
        </w:rPr>
        <w:t xml:space="preserve">Communication</w:t>
      </w:r>
    </w:p>
    <w:p>
      <w:r>
        <w:rPr>
          <w:sz w:val="22"/>
        </w:rPr>
        <w:t xml:space="preserve">Operational incidents have an internal owner and, when client-visible, a coordinated client communication owner. Status messages separate confirmed facts, current impact, mitigation, and next update. Point-in-time incident notes do not silently become new architecture policy.</w:t>
      </w:r>
    </w:p>
    <w:p>
      <w:r>
        <w:rPr>
          <w:b/>
          <w:sz w:val="28"/>
        </w:rPr>
        <w:t xml:space="preserve">Rollback and Escalation</w:t>
      </w:r>
    </w:p>
    <w:p>
      <w:r>
        <w:rPr>
          <w:sz w:val="22"/>
        </w:rPr>
        <w:t xml:space="preserve">Material degradation may trigger pilot rollback or scope resequencing. The project manager coordinates the decision; architecture and business owners assess risk. Cross-project dependency conflicts escalate through Meridian Group enterprise architecture.</w:t>
      </w:r>
    </w:p>
    <w:p>
      <w:r>
        <w:rPr>
          <w:b/>
          <w:sz w:val="28"/>
        </w:rPr>
        <w:t xml:space="preserve">Knowledge Retention</w:t>
      </w:r>
    </w:p>
    <w:p>
      <w:r>
        <w:rPr>
          <w:sz w:val="22"/>
        </w:rPr>
        <w:t xml:space="preserve">Close incidents with root cause, corrective action, owner, and links to relevant decision or runbook updates. Repeated failure modes should become explicit anti-pattern or architecture guidance in long-term project memory.</w:t>
      </w:r>
    </w:p>
    <w:sectPr>
      <w:pgSz w:w="12240" w:h="15840"/>
      <w:pgMar w:top="900" w:right="900" w:bottom="900" w:left="900"/>
    </w:sectPr>
  </w:body>
</w:document>
</file>