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6"/>
        </w:rPr>
        <w:t xml:space="preserve">Regional Process And Change Plan</w:t>
      </w:r>
    </w:p>
    <w:p>
      <w:r>
        <w:rPr>
          <w:sz w:val="20"/>
        </w:rPr>
        <w:t xml:space="preserve">Meridian Group | Atlas Customer Onboarding | Synthetic enterprise project artifact</w:t>
      </w:r>
    </w:p>
    <w:p>
      <w:r>
        <w:rPr>
          <w:b/>
          <w:sz w:val="28"/>
        </w:rPr>
        <w:t xml:space="preserve">Change Objective</w:t>
      </w:r>
    </w:p>
    <w:p>
      <w:r>
        <w:rPr>
          <w:sz w:val="22"/>
        </w:rPr>
        <w:t xml:space="preserve">Atlas introduces a common enterprise onboarding stage taxonomy across regions while allowing governed local substeps. The change program must prevent the technology rollout from being interpreted as permission to erase legitimate regional requirements or preserve every historical local convention unchanged.</w:t>
      </w:r>
    </w:p>
    <w:p>
      <w:r>
        <w:rPr>
          <w:b/>
          <w:sz w:val="28"/>
        </w:rPr>
        <w:t xml:space="preserve">Stakeholder Groups</w:t>
      </w:r>
    </w:p>
    <w:p>
      <w:r>
        <w:rPr>
          <w:sz w:val="22"/>
        </w:rPr>
        <w:t xml:space="preserve">Stakeholders include enterprise customer operations, regional onboarding leads, account teams, client product representatives, legal and security reviewers, CRM operations, Harbor identity teams, QA, support, and executive sponsors. Change impacts differ by group and require targeted communication.</w:t>
      </w:r>
    </w:p>
    <w:p>
      <w:r>
        <w:rPr>
          <w:b/>
          <w:sz w:val="28"/>
        </w:rPr>
        <w:t xml:space="preserve">Enterprise Taxonomy</w:t>
      </w:r>
    </w:p>
    <w:p>
      <w:r>
        <w:rPr>
          <w:sz w:val="22"/>
        </w:rPr>
        <w:t xml:space="preserve">The enterprise stages are Initiated, Discovery, Configuration, Validation, Ready for Production, and Completed. Regions map current activities to these stages. A regional activity that cannot be mapped becomes a governance question rather than an immediate new enterprise stage.</w:t>
      </w:r>
    </w:p>
    <w:p>
      <w:r>
        <w:rPr>
          <w:b/>
          <w:sz w:val="28"/>
        </w:rPr>
        <w:t xml:space="preserve">Regional Substeps</w:t>
      </w:r>
    </w:p>
    <w:p>
      <w:r>
        <w:rPr>
          <w:sz w:val="22"/>
        </w:rPr>
        <w:t xml:space="preserve">A requested substep includes purpose, owner, entry criteria, exit criteria, reporting impact, exception impact, and acceptance scenarios. Product and BA review whether it is truly regional or exposes a missing enterprise requirement.</w:t>
      </w:r>
    </w:p>
    <w:p>
      <w:r>
        <w:rPr>
          <w:b/>
          <w:sz w:val="28"/>
        </w:rPr>
        <w:t xml:space="preserve">Training</w:t>
      </w:r>
    </w:p>
    <w:p>
      <w:r>
        <w:rPr>
          <w:sz w:val="22"/>
        </w:rPr>
        <w:t xml:space="preserve">Training covers stage meaning, task ownership, blocked-state handling, exception approval, client-facing status, CRM identity rules, Harbor sign-in behavior, and escalation. Training uses final governed terminology rather than prototype labels.</w:t>
      </w:r>
    </w:p>
    <w:p>
      <w:r>
        <w:rPr>
          <w:b/>
          <w:sz w:val="28"/>
        </w:rPr>
        <w:t xml:space="preserve">Communications</w:t>
      </w:r>
    </w:p>
    <w:p>
      <w:r>
        <w:rPr>
          <w:sz w:val="22"/>
        </w:rPr>
        <w:t xml:space="preserve">Communications distinguish project scope, process changes, identity changes, and client impacts. Milestone or scope changes are communicated only after approved steering decisions. Informal Teams discussions can explain rationale but are not a substitute for governance.</w:t>
      </w:r>
    </w:p>
    <w:p>
      <w:r>
        <w:rPr>
          <w:b/>
          <w:sz w:val="28"/>
        </w:rPr>
        <w:t xml:space="preserve">Readiness Assessment</w:t>
      </w:r>
    </w:p>
    <w:p>
      <w:r>
        <w:rPr>
          <w:sz w:val="22"/>
        </w:rPr>
        <w:t xml:space="preserve">Each pilot group is assessed for role configuration, CRM data quality, Harbor access, process mapping, exception approver coverage, support awareness, training completion, and client acceptance. Readiness gaps have named owners and dates.</w:t>
      </w:r>
    </w:p>
    <w:p>
      <w:r>
        <w:rPr>
          <w:b/>
          <w:sz w:val="28"/>
        </w:rPr>
        <w:t xml:space="preserve">Adoption Measures</w:t>
      </w:r>
    </w:p>
    <w:p>
      <w:r>
        <w:rPr>
          <w:sz w:val="22"/>
        </w:rPr>
        <w:t xml:space="preserve">Track case aging, manual follow-up volume, blocked-task resolution, exception turnaround, reporting consistency, support volume, user confidence, and client status accuracy. Adoption is not measured only by login counts.</w:t>
      </w:r>
    </w:p>
    <w:p>
      <w:r>
        <w:rPr>
          <w:b/>
          <w:sz w:val="28"/>
        </w:rPr>
        <w:t xml:space="preserve">Resistance and Feedback</w:t>
      </w:r>
    </w:p>
    <w:p>
      <w:r>
        <w:rPr>
          <w:sz w:val="22"/>
        </w:rPr>
        <w:t xml:space="preserve">Regional concerns are captured with business rationale. Feedback that reveals a real requirement enters BA and architecture review. Preference-only requests are evaluated against enterprise consistency and operational support cost.</w:t>
      </w:r>
    </w:p>
    <w:p>
      <w:r>
        <w:rPr>
          <w:b/>
          <w:sz w:val="28"/>
        </w:rPr>
        <w:t xml:space="preserve">Sustainment</w:t>
      </w:r>
    </w:p>
    <w:p>
      <w:r>
        <w:rPr>
          <w:sz w:val="22"/>
        </w:rPr>
        <w:t xml:space="preserve">After pilot, Meridian Group change management owns lessons learned and reusable adoption patterns. Superseded training and early process maps remain historical evidence but are clearly marked so they do not become accidental current guidance.</w:t>
      </w:r>
    </w:p>
    <w:sectPr>
      <w:pgSz w:w="12240" w:h="15840"/>
      <w:pgMar w:top="900" w:right="900" w:bottom="900" w:left="900"/>
    </w:sectPr>
  </w:body>
</w:document>
</file>