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Solution Design Specification</w:t>
      </w:r>
    </w:p>
    <w:p>
      <w:r>
        <w:rPr>
          <w:sz w:val="20"/>
        </w:rPr>
        <w:t xml:space="preserve">Meridian Group | Atlas Customer Onboarding | Synthetic enterprise project artifact</w:t>
      </w:r>
    </w:p>
    <w:p>
      <w:r>
        <w:rPr>
          <w:b/>
          <w:sz w:val="28"/>
        </w:rPr>
        <w:t xml:space="preserve">Design Overview</w:t>
      </w:r>
    </w:p>
    <w:p>
      <w:r>
        <w:rPr>
          <w:sz w:val="22"/>
        </w:rPr>
        <w:t xml:space="preserve">Atlas is organized into a client portal, onboarding API, workflow engine, notification service, audit history, document references, and an onboarding state store. Integration boundaries keep CRM and Harbor as owners of their respective capabilities. The design favors explicit state transitions, idempotent integrations, and traceable approvals over local shortcuts.</w:t>
      </w:r>
    </w:p>
    <w:p>
      <w:r>
        <w:rPr>
          <w:b/>
          <w:sz w:val="28"/>
        </w:rPr>
        <w:t xml:space="preserve">System Context</w:t>
      </w:r>
    </w:p>
    <w:p>
      <w:r>
        <w:rPr>
          <w:sz w:val="22"/>
        </w:rPr>
        <w:t xml:space="preserve">CRM supplies authoritative customer identity and selected onboarding status fields. Harbor provides pilot authentication through an interim SSO bridge. Atlas owns orchestration, tasks, exception state, approval state, and client-facing derived status. Downstream fulfillment systems consume confirmed onboarding state but do not drive enterprise stage definitions.</w:t>
      </w:r>
    </w:p>
    <w:p>
      <w:r>
        <w:rPr>
          <w:b/>
          <w:sz w:val="28"/>
        </w:rPr>
        <w:t xml:space="preserve">Workflow Engine</w:t>
      </w:r>
    </w:p>
    <w:p>
      <w:r>
        <w:rPr>
          <w:sz w:val="22"/>
        </w:rPr>
        <w:t xml:space="preserve">The engine represents business waits, human approvals, external dependencies, and retriable failures as durable states. Retrying an integration cannot silently advance a case. A failed notification can be replayed without duplicating client messages. High-risk exceptions produce an approval task and keep the affected workflow branch blocked until a valid decision is recorded.</w:t>
      </w:r>
    </w:p>
    <w:p>
      <w:r>
        <w:rPr>
          <w:b/>
          <w:sz w:val="28"/>
        </w:rPr>
        <w:t xml:space="preserve">Data Model</w:t>
      </w:r>
    </w:p>
    <w:p>
      <w:r>
        <w:rPr>
          <w:sz w:val="22"/>
        </w:rPr>
        <w:t xml:space="preserve">Core entities are CustomerReference, OnboardingCase, StageTransition, Task, Exception, Approval, Dependency, Participant, Notification, and ArtifactReference. Every material transition records actor, timestamp, previous state, new state, source, correlation identifier, and decision reference. Historical transitions are append-only for audit purposes.</w:t>
      </w:r>
    </w:p>
    <w:p>
      <w:r>
        <w:rPr>
          <w:b/>
          <w:sz w:val="28"/>
        </w:rPr>
        <w:t xml:space="preserve">Integration Design</w:t>
      </w:r>
    </w:p>
    <w:p>
      <w:r>
        <w:rPr>
          <w:sz w:val="22"/>
        </w:rPr>
        <w:t xml:space="preserve">CRM lookup is required before creating an onboarding case. Duplicate candidate matches are routed to customer-operations remediation. Harbor authentication failures do not mutate onboarding state. External integrations use idempotency keys and bounded retries. Correlation identifiers are shared across service logs and operational dashboards.</w:t>
      </w:r>
    </w:p>
    <w:p>
      <w:r>
        <w:rPr>
          <w:b/>
          <w:sz w:val="28"/>
        </w:rPr>
        <w:t xml:space="preserve">Security</w:t>
      </w:r>
    </w:p>
    <w:p>
      <w:r>
        <w:rPr>
          <w:sz w:val="22"/>
        </w:rPr>
        <w:t xml:space="preserve">Access follows least privilege. Client users see only approved client-facing status and documents. Internal users see task and exception detail according to project role. Approval authority is explicit and cannot be inferred from broad application access. Sensitive exception evidence is referenced rather than unnecessarily copied into workflow state.</w:t>
      </w:r>
    </w:p>
    <w:p>
      <w:r>
        <w:rPr>
          <w:b/>
          <w:sz w:val="28"/>
        </w:rPr>
        <w:t xml:space="preserve">Observability</w:t>
      </w:r>
    </w:p>
    <w:p>
      <w:r>
        <w:rPr>
          <w:sz w:val="22"/>
        </w:rPr>
        <w:t xml:space="preserve">Operational signals distinguish data-quality failures, authentication failures, authorization failures, workflow failures, dependency waits, and user-action waits. Metrics include cases by stage, age, blocked duration, retry rate, exception volume, approval turnaround, notification failures, and CRM duplicate-resolution backlog.</w:t>
      </w:r>
    </w:p>
    <w:p>
      <w:r>
        <w:rPr>
          <w:b/>
          <w:sz w:val="28"/>
        </w:rPr>
        <w:t xml:space="preserve">Failure Modes and Anti-patterns</w:t>
      </w:r>
    </w:p>
    <w:p>
      <w:r>
        <w:rPr>
          <w:sz w:val="22"/>
        </w:rPr>
        <w:t xml:space="preserve">Do not create local customer masters when CRM lookup fails, hide workflow state in free-text notes, bypass enterprise stages with flags, treat a dependency owners silence as approval, delete superseded decisions, or allow notification success to determine business progression. These patterns reduce supportability and destroy decision traceability.</w:t>
      </w:r>
    </w:p>
    <w:p>
      <w:r>
        <w:rPr>
          <w:b/>
          <w:sz w:val="28"/>
        </w:rPr>
        <w:t xml:space="preserve">Deployment and Cutover</w:t>
      </w:r>
    </w:p>
    <w:p>
      <w:r>
        <w:rPr>
          <w:sz w:val="22"/>
        </w:rPr>
        <w:t xml:space="preserve">Pilot cutover requires Harbor bridge readiness, CRM reconciliation checks, operational dashboards, support runbooks, seeded role assignments, client acceptance evidence, and a rollback decision owner. Atlas can be resequenced around a dependency delay, but milestone changes require a steering decision.</w:t>
      </w:r>
    </w:p>
    <w:p>
      <w:r>
        <w:rPr>
          <w:b/>
          <w:sz w:val="28"/>
        </w:rPr>
        <w:t xml:space="preserve">Decision Traceability</w:t>
      </w:r>
    </w:p>
    <w:p>
      <w:r>
        <w:rPr>
          <w:sz w:val="22"/>
        </w:rPr>
        <w:t xml:space="preserve">Design decisions reference the BRD, steering records, client readiness updates, UAT plan, Harbor dependency material, and meeting transcripts. The sources intentionally overlap so long-term memory can reconstruct rationale and provenance.</w:t>
      </w:r>
    </w:p>
    <w:sectPr>
      <w:pgSz w:w="12240" w:h="15840"/>
      <w:pgMar w:top="900" w:right="900" w:bottom="900" w:left="900"/>
    </w:sectPr>
  </w:body>
</w:document>
</file>