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Atlas Business Requirements Document</w:t>
      </w:r>
    </w:p>
    <w:p>
      <w:r>
        <w:t>Contoso | Atlas Customer Onboarding | Synthetic enterprise project artifact</w:t>
      </w:r>
    </w:p>
    <w:p>
      <w:pPr>
        <w:pStyle w:val="Heading1"/>
      </w:pPr>
      <w:r>
        <w:t>Executive Context</w:t>
      </w:r>
    </w:p>
    <w:p>
      <w:r>
        <w:t>Atlas addresses the gap between a signed enterprise deal and a stable production handoff. The existing process relies on regional checklists, manual status chasing, and inconsistent definitions of when onboarding is truly complete. The target model establishes a governed enterprise stage taxonomy while allowing approved regional substeps.</w:t>
      </w:r>
    </w:p>
    <w:p>
      <w:r>
        <w:t>Phase 1 deliberately focuses on enterprise onboarding. SMB is deferred because its volume, automation expectations, and exception patterns are materially different. The project is expected to prove the operating model before broadening scope.</w:t>
      </w:r>
    </w:p>
    <w:p>
      <w:pPr>
        <w:pStyle w:val="Heading1"/>
      </w:pPr>
      <w:r>
        <w:t>Business Requirements</w:t>
      </w:r>
    </w:p>
    <w:p>
      <w:r>
        <w:t>CRM remains authoritative for customer identity and onboarding status. Atlas orchestrates work but does not create a competing customer master. Users need clear task ownership, blocked-state visibility, auditable exceptions, and client-facing status that does not expose internal-only detail.</w:t>
      </w:r>
    </w:p>
    <w:p>
      <w:r>
        <w:t>High-risk legal, security, and contractual exceptions require human approval. The system must record who approved or rejected an exception, the supporting rationale, and the state transition that followed.</w:t>
      </w:r>
    </w:p>
    <w:p>
      <w:pPr>
        <w:pStyle w:val="Heading1"/>
      </w:pPr>
      <w:r>
        <w:t>Architecture and Dependencies</w:t>
      </w:r>
    </w:p>
    <w:p>
      <w:r>
        <w:t>Atlas resolves customer identity through CRM, authenticates pilot users through the Harbor interim SSO bridge, and maintains onboarding orchestration state in Atlas-owned services. Harbor modernization continues independently; Atlas does not wait for the complete Harbor migration.</w:t>
      </w:r>
    </w:p>
    <w:p>
      <w:r>
        <w:t>Nova and Atlas share a dependency on CRM identity quality. The projects do not share workflow state, but duplicate or inconsistent customer records can affect both. Cross-project concerns are escalated through enterprise architecture rather than solved with local copies.</w:t>
      </w:r>
    </w:p>
    <w:p>
      <w:pPr>
        <w:pStyle w:val="Heading1"/>
      </w:pPr>
      <w:r>
        <w:t>Delivery and Risk</w:t>
      </w:r>
    </w:p>
    <w:p>
      <w:r>
        <w:t>Key risks include duplicate customer records, regional stage mismatch, Harbor SSO timing, legal exception review, and uneven client readiness. Each risk has an accountable owner and must be reflected in acceptance coverage where it can affect production behavior.</w:t>
      </w:r>
    </w:p>
    <w:p>
      <w:r>
        <w:t>A dependency delay does not automatically move the Atlas milestone. The project manager first evaluates resequencing, degraded-mode options, and scope protection before requesting a steering decision.</w:t>
      </w:r>
    </w:p>
    <w:p>
      <w:pPr>
        <w:pStyle w:val="Heading1"/>
      </w:pPr>
      <w:r>
        <w:t>Governance and Traceability</w:t>
      </w:r>
    </w:p>
    <w:p>
      <w:r>
        <w:t>Material scope and architecture decisions are retained with rationale, alternatives, owners, and supersession history. Older assumptions are preserved because they explain later design choices. Current truth should be determined from accepted decisions and later revisions, not simply from the newest timestamp.</w:t>
      </w:r>
    </w:p>
    <w:p>
      <w:r>
        <w:t>The project memory corpus intentionally contains overlapping meeting, email, SharePoint, OneDrive, and Confluence evidence so provenance and conflict resolution can be evaluated.</w:t>
      </w:r>
    </w:p>
    <w:p>
      <w:pPr>
        <w:pStyle w:val="Heading1"/>
      </w:pPr>
      <w:r>
        <w:t>Detailed Process Requirements</w:t>
      </w:r>
    </w:p>
    <w:p>
      <w:r>
        <w:t>Onboarding begins only after the commercial handoff contains a valid enterprise customer reference and named onboarding owner. The case moves through Initiated, Discovery, Configuration, Validation, Ready for Production, and Completed. Regions may add substeps but may not redefine the meaning of enterprise stages.</w:t>
      </w:r>
    </w:p>
    <w:p>
      <w:r>
        <w:t>Blocked tasks must carry a reason, owner, next review date, and dependency reference where applicable. Client-visible status is derived from governed state rather than manually authored summaries.</w:t>
      </w:r>
    </w:p>
    <w:p>
      <w:pPr>
        <w:pStyle w:val="Heading1"/>
      </w:pPr>
      <w:r>
        <w:t>Non-Functional Expectations</w:t>
      </w:r>
    </w:p>
    <w:p>
      <w:r>
        <w:t>The workflow must be auditable, resilient to retried integration calls, and support least-privilege access. Operational teams need searchable correlation identifiers and enough history to distinguish data-quality, authentication, workflow, and user-action failures.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