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b0b03a911f001a7032de47a185e5885aee1af87"/>
    <w:p>
      <w:pPr>
        <w:pStyle w:val="Heading1"/>
      </w:pPr>
      <w:r>
        <w:t xml:space="preserve">Statement of Work: Atlas Enterprise Onboarding Delivery Services</w:t>
      </w:r>
    </w:p>
    <w:p>
      <w:pPr>
        <w:pStyle w:val="FirstParagraph"/>
      </w:pPr>
      <w:r>
        <w:t xml:space="preserve">SOW ID: MG-ATLAS-SOW-001</w:t>
      </w:r>
      <w:r>
        <w:br/>
      </w:r>
      <w:r>
        <w:t xml:space="preserve">Customer: Meridian Group</w:t>
      </w:r>
      <w:r>
        <w:br/>
      </w:r>
      <w:r>
        <w:t xml:space="preserve">Supplier: Cedar Bridge Delivery Ltd.</w:t>
      </w:r>
      <w:r>
        <w:br/>
      </w:r>
      <w:r>
        <w:t xml:space="preserve">Meridian owner: Lena Iyer, Project Manager</w:t>
      </w:r>
      <w:r>
        <w:br/>
      </w:r>
      <w:r>
        <w:t xml:space="preserve">Effective date: 2026-01-12</w:t>
      </w:r>
      <w:r>
        <w:br/>
      </w:r>
      <w:r>
        <w:t xml:space="preserve">Planned completion: 2026-06-30</w:t>
      </w:r>
      <w:r>
        <w:br/>
      </w:r>
      <w:r>
        <w:t xml:space="preserve">Commercial model: Fixed fee with milestone holdback</w:t>
      </w:r>
      <w:r>
        <w:br/>
      </w:r>
      <w:r>
        <w:t xml:space="preserve">Not-to-exceed value: USD 485,000</w:t>
      </w:r>
      <w:r>
        <w:br/>
      </w:r>
      <w:r>
        <w:t xml:space="preserve">Status: Active</w:t>
      </w:r>
    </w:p>
    <w:bookmarkStart w:id="9" w:name="background-and-objectives"/>
    <w:p>
      <w:pPr>
        <w:pStyle w:val="Heading2"/>
      </w:pPr>
      <w:r>
        <w:t xml:space="preserve">1. Background and objectives</w:t>
      </w:r>
    </w:p>
    <w:p>
      <w:pPr>
        <w:pStyle w:val="FirstParagraph"/>
      </w:pPr>
      <w:r>
        <w:t xml:space="preserve">Meridian is establishing a governed path from signed enterprise deal to production handoff. The current operating model uses inconsistent regional checklists, manual status chasing and unclear exception ownership. The Supplier will provide analysis, design, configuration, integration, test support and operational-readiness services for the Atlas enterprise-onboarding pilot.</w:t>
      </w:r>
    </w:p>
    <w:p>
      <w:pPr>
        <w:pStyle w:val="BodyText"/>
      </w:pPr>
      <w:r>
        <w:t xml:space="preserve">This SOW implements Meridian’s approved direction: phase 1 covers enterprise onboarding only; CRM remains authoritative for customer identity and onboarding status; the pilot authenticates through Harbor’s interim SSO bridge; high-risk exceptions require human approval; and regions may add governed substeps beneath a common enterprise stage taxonomy.</w:t>
      </w:r>
    </w:p>
    <w:bookmarkEnd w:id="9"/>
    <w:bookmarkStart w:id="10" w:name="in-scope-services"/>
    <w:p>
      <w:pPr>
        <w:pStyle w:val="Heading2"/>
      </w:pPr>
      <w:r>
        <w:t xml:space="preserve">2. In-scope services</w:t>
      </w:r>
    </w:p>
    <w:p>
      <w:pPr>
        <w:pStyle w:val="FirstParagraph"/>
      </w:pPr>
      <w:r>
        <w:t xml:space="preserve">The Supplier will document enterprise handoff requirements and trace them to workflow states, roles, acceptance tests and operating procedures. It will design onboarding orchestration that resolves an existing CRM customer record, initializes the approved enterprise stages, assigns tasks, exposes authorized status and records exception decisions. Integration services include CRM identity/status synchronization, Harbor pilot authentication, notifications, correlation identifiers and observable retry behavior.</w:t>
      </w:r>
    </w:p>
    <w:p>
      <w:pPr>
        <w:pStyle w:val="BodyText"/>
      </w:pPr>
      <w:r>
        <w:t xml:space="preserve">The Supplier will configure a regional-extension mechanism that cannot redefine enterprise stage semantics. It will implement blocked and degraded states for CRM, SSO and downstream failures. High-risk legal, contractual and security exceptions will pause the affected path until an accountable approver records a disposition and rationale.</w:t>
      </w:r>
    </w:p>
    <w:bookmarkEnd w:id="10"/>
    <w:bookmarkStart w:id="11" w:name="deliverables-and-milestones"/>
    <w:p>
      <w:pPr>
        <w:pStyle w:val="Heading2"/>
      </w:pPr>
      <w:r>
        <w:t xml:space="preserve">3. Deliverables and milestones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ID</w:t>
            </w:r>
          </w:p>
        </w:tc>
        <w:tc>
          <w:tcPr/>
          <w:p>
            <w:pPr>
              <w:pStyle w:val="Compact"/>
            </w:pPr>
            <w:r>
              <w:t xml:space="preserve">Deliverable</w:t>
            </w:r>
          </w:p>
        </w:tc>
        <w:tc>
          <w:tcPr/>
          <w:p>
            <w:pPr>
              <w:pStyle w:val="Compact"/>
              <w:jc w:val="right"/>
            </w:pPr>
            <w:r>
              <w:t xml:space="preserve">Target</w:t>
            </w:r>
          </w:p>
        </w:tc>
        <w:tc>
          <w:tcPr/>
          <w:p>
            <w:pPr>
              <w:pStyle w:val="Compact"/>
            </w:pPr>
            <w:r>
              <w:t xml:space="preserve">Acceptance basis</w:t>
            </w:r>
          </w:p>
        </w:tc>
      </w:tr>
      <w:tr>
        <w:tc>
          <w:tcPr/>
          <w:p>
            <w:pPr>
              <w:pStyle w:val="Compact"/>
            </w:pPr>
            <w:r>
              <w:t xml:space="preserve">D1</w:t>
            </w:r>
          </w:p>
        </w:tc>
        <w:tc>
          <w:tcPr/>
          <w:p>
            <w:pPr>
              <w:pStyle w:val="Compact"/>
            </w:pPr>
            <w:r>
              <w:t xml:space="preserve">Requirements and traceability baseline</w:t>
            </w:r>
          </w:p>
        </w:tc>
        <w:tc>
          <w:tcPr/>
          <w:p>
            <w:pPr>
              <w:pStyle w:val="Compact"/>
              <w:jc w:val="right"/>
            </w:pPr>
            <w:r>
              <w:t xml:space="preserve">2026-01-30</w:t>
            </w:r>
          </w:p>
        </w:tc>
        <w:tc>
          <w:tcPr/>
          <w:p>
            <w:pPr>
              <w:pStyle w:val="Compact"/>
            </w:pPr>
            <w:r>
              <w:t xml:space="preserve">Enterprise scope, actors, stages, exceptions and dependencies are approved by Product, Business Analysis and Architecture.</w:t>
            </w:r>
          </w:p>
        </w:tc>
      </w:tr>
      <w:tr>
        <w:tc>
          <w:tcPr/>
          <w:p>
            <w:pPr>
              <w:pStyle w:val="Compact"/>
            </w:pPr>
            <w:r>
              <w:t xml:space="preserve">D2</w:t>
            </w:r>
          </w:p>
        </w:tc>
        <w:tc>
          <w:tcPr/>
          <w:p>
            <w:pPr>
              <w:pStyle w:val="Compact"/>
            </w:pPr>
            <w:r>
              <w:t xml:space="preserve">Solution and integration design</w:t>
            </w:r>
          </w:p>
        </w:tc>
        <w:tc>
          <w:tcPr/>
          <w:p>
            <w:pPr>
              <w:pStyle w:val="Compact"/>
              <w:jc w:val="right"/>
            </w:pPr>
            <w:r>
              <w:t xml:space="preserve">2026-02-20</w:t>
            </w:r>
          </w:p>
        </w:tc>
        <w:tc>
          <w:tcPr/>
          <w:p>
            <w:pPr>
              <w:pStyle w:val="Compact"/>
            </w:pPr>
            <w:r>
              <w:t xml:space="preserve">CRM authority, Harbor SSO, state ownership, failure handling, audit and regional substeps are unambiguous.</w:t>
            </w:r>
          </w:p>
        </w:tc>
      </w:tr>
      <w:tr>
        <w:tc>
          <w:tcPr/>
          <w:p>
            <w:pPr>
              <w:pStyle w:val="Compact"/>
            </w:pPr>
            <w:r>
              <w:t xml:space="preserve">D3</w:t>
            </w:r>
          </w:p>
        </w:tc>
        <w:tc>
          <w:tcPr/>
          <w:p>
            <w:pPr>
              <w:pStyle w:val="Compact"/>
            </w:pPr>
            <w:r>
              <w:t xml:space="preserve">Configured pilot workflow</w:t>
            </w:r>
          </w:p>
        </w:tc>
        <w:tc>
          <w:tcPr/>
          <w:p>
            <w:pPr>
              <w:pStyle w:val="Compact"/>
              <w:jc w:val="right"/>
            </w:pPr>
            <w:r>
              <w:t xml:space="preserve">2026-04-10</w:t>
            </w:r>
          </w:p>
        </w:tc>
        <w:tc>
          <w:tcPr/>
          <w:p>
            <w:pPr>
              <w:pStyle w:val="Compact"/>
            </w:pPr>
            <w:r>
              <w:t xml:space="preserve">Demonstrates normal onboarding, blocked states, regional substeps and human exception approval in the pilot environment.</w:t>
            </w:r>
          </w:p>
        </w:tc>
      </w:tr>
      <w:tr>
        <w:tc>
          <w:tcPr/>
          <w:p>
            <w:pPr>
              <w:pStyle w:val="Compact"/>
            </w:pPr>
            <w:r>
              <w:t xml:space="preserve">D4</w:t>
            </w:r>
          </w:p>
        </w:tc>
        <w:tc>
          <w:tcPr/>
          <w:p>
            <w:pPr>
              <w:pStyle w:val="Compact"/>
            </w:pPr>
            <w:r>
              <w:t xml:space="preserve">Verification and client-acceptance package</w:t>
            </w:r>
          </w:p>
        </w:tc>
        <w:tc>
          <w:tcPr/>
          <w:p>
            <w:pPr>
              <w:pStyle w:val="Compact"/>
              <w:jc w:val="right"/>
            </w:pPr>
            <w:r>
              <w:t xml:space="preserve">2026-05-15</w:t>
            </w:r>
          </w:p>
        </w:tc>
        <w:tc>
          <w:tcPr/>
          <w:p>
            <w:pPr>
              <w:pStyle w:val="Compact"/>
            </w:pPr>
            <w:r>
              <w:t xml:space="preserve">Positive, negative, retry, authorization, duplicate-identity and exception tests are traceable to requirements.</w:t>
            </w:r>
          </w:p>
        </w:tc>
      </w:tr>
      <w:tr>
        <w:tc>
          <w:tcPr/>
          <w:p>
            <w:pPr>
              <w:pStyle w:val="Compact"/>
            </w:pPr>
            <w:r>
              <w:t xml:space="preserve">D5</w:t>
            </w:r>
          </w:p>
        </w:tc>
        <w:tc>
          <w:tcPr/>
          <w:p>
            <w:pPr>
              <w:pStyle w:val="Compact"/>
            </w:pPr>
            <w:r>
              <w:t xml:space="preserve">Production handoff and stabilization</w:t>
            </w:r>
          </w:p>
        </w:tc>
        <w:tc>
          <w:tcPr/>
          <w:p>
            <w:pPr>
              <w:pStyle w:val="Compact"/>
              <w:jc w:val="right"/>
            </w:pPr>
            <w:r>
              <w:t xml:space="preserve">2026-06-19</w:t>
            </w:r>
          </w:p>
        </w:tc>
        <w:tc>
          <w:tcPr/>
          <w:p>
            <w:pPr>
              <w:pStyle w:val="Compact"/>
            </w:pPr>
            <w:r>
              <w:t xml:space="preserve">Runbook, support ownership, monitoring, known limitations, training and rollback evidence are accepted.</w:t>
            </w:r>
          </w:p>
        </w:tc>
      </w:tr>
    </w:tbl>
    <w:p>
      <w:pPr>
        <w:pStyle w:val="BodyText"/>
      </w:pPr>
      <w:r>
        <w:t xml:space="preserve">Meridian has ten business days to accept a submitted deliverable or provide consolidated, requirement-based rejection comments. Silence does not constitute acceptance. Defects against an approved requirement are corrected within the fixed fee; new scope follows change control.</w:t>
      </w:r>
    </w:p>
    <w:bookmarkEnd w:id="11"/>
    <w:bookmarkStart w:id="12" w:name="responsibilities"/>
    <w:p>
      <w:pPr>
        <w:pStyle w:val="Heading2"/>
      </w:pPr>
      <w:r>
        <w:t xml:space="preserve">4. Responsibilities</w:t>
      </w:r>
    </w:p>
    <w:p>
      <w:pPr>
        <w:pStyle w:val="FirstParagraph"/>
      </w:pPr>
      <w:r>
        <w:t xml:space="preserve">The Supplier provides a delivery lead, business analyst, solution engineer, integration engineer and test specialist. It maintains plans, decisions, traceability, risks, configuration records and handoff material. Supplier personnel use Meridian-approved tools and may access only the data and environments needed for assigned work.</w:t>
      </w:r>
    </w:p>
    <w:p>
      <w:pPr>
        <w:pStyle w:val="BodyText"/>
      </w:pPr>
      <w:r>
        <w:t xml:space="preserve">Meridian provides product decisions, CRM and Harbor SMEs, environment access, representative test data, client participation and timely acceptance decisions. Meridian owns production authorization, customer-data remediation, legal policy, organizational change and final exception authority. The Supplier may recommend but cannot approve a high-risk business exception.</w:t>
      </w:r>
    </w:p>
    <w:bookmarkEnd w:id="12"/>
    <w:bookmarkStart w:id="13" w:name="assumptions-and-dependencies"/>
    <w:p>
      <w:pPr>
        <w:pStyle w:val="Heading2"/>
      </w:pPr>
      <w:r>
        <w:t xml:space="preserve">5. Assumptions and dependencies</w:t>
      </w:r>
    </w:p>
    <w:p>
      <w:pPr>
        <w:pStyle w:val="FirstParagraph"/>
      </w:pPr>
      <w:r>
        <w:t xml:space="preserve">CRM APIs and a stable customer-identifier strategy will be available for the pilot. Harbor will provide the interim SSO bridge and operating contacts. Regional representatives will validate terminology without reopening the mandatory enterprise taxonomy. Client acceptance participants will be available for scheduled reviews. Delays are assessed for resequencing before either party assumes a milestone or fee change.</w:t>
      </w:r>
    </w:p>
    <w:bookmarkEnd w:id="13"/>
    <w:bookmarkStart w:id="14" w:name="out-of-scope"/>
    <w:p>
      <w:pPr>
        <w:pStyle w:val="Heading2"/>
      </w:pPr>
      <w:r>
        <w:t xml:space="preserve">6. Out of scope</w:t>
      </w:r>
    </w:p>
    <w:p>
      <w:pPr>
        <w:pStyle w:val="FirstParagraph"/>
      </w:pPr>
      <w:r>
        <w:t xml:space="preserve">SMB onboarding, replacement of CRM as customer master, completion of Harbor’s enterprise migration, unrestricted regional stage models, automated approval of high-risk exceptions, production CRM data cleanup and operation of the service after stabilization are excluded. Discovery of an excluded need creates no authorization to implement it.</w:t>
      </w:r>
    </w:p>
    <w:bookmarkEnd w:id="14"/>
    <w:bookmarkStart w:id="15" w:name="security-data-and-records"/>
    <w:p>
      <w:pPr>
        <w:pStyle w:val="Heading2"/>
      </w:pPr>
      <w:r>
        <w:t xml:space="preserve">7. Security, data and records</w:t>
      </w:r>
    </w:p>
    <w:p>
      <w:pPr>
        <w:pStyle w:val="FirstParagraph"/>
      </w:pPr>
      <w:r>
        <w:t xml:space="preserve">The Supplier will use managed devices, named identities, least privilege and Meridian-approved repositories. Customer and employee data will not enter personal storage or unapproved AI services. Test data will be synthetic or minimized where practicable. Suspected exposure is reported immediately. Work products, decision history, configuration, test evidence and support material are Meridian records and must be returned in accessible formats.</w:t>
      </w:r>
    </w:p>
    <w:bookmarkEnd w:id="15"/>
    <w:bookmarkStart w:id="16" w:name="commercial-and-change-control"/>
    <w:p>
      <w:pPr>
        <w:pStyle w:val="Heading2"/>
      </w:pPr>
      <w:r>
        <w:t xml:space="preserve">8. Commercial and change control</w:t>
      </w:r>
    </w:p>
    <w:p>
      <w:pPr>
        <w:pStyle w:val="FirstParagraph"/>
      </w:pPr>
      <w:r>
        <w:t xml:space="preserve">Fees are tied to the five deliverables, with ten percent held until D5 acceptance. Pre-approved travel is reimbursed under Meridian policy and does not increase the not-to-exceed value without written change approval. A change request states the requested outcome, rationale, affected requirements, schedule, price, risks and alternatives. Only the Meridian owner and delegated commercial authority may authorize a change.</w:t>
      </w:r>
    </w:p>
    <w:bookmarkEnd w:id="16"/>
    <w:bookmarkStart w:id="17" w:name="exit-and-transition"/>
    <w:p>
      <w:pPr>
        <w:pStyle w:val="Heading2"/>
      </w:pPr>
      <w:r>
        <w:t xml:space="preserve">9. Exit and transition</w:t>
      </w:r>
    </w:p>
    <w:p>
      <w:pPr>
        <w:pStyle w:val="FirstParagraph"/>
      </w:pPr>
      <w:r>
        <w:t xml:space="preserve">At completion or termination, the Supplier will transfer current work products, open actions, credentials inventory, configuration history and knowledge to Meridian. Supplier access is removed under Meridian identity policy. The Supplier will certify return or deletion of Meridian data and support up to two transition workshops within the agreed fee.</w:t>
      </w:r>
    </w:p>
    <w:bookmarkEnd w:id="17"/>
    <w:bookmarkEnd w:id="18"/>
    <w:sectPr>
      <w:pgSz w:h="15840" w:w="12240"/>
      <w:pgMar w:bottom="900" w:left="900" w:right="900" w:top="9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2026-08-21T19:50:09Z</dcterms:created>
  <dcterms:modified xsi:type="dcterms:W3CDTF">2026-08-21T19:50:09Z</dcterms:modified>
</cp:coreProperties>
</file>

<file path=docProps/custom.xml><?xml version="1.0" encoding="utf-8"?>
<Properties xmlns="http://schemas.openxmlformats.org/officeDocument/2006/custom-properties" xmlns:vt="http://schemas.openxmlformats.org/officeDocument/2006/docPropsVTypes"/>
</file>