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ef83f20e7dd32e27b6dafc2c6fed8b0ce8bf8e"/>
    <w:p>
      <w:pPr>
        <w:pStyle w:val="Heading1"/>
      </w:pPr>
      <w:r>
        <w:t xml:space="preserve">Statement of Work: Harbor Identity Migration and Governance Services</w:t>
      </w:r>
    </w:p>
    <w:p>
      <w:pPr>
        <w:pStyle w:val="FirstParagraph"/>
      </w:pPr>
      <w:r>
        <w:t xml:space="preserve">SOW ID: MG-HARBOR-SOW-001</w:t>
      </w:r>
      <w:r>
        <w:br/>
      </w:r>
      <w:r>
        <w:t xml:space="preserve">Customer: Meridian Group</w:t>
      </w:r>
      <w:r>
        <w:br/>
      </w:r>
      <w:r>
        <w:t xml:space="preserve">Supplier: Greyhaven Identity Services Ltd.</w:t>
      </w:r>
      <w:r>
        <w:br/>
      </w:r>
      <w:r>
        <w:t xml:space="preserve">Meridian owner: Leo Singh, Project Manager</w:t>
      </w:r>
      <w:r>
        <w:br/>
      </w:r>
      <w:r>
        <w:t xml:space="preserve">Effective date: 2026-01-05</w:t>
      </w:r>
      <w:r>
        <w:br/>
      </w:r>
      <w:r>
        <w:t xml:space="preserve">Planned completion: 2026-09-30</w:t>
      </w:r>
      <w:r>
        <w:br/>
      </w:r>
      <w:r>
        <w:t xml:space="preserve">Commercial model: Blended capacity with capped milestones</w:t>
      </w:r>
      <w:r>
        <w:br/>
      </w:r>
      <w:r>
        <w:t xml:space="preserve">Not-to-exceed value: USD 690,000</w:t>
      </w:r>
      <w:r>
        <w:br/>
      </w:r>
      <w:r>
        <w:t xml:space="preserve">Status: Active</w:t>
      </w:r>
    </w:p>
    <w:bookmarkStart w:id="9" w:name="background-and-objectives"/>
    <w:p>
      <w:pPr>
        <w:pStyle w:val="Heading2"/>
      </w:pPr>
      <w:r>
        <w:t xml:space="preserve">1. Background and objectives</w:t>
      </w:r>
    </w:p>
    <w:p>
      <w:pPr>
        <w:pStyle w:val="FirstParagraph"/>
      </w:pPr>
      <w:r>
        <w:t xml:space="preserve">Meridian is modernizing authentication, provisioning, role governance and privileged access across applications with uneven legacy capability. The Supplier will provide migration planning, role analysis, integration, test and operational-readiness services for Harbor.</w:t>
      </w:r>
    </w:p>
    <w:p>
      <w:pPr>
        <w:pStyle w:val="BodyText"/>
      </w:pPr>
      <w:r>
        <w:t xml:space="preserve">Applications migrate in waves based on criticality and provisioning readiness. Role-based access is the baseline with governed exceptions. Harbor provides an interim SSO bridge for the Atlas pilot. Legacy applications without SCIM are not forced into phase 1, and privileged accounts require step-up controls before migration.</w:t>
      </w:r>
    </w:p>
    <w:bookmarkEnd w:id="9"/>
    <w:bookmarkStart w:id="10" w:name="in-scope-services"/>
    <w:p>
      <w:pPr>
        <w:pStyle w:val="Heading2"/>
      </w:pPr>
      <w:r>
        <w:t xml:space="preserve">2. In-scope services</w:t>
      </w:r>
    </w:p>
    <w:p>
      <w:pPr>
        <w:pStyle w:val="FirstParagraph"/>
      </w:pPr>
      <w:r>
        <w:t xml:space="preserve">The Supplier will inventory applications, identities, provisioning methods, criticality, owners and recovery needs. It will define readiness evidence and migration waves, design role mappings, document exceptions and implement supported SSO and provisioning integrations. Non-SCIM applications will receive an explicit defer, manual-control or later-wave recommendation rather than a false automated status.</w:t>
      </w:r>
    </w:p>
    <w:p>
      <w:pPr>
        <w:pStyle w:val="BodyText"/>
      </w:pPr>
      <w:r>
        <w:t xml:space="preserve">The Supplier will configure and test the Atlas interim SSO bridge within Harbor’s control boundary. It will support separate-account privileged administration, step-up authentication, emergency-access procedures, logging and recertification evidence. Nova account-team authorization mapping impacts will be documented when Harbor role changes affect them.</w:t>
      </w:r>
    </w:p>
    <w:bookmarkEnd w:id="10"/>
    <w:bookmarkStart w:id="11" w:name="deliverables-and-milestones"/>
    <w:p>
      <w:pPr>
        <w:pStyle w:val="Heading2"/>
      </w:pPr>
      <w:r>
        <w:t xml:space="preserve">3. Deliverables and milestones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Deliverable</w:t>
            </w:r>
          </w:p>
        </w:tc>
        <w:tc>
          <w:tcPr/>
          <w:p>
            <w:pPr>
              <w:pStyle w:val="Compact"/>
              <w:jc w:val="right"/>
            </w:pPr>
            <w:r>
              <w:t xml:space="preserve">Target</w:t>
            </w:r>
          </w:p>
        </w:tc>
        <w:tc>
          <w:tcPr/>
          <w:p>
            <w:pPr>
              <w:pStyle w:val="Compact"/>
            </w:pPr>
            <w:r>
              <w:t xml:space="preserve">Acceptance basis</w:t>
            </w:r>
          </w:p>
        </w:tc>
      </w:tr>
      <w:tr>
        <w:tc>
          <w:tcPr/>
          <w:p>
            <w:pPr>
              <w:pStyle w:val="Compact"/>
            </w:pPr>
            <w:r>
              <w:t xml:space="preserve">D1</w:t>
            </w:r>
          </w:p>
        </w:tc>
        <w:tc>
          <w:tcPr/>
          <w:p>
            <w:pPr>
              <w:pStyle w:val="Compact"/>
            </w:pPr>
            <w:r>
              <w:t xml:space="preserve">Application and identity readiness inventory</w:t>
            </w:r>
          </w:p>
        </w:tc>
        <w:tc>
          <w:tcPr/>
          <w:p>
            <w:pPr>
              <w:pStyle w:val="Compact"/>
              <w:jc w:val="right"/>
            </w:pPr>
            <w:r>
              <w:t xml:space="preserve">2026-02-06</w:t>
            </w:r>
          </w:p>
        </w:tc>
        <w:tc>
          <w:tcPr/>
          <w:p>
            <w:pPr>
              <w:pStyle w:val="Compact"/>
            </w:pPr>
            <w:r>
              <w:t xml:space="preserve">Owners, criticality, role state, SSO/SCIM capability, privileged access and cleanup needs are complete.</w:t>
            </w:r>
          </w:p>
        </w:tc>
      </w:tr>
      <w:tr>
        <w:tc>
          <w:tcPr/>
          <w:p>
            <w:pPr>
              <w:pStyle w:val="Compact"/>
            </w:pPr>
            <w:r>
              <w:t xml:space="preserve">D2</w:t>
            </w:r>
          </w:p>
        </w:tc>
        <w:tc>
          <w:tcPr/>
          <w:p>
            <w:pPr>
              <w:pStyle w:val="Compact"/>
            </w:pPr>
            <w:r>
              <w:t xml:space="preserve">Wave plan and RBAC baseline</w:t>
            </w:r>
          </w:p>
        </w:tc>
        <w:tc>
          <w:tcPr/>
          <w:p>
            <w:pPr>
              <w:pStyle w:val="Compact"/>
              <w:jc w:val="right"/>
            </w:pPr>
            <w:r>
              <w:t xml:space="preserve">2026-03-13</w:t>
            </w:r>
          </w:p>
        </w:tc>
        <w:tc>
          <w:tcPr/>
          <w:p>
            <w:pPr>
              <w:pStyle w:val="Compact"/>
            </w:pPr>
            <w:r>
              <w:t xml:space="preserve">Wave criteria, role mappings, exceptions, recertification and recovery paths are approved.</w:t>
            </w:r>
          </w:p>
        </w:tc>
      </w:tr>
      <w:tr>
        <w:tc>
          <w:tcPr/>
          <w:p>
            <w:pPr>
              <w:pStyle w:val="Compact"/>
            </w:pPr>
            <w:r>
              <w:t xml:space="preserve">D3</w:t>
            </w:r>
          </w:p>
        </w:tc>
        <w:tc>
          <w:tcPr/>
          <w:p>
            <w:pPr>
              <w:pStyle w:val="Compact"/>
            </w:pPr>
            <w:r>
              <w:t xml:space="preserve">Atlas interim SSO bridge</w:t>
            </w:r>
          </w:p>
        </w:tc>
        <w:tc>
          <w:tcPr/>
          <w:p>
            <w:pPr>
              <w:pStyle w:val="Compact"/>
              <w:jc w:val="right"/>
            </w:pPr>
            <w:r>
              <w:t xml:space="preserve">2026-04-03</w:t>
            </w:r>
          </w:p>
        </w:tc>
        <w:tc>
          <w:tcPr/>
          <w:p>
            <w:pPr>
              <w:pStyle w:val="Compact"/>
            </w:pPr>
            <w:r>
              <w:t xml:space="preserve">Authentication, monitoring, support, incident recovery and retirement conditions pass acceptance.</w:t>
            </w:r>
          </w:p>
        </w:tc>
      </w:tr>
      <w:tr>
        <w:tc>
          <w:tcPr/>
          <w:p>
            <w:pPr>
              <w:pStyle w:val="Compact"/>
            </w:pPr>
            <w:r>
              <w:t xml:space="preserve">D4</w:t>
            </w:r>
          </w:p>
        </w:tc>
        <w:tc>
          <w:tcPr/>
          <w:p>
            <w:pPr>
              <w:pStyle w:val="Compact"/>
            </w:pPr>
            <w:r>
              <w:t xml:space="preserve">Phase-one migrations and privileged controls</w:t>
            </w:r>
          </w:p>
        </w:tc>
        <w:tc>
          <w:tcPr/>
          <w:p>
            <w:pPr>
              <w:pStyle w:val="Compact"/>
              <w:jc w:val="right"/>
            </w:pPr>
            <w:r>
              <w:t xml:space="preserve">2026-06-26</w:t>
            </w:r>
          </w:p>
        </w:tc>
        <w:tc>
          <w:tcPr/>
          <w:p>
            <w:pPr>
              <w:pStyle w:val="Compact"/>
            </w:pPr>
            <w:r>
              <w:t xml:space="preserve">Approved applications migrate with step-up, audit, provisioning and rollback evidence.</w:t>
            </w:r>
          </w:p>
        </w:tc>
      </w:tr>
      <w:tr>
        <w:tc>
          <w:tcPr/>
          <w:p>
            <w:pPr>
              <w:pStyle w:val="Compact"/>
            </w:pPr>
            <w:r>
              <w:t xml:space="preserve">D5</w:t>
            </w:r>
          </w:p>
        </w:tc>
        <w:tc>
          <w:tcPr/>
          <w:p>
            <w:pPr>
              <w:pStyle w:val="Compact"/>
            </w:pPr>
            <w:r>
              <w:t xml:space="preserve">Later-wave plan and operational transition</w:t>
            </w:r>
          </w:p>
        </w:tc>
        <w:tc>
          <w:tcPr/>
          <w:p>
            <w:pPr>
              <w:pStyle w:val="Compact"/>
              <w:jc w:val="right"/>
            </w:pPr>
            <w:r>
              <w:t xml:space="preserve">2026-09-11</w:t>
            </w:r>
          </w:p>
        </w:tc>
        <w:tc>
          <w:tcPr/>
          <w:p>
            <w:pPr>
              <w:pStyle w:val="Compact"/>
            </w:pPr>
            <w:r>
              <w:t xml:space="preserve">Deferred legacy apps, SCIM gaps, directory cleanup, runbooks and ownership are accepted.</w:t>
            </w:r>
          </w:p>
        </w:tc>
      </w:tr>
    </w:tbl>
    <w:p>
      <w:pPr>
        <w:pStyle w:val="BodyText"/>
      </w:pPr>
      <w:r>
        <w:t xml:space="preserve">Application acceptance is individual. Completion of one integration does not waive readiness evidence for another. A successful login alone is insufficient: role accuracy, provisioning, revocation, logging, support and recovery must also pass.</w:t>
      </w:r>
    </w:p>
    <w:bookmarkEnd w:id="11"/>
    <w:bookmarkStart w:id="12" w:name="responsibilities"/>
    <w:p>
      <w:pPr>
        <w:pStyle w:val="Heading2"/>
      </w:pPr>
      <w:r>
        <w:t xml:space="preserve">4. Responsibilities</w:t>
      </w:r>
    </w:p>
    <w:p>
      <w:pPr>
        <w:pStyle w:val="FirstParagraph"/>
      </w:pPr>
      <w:r>
        <w:t xml:space="preserve">The Supplier provides identity architecture, migration engineering, role analysis, test support and documentation. It records discovered over-provisioning, incompatible duties and manual gaps. It does not approve its own security exceptions or make employment-status decisions.</w:t>
      </w:r>
    </w:p>
    <w:p>
      <w:pPr>
        <w:pStyle w:val="BodyText"/>
      </w:pPr>
      <w:r>
        <w:t xml:space="preserve">Meridian provides application owners, directory and HR lifecycle inputs, Security approval, Atlas and Nova dependency contacts, test users and production authorization. Meridian owns risk acceptance, role policy, privileged-access requirements and final wave decisions.</w:t>
      </w:r>
    </w:p>
    <w:bookmarkEnd w:id="12"/>
    <w:bookmarkStart w:id="13" w:name="assumptions-and-dependencies"/>
    <w:p>
      <w:pPr>
        <w:pStyle w:val="Heading2"/>
      </w:pPr>
      <w:r>
        <w:t xml:space="preserve">5. Assumptions and dependencies</w:t>
      </w:r>
    </w:p>
    <w:p>
      <w:pPr>
        <w:pStyle w:val="FirstParagraph"/>
      </w:pPr>
      <w:r>
        <w:t xml:space="preserve">Application owners will validate roles and participate in cutover. Directory cleanup has named Meridian owners. Atlas supplies pilot timing and test scenarios; Nova supplies authorization-mapping requirements. Emergency changes remain attributable and reviewed. A legacy constraint may change sequencing but does not silently weaken privileged controls.</w:t>
      </w:r>
    </w:p>
    <w:bookmarkEnd w:id="13"/>
    <w:bookmarkStart w:id="14" w:name="out-of-scope"/>
    <w:p>
      <w:pPr>
        <w:pStyle w:val="Heading2"/>
      </w:pPr>
      <w:r>
        <w:t xml:space="preserve">6. Out of scope</w:t>
      </w:r>
    </w:p>
    <w:p>
      <w:pPr>
        <w:pStyle w:val="FirstParagraph"/>
      </w:pPr>
      <w:r>
        <w:t xml:space="preserve">Forcing every application into phase 1, rewriting unsupported legacy applications, replacing HR as worker-lifecycle authority, permanent operation of the Atlas bridge, approving RBAC exceptions, migrating privileged identities without step-up and completing all directory remediation are excluded.</w:t>
      </w:r>
    </w:p>
    <w:bookmarkEnd w:id="14"/>
    <w:bookmarkStart w:id="15" w:name="security-and-audit"/>
    <w:p>
      <w:pPr>
        <w:pStyle w:val="Heading2"/>
      </w:pPr>
      <w:r>
        <w:t xml:space="preserve">7. Security and audit</w:t>
      </w:r>
    </w:p>
    <w:p>
      <w:pPr>
        <w:pStyle w:val="FirstParagraph"/>
      </w:pPr>
      <w:r>
        <w:t xml:space="preserve">Supplier access uses named standard and separate elevated identities. Credentials are stored in approved secrets systems. Migration tools, logs and exports remain within approved environments. Security incidents, unexpected privilege and failed revocation are reported immediately. Evidence must support individual attribution and the applicable retention schedule.</w:t>
      </w:r>
    </w:p>
    <w:bookmarkEnd w:id="15"/>
    <w:bookmarkStart w:id="16" w:name="commercial-and-change-control"/>
    <w:p>
      <w:pPr>
        <w:pStyle w:val="Heading2"/>
      </w:pPr>
      <w:r>
        <w:t xml:space="preserve">8. Commercial and change control</w:t>
      </w:r>
    </w:p>
    <w:p>
      <w:pPr>
        <w:pStyle w:val="FirstParagraph"/>
      </w:pPr>
      <w:r>
        <w:t xml:space="preserve">Charges use approved blended roles and may not exceed the cap without written change approval. Each milestone has a capped allocation and acceptance holdback. Application count alone does not establish scope equivalence; a change request considers criticality, integration method, role complexity, privileged access and recovery obligations.</w:t>
      </w:r>
    </w:p>
    <w:bookmarkEnd w:id="16"/>
    <w:bookmarkStart w:id="17" w:name="exit-and-transition"/>
    <w:p>
      <w:pPr>
        <w:pStyle w:val="Heading2"/>
      </w:pPr>
      <w:r>
        <w:t xml:space="preserve">9. Exit and transition</w:t>
      </w:r>
    </w:p>
    <w:p>
      <w:pPr>
        <w:pStyle w:val="FirstParagraph"/>
      </w:pPr>
      <w:r>
        <w:t xml:space="preserve">The Supplier will transfer wave plans, role mappings, exception records, integration configuration, test evidence, runbooks, deferred-application recommendations and open risks. Tooling access and privileged identities are removed. Meridian data is returned or deleted, and transition includes three operational workshops.</w:t>
      </w:r>
    </w:p>
    <w:bookmarkEnd w:id="17"/>
    <w:bookmarkEnd w:id="18"/>
    <w:sectPr w:rsidR="00FC693F" w:rsidRPr="0006063C" w:rsidSect="00034616">
      <w:pgSz w:h="15840" w:w="12240"/>
      <w:pgMar w:bottom="936" w:footer="720" w:gutter="0" w:header="720" w:left="1080" w:right="1080"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2026-08-21T19:50:10Z</dcterms:created>
  <dcterms:modified xsi:type="dcterms:W3CDTF">2026-08-21T19:50:10Z</dcterms:modified>
</cp:coreProperties>
</file>

<file path=docProps/custom.xml><?xml version="1.0" encoding="utf-8"?>
<Properties xmlns="http://schemas.openxmlformats.org/officeDocument/2006/custom-properties" xmlns:vt="http://schemas.openxmlformats.org/officeDocument/2006/docPropsVTypes"/>
</file>