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558c6d437780efd04c418171e8b39624f118af6"/>
    <w:p>
      <w:pPr>
        <w:pStyle w:val="Heading1"/>
      </w:pPr>
      <w:r>
        <w:t xml:space="preserve">Statement of Work: Nova Evidence-Backed Recommendation Pilot</w:t>
      </w:r>
    </w:p>
    <w:p>
      <w:pPr>
        <w:pStyle w:val="FirstParagraph"/>
      </w:pPr>
      <w:r>
        <w:t xml:space="preserve">SOW ID: MG-NOVA-SOW-001</w:t>
      </w:r>
      <w:r>
        <w:br/>
      </w:r>
      <w:r>
        <w:t xml:space="preserve">Customer: Meridian Group</w:t>
      </w:r>
      <w:r>
        <w:br/>
      </w:r>
      <w:r>
        <w:t xml:space="preserve">Supplier: Redwood Signal Systems Ltd.</w:t>
      </w:r>
      <w:r>
        <w:br/>
      </w:r>
      <w:r>
        <w:t xml:space="preserve">Meridian owner: Leah Mendes, Project Manager</w:t>
      </w:r>
      <w:r>
        <w:br/>
      </w:r>
      <w:r>
        <w:t xml:space="preserve">Effective date: 2026-02-01</w:t>
      </w:r>
      <w:r>
        <w:br/>
      </w:r>
      <w:r>
        <w:t xml:space="preserve">Planned completion: 2026-07-15</w:t>
      </w:r>
      <w:r>
        <w:br/>
      </w:r>
      <w:r>
        <w:t xml:space="preserve">Commercial model: Fixed fee with acceptance milestones</w:t>
      </w:r>
      <w:r>
        <w:br/>
      </w:r>
      <w:r>
        <w:t xml:space="preserve">Not-to-exceed value: USD 510,000</w:t>
      </w:r>
      <w:r>
        <w:br/>
      </w:r>
      <w:r>
        <w:t xml:space="preserve">Status: Active</w:t>
      </w:r>
    </w:p>
    <w:bookmarkStart w:id="9" w:name="background-and-objectives"/>
    <w:p>
      <w:pPr>
        <w:pStyle w:val="Heading2"/>
      </w:pPr>
      <w:r>
        <w:t xml:space="preserve">1. Background and objectives</w:t>
      </w:r>
    </w:p>
    <w:p>
      <w:pPr>
        <w:pStyle w:val="FirstParagraph"/>
      </w:pPr>
      <w:r>
        <w:t xml:space="preserve">Meridian is piloting evidence-backed opportunity recommendations for strategic account directors. The Supplier will deliver retrieval, recommendation, explanation, evaluation and pilot-support services while preserving CRM authority and source permissions.</w:t>
      </w:r>
    </w:p>
    <w:p>
      <w:pPr>
        <w:pStyle w:val="BodyText"/>
      </w:pPr>
      <w:r>
        <w:t xml:space="preserve">Nova recommends actions but cannot automatically change CRM opportunity stages. Every recommendation must cite CRM, meeting or account-plan evidence. The pilot is limited to strategic account directors, and Nova may surface only evidence already visible to the requesting account team. Expansion requires human-reviewed quality and hallucination thresholds.</w:t>
      </w:r>
    </w:p>
    <w:bookmarkEnd w:id="9"/>
    <w:bookmarkStart w:id="10" w:name="in-scope-services"/>
    <w:p>
      <w:pPr>
        <w:pStyle w:val="Heading2"/>
      </w:pPr>
      <w:r>
        <w:t xml:space="preserve">2. In-scope services</w:t>
      </w:r>
    </w:p>
    <w:p>
      <w:pPr>
        <w:pStyle w:val="FirstParagraph"/>
      </w:pPr>
      <w:r>
        <w:t xml:space="preserve">The Supplier will implement permission-aware retrieval across approved CRM, meeting and account-plan sources. Each recommendation will contain the proposed action, concise rationale, evidence references, source dates, account identity, confidence context and known limitations. Users can accept, reject, edit or defer a recommendation, and their disposition is retained without rewriting source evidence.</w:t>
      </w:r>
    </w:p>
    <w:p>
      <w:pPr>
        <w:pStyle w:val="BodyText"/>
      </w:pPr>
      <w:r>
        <w:t xml:space="preserve">The design will separate Atlas-related customer/account matching from Harbor authorization mappings. Ambiguous identity will block or qualify a recommendation. Missing authorization will deny evidence without leaking its existence. Integration credentials will not have permission to mutate CRM opportunity stages.</w:t>
      </w:r>
    </w:p>
    <w:bookmarkEnd w:id="10"/>
    <w:bookmarkStart w:id="11" w:name="deliverables-and-milestones"/>
    <w:p>
      <w:pPr>
        <w:pStyle w:val="Heading2"/>
      </w:pPr>
      <w:r>
        <w:t xml:space="preserve">3. Deliverables and milestones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ID</w:t>
            </w:r>
          </w:p>
        </w:tc>
        <w:tc>
          <w:tcPr/>
          <w:p>
            <w:pPr>
              <w:pStyle w:val="Compact"/>
            </w:pPr>
            <w:r>
              <w:t xml:space="preserve">Deliverable</w:t>
            </w:r>
          </w:p>
        </w:tc>
        <w:tc>
          <w:tcPr/>
          <w:p>
            <w:pPr>
              <w:pStyle w:val="Compact"/>
              <w:jc w:val="right"/>
            </w:pPr>
            <w:r>
              <w:t xml:space="preserve">Target</w:t>
            </w:r>
          </w:p>
        </w:tc>
        <w:tc>
          <w:tcPr/>
          <w:p>
            <w:pPr>
              <w:pStyle w:val="Compact"/>
            </w:pPr>
            <w:r>
              <w:t xml:space="preserve">Acceptance basis</w:t>
            </w:r>
          </w:p>
        </w:tc>
      </w:tr>
      <w:tr>
        <w:tc>
          <w:tcPr/>
          <w:p>
            <w:pPr>
              <w:pStyle w:val="Compact"/>
            </w:pPr>
            <w:r>
              <w:t xml:space="preserve">D1</w:t>
            </w:r>
          </w:p>
        </w:tc>
        <w:tc>
          <w:tcPr/>
          <w:p>
            <w:pPr>
              <w:pStyle w:val="Compact"/>
            </w:pPr>
            <w:r>
              <w:t xml:space="preserve">Evidence inventory and permission model</w:t>
            </w:r>
          </w:p>
        </w:tc>
        <w:tc>
          <w:tcPr/>
          <w:p>
            <w:pPr>
              <w:pStyle w:val="Compact"/>
              <w:jc w:val="right"/>
            </w:pPr>
            <w:r>
              <w:t xml:space="preserve">2026-02-20</w:t>
            </w:r>
          </w:p>
        </w:tc>
        <w:tc>
          <w:tcPr/>
          <w:p>
            <w:pPr>
              <w:pStyle w:val="Compact"/>
            </w:pPr>
            <w:r>
              <w:t xml:space="preserve">Approved sources, identity keys, authorization checks, provenance and excluded data are documented.</w:t>
            </w:r>
          </w:p>
        </w:tc>
      </w:tr>
      <w:tr>
        <w:tc>
          <w:tcPr/>
          <w:p>
            <w:pPr>
              <w:pStyle w:val="Compact"/>
            </w:pPr>
            <w:r>
              <w:t xml:space="preserve">D2</w:t>
            </w:r>
          </w:p>
        </w:tc>
        <w:tc>
          <w:tcPr/>
          <w:p>
            <w:pPr>
              <w:pStyle w:val="Compact"/>
            </w:pPr>
            <w:r>
              <w:t xml:space="preserve">Recommendation and explanation design</w:t>
            </w:r>
          </w:p>
        </w:tc>
        <w:tc>
          <w:tcPr/>
          <w:p>
            <w:pPr>
              <w:pStyle w:val="Compact"/>
              <w:jc w:val="right"/>
            </w:pPr>
            <w:r>
              <w:t xml:space="preserve">2026-03-20</w:t>
            </w:r>
          </w:p>
        </w:tc>
        <w:tc>
          <w:tcPr/>
          <w:p>
            <w:pPr>
              <w:pStyle w:val="Compact"/>
            </w:pPr>
            <w:r>
              <w:t xml:space="preserve">Output schema, citations, human disposition, CRM write boundary and failure behavior are approved.</w:t>
            </w:r>
          </w:p>
        </w:tc>
      </w:tr>
      <w:tr>
        <w:tc>
          <w:tcPr/>
          <w:p>
            <w:pPr>
              <w:pStyle w:val="Compact"/>
            </w:pPr>
            <w:r>
              <w:t xml:space="preserve">D3</w:t>
            </w:r>
          </w:p>
        </w:tc>
        <w:tc>
          <w:tcPr/>
          <w:p>
            <w:pPr>
              <w:pStyle w:val="Compact"/>
            </w:pPr>
            <w:r>
              <w:t xml:space="preserve">Strategic-account pilot build</w:t>
            </w:r>
          </w:p>
        </w:tc>
        <w:tc>
          <w:tcPr/>
          <w:p>
            <w:pPr>
              <w:pStyle w:val="Compact"/>
              <w:jc w:val="right"/>
            </w:pPr>
            <w:r>
              <w:t xml:space="preserve">2026-05-01</w:t>
            </w:r>
          </w:p>
        </w:tc>
        <w:tc>
          <w:tcPr/>
          <w:p>
            <w:pPr>
              <w:pStyle w:val="Compact"/>
            </w:pPr>
            <w:r>
              <w:t xml:space="preserve">Authorized directors receive evidence-backed recommendations without permission leakage or CRM stage mutation.</w:t>
            </w:r>
          </w:p>
        </w:tc>
      </w:tr>
      <w:tr>
        <w:tc>
          <w:tcPr/>
          <w:p>
            <w:pPr>
              <w:pStyle w:val="Compact"/>
            </w:pPr>
            <w:r>
              <w:t xml:space="preserve">D4</w:t>
            </w:r>
          </w:p>
        </w:tc>
        <w:tc>
          <w:tcPr/>
          <w:p>
            <w:pPr>
              <w:pStyle w:val="Compact"/>
            </w:pPr>
            <w:r>
              <w:t xml:space="preserve">Human-reviewed evaluation report</w:t>
            </w:r>
          </w:p>
        </w:tc>
        <w:tc>
          <w:tcPr/>
          <w:p>
            <w:pPr>
              <w:pStyle w:val="Compact"/>
              <w:jc w:val="right"/>
            </w:pPr>
            <w:r>
              <w:t xml:space="preserve">2026-06-12</w:t>
            </w:r>
          </w:p>
        </w:tc>
        <w:tc>
          <w:tcPr/>
          <w:p>
            <w:pPr>
              <w:pStyle w:val="Compact"/>
            </w:pPr>
            <w:r>
              <w:t xml:space="preserve">Quality, hallucination, recent-meeting bias, permission and evidence thresholds are measured on approved cases.</w:t>
            </w:r>
          </w:p>
        </w:tc>
      </w:tr>
      <w:tr>
        <w:tc>
          <w:tcPr/>
          <w:p>
            <w:pPr>
              <w:pStyle w:val="Compact"/>
            </w:pPr>
            <w:r>
              <w:t xml:space="preserve">D5</w:t>
            </w:r>
          </w:p>
        </w:tc>
        <w:tc>
          <w:tcPr/>
          <w:p>
            <w:pPr>
              <w:pStyle w:val="Compact"/>
            </w:pPr>
            <w:r>
              <w:t xml:space="preserve">Pilot closeout and expansion decision pack</w:t>
            </w:r>
          </w:p>
        </w:tc>
        <w:tc>
          <w:tcPr/>
          <w:p>
            <w:pPr>
              <w:pStyle w:val="Compact"/>
              <w:jc w:val="right"/>
            </w:pPr>
            <w:r>
              <w:t xml:space="preserve">2026-07-01</w:t>
            </w:r>
          </w:p>
        </w:tc>
        <w:tc>
          <w:tcPr/>
          <w:p>
            <w:pPr>
              <w:pStyle w:val="Compact"/>
            </w:pPr>
            <w:r>
              <w:t xml:space="preserve">Results, limitations, runbooks, feedback and an evidence-based expansion recommendation are delivered.</w:t>
            </w:r>
          </w:p>
        </w:tc>
      </w:tr>
    </w:tbl>
    <w:p>
      <w:pPr>
        <w:pStyle w:val="BodyText"/>
      </w:pPr>
      <w:r>
        <w:t xml:space="preserve">Meridian evaluates D4 using a human-reviewed reference set. Aggregate model metrics alone do not establish acceptance. A response that cites inaccessible, fabricated or incorrectly matched evidence is a material defect even when its recommendation appears plausible.</w:t>
      </w:r>
    </w:p>
    <w:bookmarkEnd w:id="11"/>
    <w:bookmarkStart w:id="12" w:name="responsibilities"/>
    <w:p>
      <w:pPr>
        <w:pStyle w:val="Heading2"/>
      </w:pPr>
      <w:r>
        <w:t xml:space="preserve">4. Responsibilities</w:t>
      </w:r>
    </w:p>
    <w:p>
      <w:pPr>
        <w:pStyle w:val="FirstParagraph"/>
      </w:pPr>
      <w:r>
        <w:t xml:space="preserve">The Supplier provides retrieval engineering, applied evaluation, integration support, test automation and documentation. It will maintain traceability from recommendation to evidence and evaluation case. Supplier personnel may not use Meridian content to train external models or services.</w:t>
      </w:r>
    </w:p>
    <w:p>
      <w:pPr>
        <w:pStyle w:val="BodyText"/>
      </w:pPr>
      <w:r>
        <w:t xml:space="preserve">Meridian provides approved source access, strategic-account participants, CRM and Atlas identity owners, Harbor authorization SMEs and accountable commercial reviewers. Meridian owns final access decisions, CRM changes, quality thresholds and expansion approval.</w:t>
      </w:r>
    </w:p>
    <w:bookmarkEnd w:id="12"/>
    <w:bookmarkStart w:id="13" w:name="assumptions-and-dependencies"/>
    <w:p>
      <w:pPr>
        <w:pStyle w:val="Heading2"/>
      </w:pPr>
      <w:r>
        <w:t xml:space="preserve">5. Assumptions and dependencies</w:t>
      </w:r>
    </w:p>
    <w:p>
      <w:pPr>
        <w:pStyle w:val="FirstParagraph"/>
      </w:pPr>
      <w:r>
        <w:t xml:space="preserve">CRM records contain stable account identifiers or an approved ambiguity path. Harbor mappings are available for the pilot cohort. Approved meeting evidence is distinguishable from drafts or private notes. Strategic account directors will complete scheduled evaluation and feedback sessions. Dependency delays trigger qualification or resequencing, not silent permission bypass.</w:t>
      </w:r>
    </w:p>
    <w:bookmarkEnd w:id="13"/>
    <w:bookmarkStart w:id="14" w:name="out-of-scope"/>
    <w:p>
      <w:pPr>
        <w:pStyle w:val="Heading2"/>
      </w:pPr>
      <w:r>
        <w:t xml:space="preserve">6. Out of scope</w:t>
      </w:r>
    </w:p>
    <w:p>
      <w:pPr>
        <w:pStyle w:val="FirstParagraph"/>
      </w:pPr>
      <w:r>
        <w:t xml:space="preserve">Autonomous CRM stage updates, access for all sales employees, customer-facing recommendations, use of unapproved transcripts, unrestricted model training, replacement of CRM, repair of all Atlas identity issues and redesign of Harbor authorization are excluded.</w:t>
      </w:r>
    </w:p>
    <w:bookmarkEnd w:id="14"/>
    <w:bookmarkStart w:id="15" w:name="security-privacy-and-responsible-ai"/>
    <w:p>
      <w:pPr>
        <w:pStyle w:val="Heading2"/>
      </w:pPr>
      <w:r>
        <w:t xml:space="preserve">7. Security, privacy and responsible AI</w:t>
      </w:r>
    </w:p>
    <w:p>
      <w:pPr>
        <w:pStyle w:val="FirstParagraph"/>
      </w:pPr>
      <w:r>
        <w:t xml:space="preserve">Retrieval enforces current authorization at request time and applies to snippets, explanations, cached outputs and exports. The Supplier will use approved AI services, minimize prompts and retain evaluation provenance. Human review is required before recommendations drive material commercial action. Suspected leakage or fabricated evidence is reported immediately.</w:t>
      </w:r>
    </w:p>
    <w:bookmarkEnd w:id="15"/>
    <w:bookmarkStart w:id="16" w:name="commercial-and-change-control"/>
    <w:p>
      <w:pPr>
        <w:pStyle w:val="Heading2"/>
      </w:pPr>
      <w:r>
        <w:t xml:space="preserve">8. Commercial and change control</w:t>
      </w:r>
    </w:p>
    <w:p>
      <w:pPr>
        <w:pStyle w:val="FirstParagraph"/>
      </w:pPr>
      <w:r>
        <w:t xml:space="preserve">Fees are allocated across the five milestones, with fifteen percent tied to D4 and D5 acceptance. Changes identify affected sources, users, authorization, evaluation sets, schedule and price. Increasing pilot users or adding a new evidence source is a scoped change and cannot be authorized informally by a project participant.</w:t>
      </w:r>
    </w:p>
    <w:bookmarkEnd w:id="16"/>
    <w:bookmarkStart w:id="17" w:name="exit-and-transition"/>
    <w:p>
      <w:pPr>
        <w:pStyle w:val="Heading2"/>
      </w:pPr>
      <w:r>
        <w:t xml:space="preserve">9. Exit and transition</w:t>
      </w:r>
    </w:p>
    <w:p>
      <w:pPr>
        <w:pStyle w:val="FirstParagraph"/>
      </w:pPr>
      <w:r>
        <w:t xml:space="preserve">The Supplier will transfer retrieval configuration, prompt and evaluation assets, test cases, provenance mappings, known limitations and operational guidance. Meridian data and derived indexes are returned or securely deleted. Supplier access is removed and up to three knowledge-transfer sessions are included.</w:t>
      </w:r>
    </w:p>
    <w:bookmarkEnd w:id="17"/>
    <w:bookmarkEnd w:id="18"/>
    <w:sectPr w:rsidR="00FC693F" w:rsidRPr="0006063C" w:rsidSect="00034616">
      <w:pgSz w:h="15840" w:w="12240"/>
      <w:pgMar w:bottom="936" w:footer="720" w:gutter="0" w:header="72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2026-08-21T19:50:10Z</dcterms:created>
  <dcterms:modified xsi:type="dcterms:W3CDTF">2026-08-21T19:50:10Z</dcterms:modified>
</cp:coreProperties>
</file>

<file path=docProps/custom.xml><?xml version="1.0" encoding="utf-8"?>
<Properties xmlns="http://schemas.openxmlformats.org/officeDocument/2006/custom-properties" xmlns:vt="http://schemas.openxmlformats.org/officeDocument/2006/docPropsVTypes"/>
</file>