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0e977829af6c2c1b7b5a3143b4ab4293193d2a8"/>
    <w:p>
      <w:pPr>
        <w:pStyle w:val="Heading1"/>
      </w:pPr>
      <w:r>
        <w:t xml:space="preserve">Statement of Work: Orbit Rolling Forecast and Scenario Planning</w:t>
      </w:r>
    </w:p>
    <w:p>
      <w:pPr>
        <w:pStyle w:val="FirstParagraph"/>
      </w:pPr>
      <w:r>
        <w:t xml:space="preserve">SOW ID: MG-ORBIT-SOW-001</w:t>
      </w:r>
      <w:r>
        <w:br/>
      </w:r>
      <w:r>
        <w:t xml:space="preserve">Customer: Meridian Group</w:t>
      </w:r>
      <w:r>
        <w:br/>
      </w:r>
      <w:r>
        <w:t xml:space="preserve">Supplier: Blue Cedar Finance Systems Ltd.</w:t>
      </w:r>
      <w:r>
        <w:br/>
      </w:r>
      <w:r>
        <w:t xml:space="preserve">Meridian owner: Omar White, Project Manager</w:t>
      </w:r>
      <w:r>
        <w:br/>
      </w:r>
      <w:r>
        <w:t xml:space="preserve">Effective date: 2026-01-15</w:t>
      </w:r>
      <w:r>
        <w:br/>
      </w:r>
      <w:r>
        <w:t xml:space="preserve">Planned completion: 2026-08-31</w:t>
      </w:r>
      <w:r>
        <w:br/>
      </w:r>
      <w:r>
        <w:t xml:space="preserve">Commercial model: Fixed fee plus approved expenses</w:t>
      </w:r>
      <w:r>
        <w:br/>
      </w:r>
      <w:r>
        <w:t xml:space="preserve">Not-to-exceed value: USD 455,000</w:t>
      </w:r>
      <w:r>
        <w:br/>
      </w:r>
      <w:r>
        <w:t xml:space="preserve">Status: Active</w:t>
      </w:r>
    </w:p>
    <w:bookmarkStart w:id="9" w:name="background-and-objectives"/>
    <w:p>
      <w:pPr>
        <w:pStyle w:val="Heading2"/>
      </w:pPr>
      <w:r>
        <w:t xml:space="preserve">1. Background and objectives</w:t>
      </w:r>
    </w:p>
    <w:p>
      <w:pPr>
        <w:pStyle w:val="FirstParagraph"/>
      </w:pPr>
      <w:r>
        <w:t xml:space="preserve">Meridian is replacing fragmented quarterly planning spreadsheets with monthly rolling forecasts and governed scenario planning. The Supplier will provide process design, ERP integration, model configuration, workflow, test, training and transition services for Orbit.</w:t>
      </w:r>
    </w:p>
    <w:p>
      <w:pPr>
        <w:pStyle w:val="BodyText"/>
      </w:pPr>
      <w:r>
        <w:t xml:space="preserve">ERP actuals remain authoritative and manual spreadsheet adjustments are exceptions. AI may draft variance narratives but cannot change forecasts. Scenario planning is phase 1 for finance leadership and phase 2 for broader business units. Orbit shares analytical-platform compute and batch windows with Pulse.</w:t>
      </w:r>
    </w:p>
    <w:bookmarkEnd w:id="9"/>
    <w:bookmarkStart w:id="10" w:name="in-scope-services"/>
    <w:p>
      <w:pPr>
        <w:pStyle w:val="Heading2"/>
      </w:pPr>
      <w:r>
        <w:t xml:space="preserve">2. In-scope services</w:t>
      </w:r>
    </w:p>
    <w:p>
      <w:pPr>
        <w:pStyle w:val="FirstParagraph"/>
      </w:pPr>
      <w:r>
        <w:t xml:space="preserve">The Supplier will configure monthly forecast versions, assumption ownership, workflow, scenario comparison and an audit trail for changes. ERP actuals will be imported with source period, entity, account, currency and correction lineage. Manual adjustments require owner, reason, scope, effective period and approval; they cannot overwrite the authoritative actual without trace.</w:t>
      </w:r>
    </w:p>
    <w:p>
      <w:pPr>
        <w:pStyle w:val="BodyText"/>
      </w:pPr>
      <w:r>
        <w:t xml:space="preserve">The Supplier will implement finance-leadership scenario planning and controlled AI-assisted variance narrative drafts. Drafts will show the underlying comparison basis and remain distinguishable from approved finance commentary. Users must review and approve or reject a narrative before business use.</w:t>
      </w:r>
    </w:p>
    <w:bookmarkEnd w:id="10"/>
    <w:bookmarkStart w:id="11" w:name="deliverables-and-milestones"/>
    <w:p>
      <w:pPr>
        <w:pStyle w:val="Heading2"/>
      </w:pPr>
      <w:r>
        <w:t xml:space="preserve">3. Deliverables and milestones</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ID</w:t>
            </w:r>
          </w:p>
        </w:tc>
        <w:tc>
          <w:tcPr/>
          <w:p>
            <w:pPr>
              <w:pStyle w:val="Compact"/>
            </w:pPr>
            <w:r>
              <w:t xml:space="preserve">Deliverable</w:t>
            </w:r>
          </w:p>
        </w:tc>
        <w:tc>
          <w:tcPr/>
          <w:p>
            <w:pPr>
              <w:pStyle w:val="Compact"/>
              <w:jc w:val="right"/>
            </w:pPr>
            <w:r>
              <w:t xml:space="preserve">Target</w:t>
            </w:r>
          </w:p>
        </w:tc>
        <w:tc>
          <w:tcPr/>
          <w:p>
            <w:pPr>
              <w:pStyle w:val="Compact"/>
            </w:pPr>
            <w:r>
              <w:t xml:space="preserve">Acceptance basis</w:t>
            </w:r>
          </w:p>
        </w:tc>
      </w:tr>
      <w:tr>
        <w:tc>
          <w:tcPr/>
          <w:p>
            <w:pPr>
              <w:pStyle w:val="Compact"/>
            </w:pPr>
            <w:r>
              <w:t xml:space="preserve">D1</w:t>
            </w:r>
          </w:p>
        </w:tc>
        <w:tc>
          <w:tcPr/>
          <w:p>
            <w:pPr>
              <w:pStyle w:val="Compact"/>
            </w:pPr>
            <w:r>
              <w:t xml:space="preserve">Planning process and data baseline</w:t>
            </w:r>
          </w:p>
        </w:tc>
        <w:tc>
          <w:tcPr/>
          <w:p>
            <w:pPr>
              <w:pStyle w:val="Compact"/>
              <w:jc w:val="right"/>
            </w:pPr>
            <w:r>
              <w:t xml:space="preserve">2026-02-13</w:t>
            </w:r>
          </w:p>
        </w:tc>
        <w:tc>
          <w:tcPr/>
          <w:p>
            <w:pPr>
              <w:pStyle w:val="Compact"/>
            </w:pPr>
            <w:r>
              <w:t xml:space="preserve">Forecast cadence, ERP sources, entities, templates, adjustments and governance owners are approved.</w:t>
            </w:r>
          </w:p>
        </w:tc>
      </w:tr>
      <w:tr>
        <w:tc>
          <w:tcPr/>
          <w:p>
            <w:pPr>
              <w:pStyle w:val="Compact"/>
            </w:pPr>
            <w:r>
              <w:t xml:space="preserve">D2</w:t>
            </w:r>
          </w:p>
        </w:tc>
        <w:tc>
          <w:tcPr/>
          <w:p>
            <w:pPr>
              <w:pStyle w:val="Compact"/>
            </w:pPr>
            <w:r>
              <w:t xml:space="preserve">Solution design and shared-platform schedule</w:t>
            </w:r>
          </w:p>
        </w:tc>
        <w:tc>
          <w:tcPr/>
          <w:p>
            <w:pPr>
              <w:pStyle w:val="Compact"/>
              <w:jc w:val="right"/>
            </w:pPr>
            <w:r>
              <w:t xml:space="preserve">2026-03-13</w:t>
            </w:r>
          </w:p>
        </w:tc>
        <w:tc>
          <w:tcPr/>
          <w:p>
            <w:pPr>
              <w:pStyle w:val="Compact"/>
            </w:pPr>
            <w:r>
              <w:t xml:space="preserve">Data lineage, versioning, workflow, Pulse capacity coordination and recovery behavior are complete.</w:t>
            </w:r>
          </w:p>
        </w:tc>
      </w:tr>
      <w:tr>
        <w:tc>
          <w:tcPr/>
          <w:p>
            <w:pPr>
              <w:pStyle w:val="Compact"/>
            </w:pPr>
            <w:r>
              <w:t xml:space="preserve">D3</w:t>
            </w:r>
          </w:p>
        </w:tc>
        <w:tc>
          <w:tcPr/>
          <w:p>
            <w:pPr>
              <w:pStyle w:val="Compact"/>
            </w:pPr>
            <w:r>
              <w:t xml:space="preserve">Monthly forecast and leadership scenarios</w:t>
            </w:r>
          </w:p>
        </w:tc>
        <w:tc>
          <w:tcPr/>
          <w:p>
            <w:pPr>
              <w:pStyle w:val="Compact"/>
              <w:jc w:val="right"/>
            </w:pPr>
            <w:r>
              <w:t xml:space="preserve">2026-05-08</w:t>
            </w:r>
          </w:p>
        </w:tc>
        <w:tc>
          <w:tcPr/>
          <w:p>
            <w:pPr>
              <w:pStyle w:val="Compact"/>
            </w:pPr>
            <w:r>
              <w:t xml:space="preserve">Finance leadership can create, compare, approve and retain governed forecast scenarios.</w:t>
            </w:r>
          </w:p>
        </w:tc>
      </w:tr>
      <w:tr>
        <w:tc>
          <w:tcPr/>
          <w:p>
            <w:pPr>
              <w:pStyle w:val="Compact"/>
            </w:pPr>
            <w:r>
              <w:t xml:space="preserve">D4</w:t>
            </w:r>
          </w:p>
        </w:tc>
        <w:tc>
          <w:tcPr/>
          <w:p>
            <w:pPr>
              <w:pStyle w:val="Compact"/>
            </w:pPr>
            <w:r>
              <w:t xml:space="preserve">Variance narrative and acceptance package</w:t>
            </w:r>
          </w:p>
        </w:tc>
        <w:tc>
          <w:tcPr/>
          <w:p>
            <w:pPr>
              <w:pStyle w:val="Compact"/>
              <w:jc w:val="right"/>
            </w:pPr>
            <w:r>
              <w:t xml:space="preserve">2026-06-19</w:t>
            </w:r>
          </w:p>
        </w:tc>
        <w:tc>
          <w:tcPr/>
          <w:p>
            <w:pPr>
              <w:pStyle w:val="Compact"/>
            </w:pPr>
            <w:r>
              <w:t xml:space="preserve">AI drafts are grounded, permission-aware, reviewable and technically unable to change forecast values.</w:t>
            </w:r>
          </w:p>
        </w:tc>
      </w:tr>
      <w:tr>
        <w:tc>
          <w:tcPr/>
          <w:p>
            <w:pPr>
              <w:pStyle w:val="Compact"/>
            </w:pPr>
            <w:r>
              <w:t xml:space="preserve">D5</w:t>
            </w:r>
          </w:p>
        </w:tc>
        <w:tc>
          <w:tcPr/>
          <w:p>
            <w:pPr>
              <w:pStyle w:val="Compact"/>
            </w:pPr>
            <w:r>
              <w:t xml:space="preserve">Closeout and phase-two recommendation</w:t>
            </w:r>
          </w:p>
        </w:tc>
        <w:tc>
          <w:tcPr/>
          <w:p>
            <w:pPr>
              <w:pStyle w:val="Compact"/>
              <w:jc w:val="right"/>
            </w:pPr>
            <w:r>
              <w:t xml:space="preserve">2026-08-14</w:t>
            </w:r>
          </w:p>
        </w:tc>
        <w:tc>
          <w:tcPr/>
          <w:p>
            <w:pPr>
              <w:pStyle w:val="Compact"/>
            </w:pPr>
            <w:r>
              <w:t xml:space="preserve">Runbooks, training, limitations, business-unit readiness and support ownership are accepted.</w:t>
            </w:r>
          </w:p>
        </w:tc>
      </w:tr>
    </w:tbl>
    <w:p>
      <w:pPr>
        <w:pStyle w:val="BodyText"/>
      </w:pPr>
      <w:r>
        <w:t xml:space="preserve">Acceptance uses reconciled test periods and representative entities. Totals alone are insufficient if lineage, currency, adjustment ownership or prior versions are missing. Phase-two business-unit rollout is not implied by phase-one acceptance.</w:t>
      </w:r>
    </w:p>
    <w:bookmarkEnd w:id="11"/>
    <w:bookmarkStart w:id="12" w:name="responsibilities"/>
    <w:p>
      <w:pPr>
        <w:pStyle w:val="Heading2"/>
      </w:pPr>
      <w:r>
        <w:t xml:space="preserve">4. Responsibilities</w:t>
      </w:r>
    </w:p>
    <w:p>
      <w:pPr>
        <w:pStyle w:val="FirstParagraph"/>
      </w:pPr>
      <w:r>
        <w:t xml:space="preserve">The Supplier provides finance-process analysis, configuration, data integration, test support and training. It documents assumptions, transformations, model changes and reconciliation. It may propose but cannot approve forecast values, manual adjustments or finance narratives.</w:t>
      </w:r>
    </w:p>
    <w:p>
      <w:pPr>
        <w:pStyle w:val="BodyText"/>
      </w:pPr>
      <w:r>
        <w:t xml:space="preserve">Meridian provides ERP access, chart-of-account and entity owners, finance-leadership users, Pulse capacity coordination and timely acceptance. Meridian owns actuals, accounting policy, scenario approval, forecast sign-off and phase-two authorization.</w:t>
      </w:r>
    </w:p>
    <w:bookmarkEnd w:id="12"/>
    <w:bookmarkStart w:id="13" w:name="assumptions-and-dependencies"/>
    <w:p>
      <w:pPr>
        <w:pStyle w:val="Heading2"/>
      </w:pPr>
      <w:r>
        <w:t xml:space="preserve">5. Assumptions and dependencies</w:t>
      </w:r>
    </w:p>
    <w:p>
      <w:pPr>
        <w:pStyle w:val="FirstParagraph"/>
      </w:pPr>
      <w:r>
        <w:t xml:space="preserve">ERP close data will be available under the agreed calendar. Finance owners will resolve mapping and template disputes. The shared platform will provide approved batch windows coordinated with Pulse. Late actuals or capacity constraints trigger visible delay and reconciliation; the Supplier must not replay stale values as current.</w:t>
      </w:r>
    </w:p>
    <w:bookmarkEnd w:id="13"/>
    <w:bookmarkStart w:id="14" w:name="out-of-scope"/>
    <w:p>
      <w:pPr>
        <w:pStyle w:val="Heading2"/>
      </w:pPr>
      <w:r>
        <w:t xml:space="preserve">6. Out of scope</w:t>
      </w:r>
    </w:p>
    <w:p>
      <w:pPr>
        <w:pStyle w:val="FirstParagraph"/>
      </w:pPr>
      <w:r>
        <w:t xml:space="preserve">Replacement of ERP, autonomous forecast changes, unrestricted AI narratives, phase-one rollout to all business units, redesign of Pulse workloads, tax or accounting-policy advice, and permanent managed-service operation are excluded.</w:t>
      </w:r>
    </w:p>
    <w:bookmarkEnd w:id="14"/>
    <w:bookmarkStart w:id="15" w:name="security-and-financial-data-handling"/>
    <w:p>
      <w:pPr>
        <w:pStyle w:val="Heading2"/>
      </w:pPr>
      <w:r>
        <w:t xml:space="preserve">7. Security and financial-data handling</w:t>
      </w:r>
    </w:p>
    <w:p>
      <w:pPr>
        <w:pStyle w:val="FirstParagraph"/>
      </w:pPr>
      <w:r>
        <w:t xml:space="preserve">Financial information uses approved storage, role-based access and export controls. Supplier access is limited to assigned entities and environments. AI services receive only approved, minimized context. Forecasts, actuals, adjustments and narrative approvals retain owner and timestamp. Suspected exposure or unauthorized change is reported immediately.</w:t>
      </w:r>
    </w:p>
    <w:bookmarkEnd w:id="15"/>
    <w:bookmarkStart w:id="16" w:name="commercial-and-change-control"/>
    <w:p>
      <w:pPr>
        <w:pStyle w:val="Heading2"/>
      </w:pPr>
      <w:r>
        <w:t xml:space="preserve">8. Commercial and change control</w:t>
      </w:r>
    </w:p>
    <w:p>
      <w:pPr>
        <w:pStyle w:val="FirstParagraph"/>
      </w:pPr>
      <w:r>
        <w:t xml:space="preserve">Fees are tied to the five deliverables. Pre-approved travel follows Meridian policy and remains inside the not-to-exceed value unless changed in writing. New entities, material template variants, additional ERP sources or phase-two users require impact assessment and authorized change. Defect correction against accepted requirements is included.</w:t>
      </w:r>
    </w:p>
    <w:bookmarkEnd w:id="16"/>
    <w:bookmarkStart w:id="17" w:name="exit-and-transition"/>
    <w:p>
      <w:pPr>
        <w:pStyle w:val="Heading2"/>
      </w:pPr>
      <w:r>
        <w:t xml:space="preserve">9. Exit and transition</w:t>
      </w:r>
    </w:p>
    <w:p>
      <w:pPr>
        <w:pStyle w:val="FirstParagraph"/>
      </w:pPr>
      <w:r>
        <w:t xml:space="preserve">The Supplier will transfer model configuration, data mappings, reconciliation evidence, scenario templates, narrative controls, test packs, training and open issues. Accounts and integrations are removed or transferred. Meridian data is returned or deleted, with two closeout workshops included.</w:t>
      </w:r>
    </w:p>
    <w:bookmarkEnd w:id="17"/>
    <w:bookmarkEnd w:id="18"/>
    <w:sectPr w:rsidR="00FC693F" w:rsidRPr="0006063C" w:rsidSect="00034616">
      <w:pgSz w:h="15840" w:w="12240"/>
      <w:pgMar w:bottom="936" w:footer="720" w:gutter="0" w:header="720" w:left="1080" w:right="1080" w:top="936"/>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2026-08-21T19:50:10Z</dcterms:created>
  <dcterms:modified xsi:type="dcterms:W3CDTF">2026-08-21T19:50:10Z</dcterms:modified>
</cp:coreProperties>
</file>

<file path=docProps/custom.xml><?xml version="1.0" encoding="utf-8"?>
<Properties xmlns="http://schemas.openxmlformats.org/officeDocument/2006/custom-properties" xmlns:vt="http://schemas.openxmlformats.org/officeDocument/2006/docPropsVTypes"/>
</file>