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a032153fb014f5f13ab6a7b0da69cc3ad7f79b1"/>
    <w:p>
      <w:pPr>
        <w:pStyle w:val="Heading1"/>
      </w:pPr>
      <w:r>
        <w:t xml:space="preserve">Statement of Work: Pulse Store Operations Intelligence Pilot</w:t>
      </w:r>
    </w:p>
    <w:p>
      <w:pPr>
        <w:pStyle w:val="FirstParagraph"/>
      </w:pPr>
      <w:r>
        <w:t xml:space="preserve">SOW ID: MG-PULSE-SOW-001</w:t>
      </w:r>
      <w:r>
        <w:br/>
      </w:r>
      <w:r>
        <w:t xml:space="preserve">Customer: Meridian Group</w:t>
      </w:r>
      <w:r>
        <w:br/>
      </w:r>
      <w:r>
        <w:t xml:space="preserve">Supplier: Northlake Analytics Ltd.</w:t>
      </w:r>
      <w:r>
        <w:br/>
      </w:r>
      <w:r>
        <w:t xml:space="preserve">Meridian owner: Leah Pillai, Project Manager</w:t>
      </w:r>
      <w:r>
        <w:br/>
      </w:r>
      <w:r>
        <w:t xml:space="preserve">Effective date: 2026-01-20</w:t>
      </w:r>
      <w:r>
        <w:br/>
      </w:r>
      <w:r>
        <w:t xml:space="preserve">Planned completion: 2026-07-31</w:t>
      </w:r>
      <w:r>
        <w:br/>
      </w:r>
      <w:r>
        <w:t xml:space="preserve">Commercial model: Time and materials not to exceed</w:t>
      </w:r>
      <w:r>
        <w:br/>
      </w:r>
      <w:r>
        <w:t xml:space="preserve">Not-to-exceed value: USD 420,000</w:t>
      </w:r>
      <w:r>
        <w:br/>
      </w:r>
      <w:r>
        <w:t xml:space="preserve">Status: Active</w:t>
      </w:r>
    </w:p>
    <w:bookmarkStart w:id="9" w:name="background-and-objectives"/>
    <w:p>
      <w:pPr>
        <w:pStyle w:val="Heading2"/>
      </w:pPr>
      <w:r>
        <w:t xml:space="preserve">1. Background and objectives</w:t>
      </w:r>
    </w:p>
    <w:p>
      <w:pPr>
        <w:pStyle w:val="FirstParagraph"/>
      </w:pPr>
      <w:r>
        <w:t xml:space="preserve">Meridian requires a consistent store-operations intelligence and alerting layer across fragmented telemetry and regional scorecards. The Supplier will deliver the Midwest production pilot, including source assessment, governed KPI transformations, fifteen-minute analytical processing, operational alerts, dashboards, test evidence and adoption support.</w:t>
      </w:r>
    </w:p>
    <w:p>
      <w:pPr>
        <w:pStyle w:val="BodyText"/>
      </w:pPr>
      <w:r>
        <w:t xml:space="preserve">The work will follow Meridian’s approved boundaries. Phase 1 concerns store operations and excludes employee-level scoring. Enterprise KPI definitions override legacy regional scorecards. Fifteen-minute analytical latency is accepted and real-time streaming is deferred. Pulse uses the shared analytical platform governed by Samir Patel and coordinates compute and batch windows with Orbit.</w:t>
      </w:r>
    </w:p>
    <w:bookmarkEnd w:id="9"/>
    <w:bookmarkStart w:id="10" w:name="in-scope-services"/>
    <w:p>
      <w:pPr>
        <w:pStyle w:val="Heading2"/>
      </w:pPr>
      <w:r>
        <w:t xml:space="preserve">2. In-scope services</w:t>
      </w:r>
    </w:p>
    <w:p>
      <w:pPr>
        <w:pStyle w:val="FirstParagraph"/>
      </w:pPr>
      <w:r>
        <w:t xml:space="preserve">The Supplier will profile agreed telemetry sources, define source-to-KPI mappings, implement data-quality checks and configure visible freshness status. Processing will support idempotent batch ingestion, late data, duplicate events and store-level failure isolation. Alerts will include condition, observation time, processing time, severity, owning role and recommended operational response.</w:t>
      </w:r>
    </w:p>
    <w:p>
      <w:pPr>
        <w:pStyle w:val="BodyText"/>
      </w:pPr>
      <w:r>
        <w:t xml:space="preserve">The Supplier will implement the enterprise KPI semantic layer and identify where Midwest terminology or calendars require governed presentation differences. Regional context may supplement but cannot change enterprise denominators, time windows or exception semantics. Dashboards will prevent employee-level scoring and unauthorized drill-down.</w:t>
      </w:r>
    </w:p>
    <w:bookmarkEnd w:id="10"/>
    <w:bookmarkStart w:id="11" w:name="deliverables-and-milestones"/>
    <w:p>
      <w:pPr>
        <w:pStyle w:val="Heading2"/>
      </w:pPr>
      <w:r>
        <w:t xml:space="preserve">3. Deliverables and milestones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ID</w:t>
            </w:r>
          </w:p>
        </w:tc>
        <w:tc>
          <w:tcPr/>
          <w:p>
            <w:pPr>
              <w:pStyle w:val="Compact"/>
            </w:pPr>
            <w:r>
              <w:t xml:space="preserve">Deliverable</w:t>
            </w:r>
          </w:p>
        </w:tc>
        <w:tc>
          <w:tcPr/>
          <w:p>
            <w:pPr>
              <w:pStyle w:val="Compact"/>
              <w:jc w:val="right"/>
            </w:pPr>
            <w:r>
              <w:t xml:space="preserve">Target</w:t>
            </w:r>
          </w:p>
        </w:tc>
        <w:tc>
          <w:tcPr/>
          <w:p>
            <w:pPr>
              <w:pStyle w:val="Compact"/>
            </w:pPr>
            <w:r>
              <w:t xml:space="preserve">Acceptance basis</w:t>
            </w:r>
          </w:p>
        </w:tc>
      </w:tr>
      <w:tr>
        <w:tc>
          <w:tcPr/>
          <w:p>
            <w:pPr>
              <w:pStyle w:val="Compact"/>
            </w:pPr>
            <w:r>
              <w:t xml:space="preserve">D1</w:t>
            </w:r>
          </w:p>
        </w:tc>
        <w:tc>
          <w:tcPr/>
          <w:p>
            <w:pPr>
              <w:pStyle w:val="Compact"/>
            </w:pPr>
            <w:r>
              <w:t xml:space="preserve">Telemetry and KPI assessment</w:t>
            </w:r>
          </w:p>
        </w:tc>
        <w:tc>
          <w:tcPr/>
          <w:p>
            <w:pPr>
              <w:pStyle w:val="Compact"/>
              <w:jc w:val="right"/>
            </w:pPr>
            <w:r>
              <w:t xml:space="preserve">2026-02-13</w:t>
            </w:r>
          </w:p>
        </w:tc>
        <w:tc>
          <w:tcPr/>
          <w:p>
            <w:pPr>
              <w:pStyle w:val="Compact"/>
            </w:pPr>
            <w:r>
              <w:t xml:space="preserve">Sources, owners, quality gaps, enterprise definitions and regional conflicts are documented.</w:t>
            </w:r>
          </w:p>
        </w:tc>
      </w:tr>
      <w:tr>
        <w:tc>
          <w:tcPr/>
          <w:p>
            <w:pPr>
              <w:pStyle w:val="Compact"/>
            </w:pPr>
            <w:r>
              <w:t xml:space="preserve">D2</w:t>
            </w:r>
          </w:p>
        </w:tc>
        <w:tc>
          <w:tcPr/>
          <w:p>
            <w:pPr>
              <w:pStyle w:val="Compact"/>
            </w:pPr>
            <w:r>
              <w:t xml:space="preserve">Pilot architecture and batch plan</w:t>
            </w:r>
          </w:p>
        </w:tc>
        <w:tc>
          <w:tcPr/>
          <w:p>
            <w:pPr>
              <w:pStyle w:val="Compact"/>
              <w:jc w:val="right"/>
            </w:pPr>
            <w:r>
              <w:t xml:space="preserve">2026-03-06</w:t>
            </w:r>
          </w:p>
        </w:tc>
        <w:tc>
          <w:tcPr/>
          <w:p>
            <w:pPr>
              <w:pStyle w:val="Compact"/>
            </w:pPr>
            <w:r>
              <w:t xml:space="preserve">Fifteen-minute processing, Orbit capacity coordination, retries, freshness and degraded behavior are approved.</w:t>
            </w:r>
          </w:p>
        </w:tc>
      </w:tr>
      <w:tr>
        <w:tc>
          <w:tcPr/>
          <w:p>
            <w:pPr>
              <w:pStyle w:val="Compact"/>
            </w:pPr>
            <w:r>
              <w:t xml:space="preserve">D3</w:t>
            </w:r>
          </w:p>
        </w:tc>
        <w:tc>
          <w:tcPr/>
          <w:p>
            <w:pPr>
              <w:pStyle w:val="Compact"/>
            </w:pPr>
            <w:r>
              <w:t xml:space="preserve">Midwest alert and dashboard pilot</w:t>
            </w:r>
          </w:p>
        </w:tc>
        <w:tc>
          <w:tcPr/>
          <w:p>
            <w:pPr>
              <w:pStyle w:val="Compact"/>
              <w:jc w:val="right"/>
            </w:pPr>
            <w:r>
              <w:t xml:space="preserve">2026-04-24</w:t>
            </w:r>
          </w:p>
        </w:tc>
        <w:tc>
          <w:tcPr/>
          <w:p>
            <w:pPr>
              <w:pStyle w:val="Compact"/>
            </w:pPr>
            <w:r>
              <w:t xml:space="preserve">Approved stores receive governed KPIs and operational alerts without employee scoring.</w:t>
            </w:r>
          </w:p>
        </w:tc>
      </w:tr>
      <w:tr>
        <w:tc>
          <w:tcPr/>
          <w:p>
            <w:pPr>
              <w:pStyle w:val="Compact"/>
            </w:pPr>
            <w:r>
              <w:t xml:space="preserve">D4</w:t>
            </w:r>
          </w:p>
        </w:tc>
        <w:tc>
          <w:tcPr/>
          <w:p>
            <w:pPr>
              <w:pStyle w:val="Compact"/>
            </w:pPr>
            <w:r>
              <w:t xml:space="preserve">Quality and operational-readiness report</w:t>
            </w:r>
          </w:p>
        </w:tc>
        <w:tc>
          <w:tcPr/>
          <w:p>
            <w:pPr>
              <w:pStyle w:val="Compact"/>
              <w:jc w:val="right"/>
            </w:pPr>
            <w:r>
              <w:t xml:space="preserve">2026-06-05</w:t>
            </w:r>
          </w:p>
        </w:tc>
        <w:tc>
          <w:tcPr/>
          <w:p>
            <w:pPr>
              <w:pStyle w:val="Compact"/>
            </w:pPr>
            <w:r>
              <w:t xml:space="preserve">Missing telemetry, false positives, late data, support load and adoption results meet agreed thresholds.</w:t>
            </w:r>
          </w:p>
        </w:tc>
      </w:tr>
      <w:tr>
        <w:tc>
          <w:tcPr/>
          <w:p>
            <w:pPr>
              <w:pStyle w:val="Compact"/>
            </w:pPr>
            <w:r>
              <w:t xml:space="preserve">D5</w:t>
            </w:r>
          </w:p>
        </w:tc>
        <w:tc>
          <w:tcPr/>
          <w:p>
            <w:pPr>
              <w:pStyle w:val="Compact"/>
            </w:pPr>
            <w:r>
              <w:t xml:space="preserve">Pilot closeout and rollout recommendation</w:t>
            </w:r>
          </w:p>
        </w:tc>
        <w:tc>
          <w:tcPr/>
          <w:p>
            <w:pPr>
              <w:pStyle w:val="Compact"/>
              <w:jc w:val="right"/>
            </w:pPr>
            <w:r>
              <w:t xml:space="preserve">2026-07-15</w:t>
            </w:r>
          </w:p>
        </w:tc>
        <w:tc>
          <w:tcPr/>
          <w:p>
            <w:pPr>
              <w:pStyle w:val="Compact"/>
            </w:pPr>
            <w:r>
              <w:t xml:space="preserve">Meridian receives evidence, known limitations, runbooks, training and a supported recommendation.</w:t>
            </w:r>
          </w:p>
        </w:tc>
      </w:tr>
    </w:tbl>
    <w:p>
      <w:pPr>
        <w:pStyle w:val="BodyText"/>
      </w:pPr>
      <w:r>
        <w:t xml:space="preserve">Deliverables are accepted against written criteria within ten business days. A successful demonstration is not acceptance if freshness, permissions, data quality or support evidence is missing. Broader regional rollout requires a separate Meridian decision.</w:t>
      </w:r>
    </w:p>
    <w:bookmarkEnd w:id="11"/>
    <w:bookmarkStart w:id="12" w:name="responsibilities"/>
    <w:p>
      <w:pPr>
        <w:pStyle w:val="Heading2"/>
      </w:pPr>
      <w:r>
        <w:t xml:space="preserve">4. Responsibilities</w:t>
      </w:r>
    </w:p>
    <w:p>
      <w:pPr>
        <w:pStyle w:val="FirstParagraph"/>
      </w:pPr>
      <w:r>
        <w:t xml:space="preserve">The Supplier provides analytics engineering, data-quality analysis, dashboard configuration, test support and operational documentation. It maintains lineage from source telemetry through KPI calculation and alert generation. It will not introduce individual employee metrics or undocumented regional formulas.</w:t>
      </w:r>
    </w:p>
    <w:p>
      <w:pPr>
        <w:pStyle w:val="BodyText"/>
      </w:pPr>
      <w:r>
        <w:t xml:space="preserve">Meridian supplies source access, enterprise KPI decisions, Midwest operations participants, shared-platform scheduling and client acceptance. Meridian owns employee-data policy, production access, store communications and approval of rollout beyond Midwest. Orbit and Pulse owners jointly resolve material capacity conflicts.</w:t>
      </w:r>
    </w:p>
    <w:bookmarkEnd w:id="12"/>
    <w:bookmarkStart w:id="13" w:name="assumptions-and-dependencies"/>
    <w:p>
      <w:pPr>
        <w:pStyle w:val="Heading2"/>
      </w:pPr>
      <w:r>
        <w:t xml:space="preserve">5. Assumptions and dependencies</w:t>
      </w:r>
    </w:p>
    <w:p>
      <w:pPr>
        <w:pStyle w:val="FirstParagraph"/>
      </w:pPr>
      <w:r>
        <w:t xml:space="preserve">Midwest stores will provide representative telemetry and operational SMEs. Shared-platform capacity will support the approved batch window. Enterprise KPI owners will resolve definition disputes within the review schedule. A delayed source may be isolated or resequenced rather than silently replaced with stale values.</w:t>
      </w:r>
    </w:p>
    <w:bookmarkEnd w:id="13"/>
    <w:bookmarkStart w:id="14" w:name="out-of-scope"/>
    <w:p>
      <w:pPr>
        <w:pStyle w:val="Heading2"/>
      </w:pPr>
      <w:r>
        <w:t xml:space="preserve">6. Out of scope</w:t>
      </w:r>
    </w:p>
    <w:p>
      <w:pPr>
        <w:pStyle w:val="FirstParagraph"/>
      </w:pPr>
      <w:r>
        <w:t xml:space="preserve">Employee performance scoring, real-time streaming, global rollout, replacement of store source systems, predictive workforce actions, ungoverned regional scorecards and permanent operation of the shared platform are excluded. Supplier analysis may identify future opportunities but must label them as outside this SOW.</w:t>
      </w:r>
    </w:p>
    <w:bookmarkEnd w:id="14"/>
    <w:bookmarkStart w:id="15" w:name="security-and-data-handling"/>
    <w:p>
      <w:pPr>
        <w:pStyle w:val="Heading2"/>
      </w:pPr>
      <w:r>
        <w:t xml:space="preserve">7. Security and data handling</w:t>
      </w:r>
    </w:p>
    <w:p>
      <w:pPr>
        <w:pStyle w:val="FirstParagraph"/>
      </w:pPr>
      <w:r>
        <w:t xml:space="preserve">The Supplier will minimize store and employee information, use approved environments and restrict access by role. Raw exports may not be moved to personal or unapproved services. Alert evidence and transformations will be retained for reproducibility. Any unexpected employee-level inference is treated as a control issue and reported.</w:t>
      </w:r>
    </w:p>
    <w:bookmarkEnd w:id="15"/>
    <w:bookmarkStart w:id="16" w:name="commercial-and-change-control"/>
    <w:p>
      <w:pPr>
        <w:pStyle w:val="Heading2"/>
      </w:pPr>
      <w:r>
        <w:t xml:space="preserve">8. Commercial and change control</w:t>
      </w:r>
    </w:p>
    <w:p>
      <w:pPr>
        <w:pStyle w:val="FirstParagraph"/>
      </w:pPr>
      <w:r>
        <w:t xml:space="preserve">Charges use approved roles and rates, capped at the not-to-exceed value. Weekly time reporting distinguishes delivery, remediation and approved change work. Rework caused by failure to meet accepted requirements is not billable as new scope. Changes require a written impact on source coverage, capacity, latency, schedule and cost before authorization.</w:t>
      </w:r>
    </w:p>
    <w:bookmarkEnd w:id="16"/>
    <w:bookmarkStart w:id="17" w:name="exit-and-transition"/>
    <w:p>
      <w:pPr>
        <w:pStyle w:val="Heading2"/>
      </w:pPr>
      <w:r>
        <w:t xml:space="preserve">9. Exit and transition</w:t>
      </w:r>
    </w:p>
    <w:p>
      <w:pPr>
        <w:pStyle w:val="FirstParagraph"/>
      </w:pPr>
      <w:r>
        <w:t xml:space="preserve">The Supplier will transfer transformation logic, KPI mappings, alert configuration, test packs, operational dashboards, known limitations and open defects. Access and tokens are removed, Meridian data is returned or deleted, and two knowledge-transfer sessions are included.</w:t>
      </w:r>
    </w:p>
    <w:bookmarkEnd w:id="17"/>
    <w:bookmarkEnd w:id="18"/>
    <w:sectPr w:rsidR="00FC693F" w:rsidRPr="0006063C" w:rsidSect="00034616">
      <w:pgSz w:h="15840" w:w="12240"/>
      <w:pgMar w:bottom="936" w:footer="720" w:gutter="0" w:header="720" w:left="1080" w:right="1080"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2026-08-21T19:50:09Z</dcterms:created>
  <dcterms:modified xsi:type="dcterms:W3CDTF">2026-08-21T19:50:09Z</dcterms:modified>
</cp:coreProperties>
</file>

<file path=docProps/custom.xml><?xml version="1.0" encoding="utf-8"?>
<Properties xmlns="http://schemas.openxmlformats.org/officeDocument/2006/custom-properties" xmlns:vt="http://schemas.openxmlformats.org/officeDocument/2006/docPropsVTypes"/>
</file>