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Harbor Identity Modernization Business Requirements Document</w:t>
      </w:r>
    </w:p>
    <w:p>
      <w:pPr>
        <w:jc w:val="center"/>
      </w:pPr>
      <w:r>
        <w:rPr>
          <w:i/>
        </w:rPr>
        <w:t>Meridian Group | Harbor Identity Modernization | Synthetic enterprise project artifact</w:t>
      </w:r>
    </w:p>
    <w:p>
      <w:pPr>
        <w:pStyle w:val="Heading1"/>
      </w:pPr>
      <w:r>
        <w:t>Executive Context</w:t>
      </w:r>
    </w:p>
    <w:p>
      <w:r>
        <w:t>Harbor Identity Modernization is a cybersecurity transformation initiative at Meridian Group. The goal is to modernize enterprise identity, provisioning and access governance. The program is designed as an operating-model change, not just a technical implementation.</w:t>
      </w:r>
    </w:p>
    <w:p>
      <w:r>
        <w:t>The project team includes IAM Operations, Application Owners, Security Architecture, Service Desk, Client Security SMEs.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Applications migrate in readiness-based waves; Privileged access receives stronger controls; Non-SCIM applications may remain outside phase 1.</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HR / Lifecycle Feed, Enterprise Directory, Provisioning Layer, Policy Engine, SSO Gateway, Access Audit. Component boundaries exist so source-system authority, project-owned processing and downstream user experiences remain explicit.</w:t>
      </w:r>
    </w:p>
    <w:p>
      <w:r>
        <w:t>Cross-project dependencies include ATLAS: pilot authentication dependency; NOVA: account-team authorization model. Shared dependency timing is managed through enterprise architecture and project steering rather than by silently duplicating shared capabilities.</w:t>
      </w:r>
    </w:p>
    <w:p>
      <w:pPr>
        <w:pStyle w:val="Heading1"/>
      </w:pPr>
      <w:r>
        <w:t>Delivery and Risk</w:t>
      </w:r>
    </w:p>
    <w:p>
      <w:r>
        <w:t>Primary risks include legacy provisioning gaps, role mapping ambiguity, Atlas timing pressure, privileged-access control change, directory cleanup.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Detailed Requirements</w:t>
      </w:r>
    </w:p>
    <w:p>
      <w:r>
        <w:t>The business process begins only when required source data and ownership are present. The solution must represent status explicitly, prevent silent progression on failed dependencies, and make business exceptions visible to the accountable role.</w:t>
      </w:r>
    </w:p>
    <w:p>
      <w:r>
        <w:t>Decision controls must reflect the project-specific rules: Applications migrate in readiness-based waves; Privileged access receives stronger controls; Non-SCIM applications may remain outside phase 1. Where business units or regions require variation, the variation must remain compatible with enterprise reporting and support.</w:t>
      </w:r>
    </w:p>
    <w:p>
      <w:pPr>
        <w:pStyle w:val="Heading1"/>
      </w:pPr>
      <w:r>
        <w:t>Non-Functional Expectations</w:t>
      </w:r>
    </w:p>
    <w:p>
      <w:r>
        <w:t>The solution must be auditable, resilient to retries, least-privilege by default and supportable using observable failure states. Operational teams need correlation identifiers and enough historical context to distinguish upstream data issues, configuration problems, dependency failures and user actions.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